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available observations were treated as non-normally distributed (conservative fail-safe); variables with absolute skewness exceeding 2.0 were treated as non-normally distributed regardless of sample size, as extreme skewness indicates a distribution for which parametric assumptions are inappropriate irrespective of the Central Limit Theorem; variables with 30 or more non-missing observations were treated as normally distributed on the basis of the Central Limit Theorem; for all remaining variables, the Shapiro-Wilk test was applied and p &gt; 0.05 was used as the threshold for normality.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 / Table 3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reported. For variables with a significant omnibus P value (p &lt; 0.05), pairwise post-hoc comparisons were performed: normally distributed variables were compared using the Games-Howell test; non-normally distributed and ordinal variables were compared using Dunn’s test with Holm correction for multiple comparisons. Results are presented using compact letter display (CLD) notation — superscript letters appended to cell values — whereby groups sharing a superscript letter are not significantly different from each other. Categorical variables were not included in post-hoc comparisons.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v1.6.3. Each section reflects the specific configuration of the corresponding table(s). Sections with identical configurations are consolidated to avoid redundancy.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2026-03-09T12:05:49Z</dcterms:modified>
  <cp:category/>
</cp:coreProperties>
</file>