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or excess kurtosis exceeding 7.0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This normality routing algorithm is a pragmatic, automated heuristic intended to support consistent and transparent reporting in routine clinical descriptive analyses; it does not constitute a formal distributional inference, and investigators requiring non-standard normality handling may override routing for individual variables using the force_ordinal argument or globally via consider_normality. Normally distributed continuous variables were compared using Welch's independent samples t-test; non-normally distributed variables were compared using the Wilcoxon rank-sum test.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v1.7.0. This paragraph reflects the specific analysis configuration used in this run. For documentation of other configurations (descriptive, two-group, three-or-more-group), see the package vignette: vignette("getting-started", package = "TernTables").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v1.7.0. Please cite: Preston JD, Abadiotakis H, Tang A, Rust CJ, Chan JL. TernTables: Automated statistical analysis and table generation for biomedical research. R package version 1.7.0,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2026-04-01T10:06:30Z</dcterms:modified>
  <cp:category/>
</cp:coreProperties>
</file>