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where any comparison group had absolute skewness exceeding 2.0 or excess kurtosis exceeding 7.0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This normality routing algorithm is a pragmatic, automated heuristic intended to support consistent and transparent reporting in routine clinical descriptive analyses; it does not constitute a formal distributional inference, and investigators requiring non-standard normality handling may override routing for individual variables using the force_ordinal argument or globally via consider_normality. Normally distributed continuous variables were compared using Welch's independent samples t-test; non-normally distributed variables were compared using the Wilcoxon rank-sum test. Categorical variables were compared using Chi-squared tests, or Fisher's exact tests when any expected cell count was less than 5 (Cochran criterion).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555555"/>
        </w:rPr>
        <w:t xml:space="preserve">Generated by TernTables v1.7.0. This paragraph reflects the specific analysis configuration used in this run. For documentation of other configurations (descriptive, two-group, three-or-more-group), see the package vignette: vignette("getting-started", package = "TernTables").</w:t>
      </w:r>
    </w:p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4"/>
        <w:szCs w:val="14"/>
        <w:color w:val="000000"/>
      </w:rPr>
      <w:t xml:space="preserve">Created with TernTables v1.7.0. Please cite: Preston JD, Abadiotakis H, Tang A, Rust CJ, Chan JL. TernTables: Automated statistical analysis and table generation for biomedical research. R package version 1.7.0,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2026-04-07T19:53:24Z</dcterms:modified>
  <cp:category/>
</cp:coreProperties>
</file>