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descriptive tables (ternD):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with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Statistical significance was defined as p &lt;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two-group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with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between groups using Welch's independent samples t-test; non-normally distributed or ordinal continuous variables were compared using the Wilcoxon rank-sum test. Categorical variables were compared using Chi-squared tests, or Fisher's exact tests when any expected cell count was less than 5 (Cochran criterion). Statistical significance was defined as p &lt; 0.05.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If you used the package to generate three-or-more-group comparison tables (ternG):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Continuous variables are presented as mean ± SD if normally distributed or median [IQR] if non-normally distributed or ordinal. Categorical variables are presented as n (%). Distribution of each continuous variable was evaluated using a sequential four-gate algorithm: variables with fewer than three observations in any comparison group were treated as non-normally distributed (conservative fail-safe); variables with absolute skewness exceeding 2.0 were treated as non-normally distributed regardless of sample size, as extreme skewness indicates a distribution for which parametric assumptions are inappropriate irrespective of the Central Limit Theorem; variables where all comparison groups comprised 30 or more observations were treated as normally distributed on the basis of the Central Limit Theorem; for all remaining variables, the Shapiro-Wilk test was applied within each comparison group, and p &gt; 0.05 in all groups was used as the threshold for normality. Normally distributed continuous variables were compared across groups using Welch's one-way ANOVA; non-normally distributed or ordinal continuous variables were compared using the Kruskal-Wallis test. Omnibus P values are reported. For variables with a significant omnibus P value (p &lt; 0.05), pairwise post-hoc comparisons were performed: normally distributed variables were compared using the Games-Howell test; non-normally distributed and ordinal variables were compared using Dunn’s test with Holm correction for multiple comparisons. Results are presented using compact letter display (CLD) notation — superscript letters appended to cell values — whereby groups sharing a superscript letter are not significantly different from each other. Categorical variables were not included in post-hoc comparisons. Categorical variables were compared using Chi-squared tests, or Fisher's exact tests when any expected cell count was less than 5 (Cochran criterion). Where the exact algorithm was computationally infeasible (workspace limit exceeded), a Monte Carlo simulation (B = 10,000 replicates) was used in place of exact enumeration; seed was fixed (  getOption("TernTables.seed"), default 42) to ensure reproducibility. Statistical significance was defined as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2026-03-03T21:56:28Z</dcterms:modified>
  <cp:category/>
</cp:coreProperties>
</file>