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375"/>
        <w:gridCol w:w="1375"/>
        <w:gridCol w:w="1203"/>
        <w:gridCol w:w="1625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461)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468)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60.5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± 12.4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(ref.)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 [0.71–1.19]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(21%)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[0.91–1.75]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[0.77–3.75]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0.258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3.22 [2.36–4.38]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6E-14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1.64 [1.13–2.37]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337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326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7E-6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359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Treatment Details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2026-03-06T09:25:17Z</dcterms:modified>
  <cp:category/>
</cp:coreProperties>
</file>