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375"/>
        <w:gridCol w:w="1375"/>
        <w:gridCol w:w="1203"/>
        <w:gridCol w:w="1625"/>
        <w:gridCol w:w="1014"/>
      </w:tblGrid>
      <w:tr>
        <w:trPr>
          <w:trHeight w:val="842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461)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468)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± 12.4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[0.71–1.19]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(21%)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[0.91–1.75]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[0.77–3.75]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3.22 [2.36–4.38]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1.64 [1.13–2.37]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337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326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7E-6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Treatment Details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2026-03-05T22:50:47Z</dcterms:modified>
  <cp:category/>
</cp:coreProperties>
</file>