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05"/>
        <w:gridCol w:w="1203"/>
      </w:tblGrid>
      <w:tr>
        <w:trPr>
          <w:trHeight w:val="711" w:hRule="auto"/>
          <w:tblHeader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929)</w:t>
            </w:r>
          </w:p>
        </w:tc>
      </w:tr>
      <w:tr>
        <w:trPr>
          <w:trHeight w:val="369" w:hRule="exact"/>
        </w:trPr>
        <w:tc>
          <w:tcPr>
            <w:gridSpan w:val="2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Patient Demographics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(yr)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59.8 ± 11.9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445 (48%)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484 (52%)</w:t>
            </w:r>
          </w:p>
        </w:tc>
      </w:tr>
      <w:tr>
        <w:trPr>
          <w:trHeight w:val="369" w:hRule="exact"/>
        </w:trPr>
        <w:tc>
          <w:tcPr>
            <w:gridSpan w:val="2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Surgical Findings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Colonic Obstruction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(19%)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Bowel Perforation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(3%)</w:t>
            </w:r>
          </w:p>
        </w:tc>
      </w:tr>
      <w:tr>
        <w:trPr>
          <w:trHeight w:val="369" w:hRule="exact"/>
        </w:trPr>
        <w:tc>
          <w:tcPr>
            <w:gridSpan w:val="2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Characteristics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Positive Lymph Nodes (n)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 4 Positive Nodes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(27%)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Adherence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(15%)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Tumor Differentiation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Well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(10%)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663 (73%)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(17%)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Extent of Local Spread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Submucosa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Muscle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(11%)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Serosa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759 (82%)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Contiguous Structures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(5%)</w:t>
            </w:r>
          </w:p>
        </w:tc>
      </w:tr>
      <w:tr>
        <w:trPr>
          <w:trHeight w:val="369" w:hRule="exact"/>
        </w:trPr>
        <w:tc>
          <w:tcPr>
            <w:gridSpan w:val="2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Outcomes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Recurrence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Recurrence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461 (50%)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468 (50%)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Treatment Arm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Levamisole + 5FU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304 (33%)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Levamisole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310 (33%)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Observation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315 (34%)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2026-03-03T08:15:47Z</dcterms:modified>
  <cp:category/>
</cp:coreProperties>
</file>