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375"/>
        <w:gridCol w:w="1375"/>
        <w:gridCol w:w="1203"/>
        <w:gridCol w:w="1625"/>
        <w:gridCol w:w="1014"/>
      </w:tblGrid>
      <w:tr>
        <w:trPr>
          <w:trHeight w:val="842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461)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468)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± 12.4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[0.71–1.19]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(21%)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[0.91–1.75]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[0.77–3.75]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3.22 [2.36–4.38]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1.64 [1.13–2.37]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337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326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7E-6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Treatment Details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2026-03-05T22:25:54Z</dcterms:modified>
  <cp:category/>
</cp:coreProperties>
</file>