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05"/>
        <w:gridCol w:w="1203"/>
      </w:tblGrid>
      <w:tr>
        <w:trPr>
          <w:trHeight w:val="711" w:hRule="auto"/>
          <w:tblHeader/>
        </w:trPr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Category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   Variable</w:t>
            </w:r>
          </w:p>
        </w:tc>
        <w:tc>
          <w:tcPr>
            <w:tcBorders>
              <w:bottom w:val="single" w:sz="6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CDCDCD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Total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(N = 929)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single" w:sz="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Patient Demographics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Age (yr)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59.8 ± 11.9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445 (48%)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484 (52%)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Surgical Findings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Colonic Obstruction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180 (19%)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Bowel Perforation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27 (3%)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Tumor Characteristics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Positive Lymph Nodes (n)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 [1–5]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 4 Positive Nodes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255 (27%)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Tumor Adherence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135 (15%)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Tumor Differentiation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93 (10%)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Moderate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663 (73%)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Poor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(17%)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Extent Of Local Spread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Submucosa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21 (2%)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Muscle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106 (11%)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Serosa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759 (82%)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Contiguous Structures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(5%)</w:t>
            </w:r>
          </w:p>
        </w:tc>
      </w:tr>
      <w:tr>
        <w:trPr>
          <w:trHeight w:val="369" w:hRule="exact"/>
        </w:trPr>
        <w:tc>
          <w:tcPr>
            <w:gridSpan w:val="2"/>
            <w:tcBorders>
              <w:bottom w:val="single" w:sz="4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60" w:right="12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Outcomes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No 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461 (50%)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Recurrence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468 (50%)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180" w:right="120" w:firstLine="0" w:firstLineChars="0"/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single"/>
                <w:strike w:val="false"/>
                <w:sz w:val="18"/>
                <w:szCs w:val="18"/>
                <w:color w:val="000000"/>
              </w:rPr>
              <w:t xml:space="preserve">Treatment Arm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 + 5FU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304 (33%)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Levamisole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(33%)</w:t>
            </w:r>
          </w:p>
        </w:tc>
      </w:tr>
      <w:tr>
        <w:trPr>
          <w:trHeight w:val="270" w:hRule="exact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300" w:right="120" w:firstLine="0" w:firstLineChars="0"/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tru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Observation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20" w:before="0" w:line="240"/>
              <w:ind w:left="0" w:right="12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315 (34%)</w:t>
            </w:r>
          </w:p>
        </w:tc>
      </w:tr>
    </w:tbl>
    <w:sectPr>
      <w:footerReference w:officer="true" r:id="rId7" w:type="default">
</w:footerReference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>
    <w:pPr>
      <w:jc w:val="left"/>
      <w:pBdr>
        <w:bottom w:val="none" w:sz="0" w:space="0" w:color="000000"/>
        <w:top w:val="none" w:sz="0" w:space="0" w:color="000000"/>
        <w:left w:val="none" w:sz="0" w:space="0" w:color="000000"/>
        <w:right w:val="none" w:sz="0" w:space="0" w:color="000000"/>
      </w:pBdr>
      <w:spacing w:after="0" w:before="0" w:line="240"/>
      <w:ind w:left="0" w:right="0" w:firstLine="0" w:firstLineChars="0"/>
    </w:pPr>
    <w:r>
      <w:rPr>
        <w:rFonts w:ascii="Arial" w:hAnsi="Arial" w:eastAsia="Arial" w:cs="Arial"/>
        <w:i w:val="true"/>
        <w:b w:val="true"/>
        <w:u w:val="none"/>
        <w:strike w:val="false"/>
        <w:sz w:val="16"/>
        <w:szCs w:val="16"/>
        <w:color w:val="000000"/>
      </w:rPr>
      <w:t xml:space="preserve">Created with TernTables v1.6.3. Please cite: Preston JD, Abadiotakis H, Tang A, Aslam MV, Rust CJ, Chan JL. TernTables: Publication-ready summary tables and statistical testing for clinical research. R package version 1.6.3, 2026. Available at: https://github.com/jdpreston30/TernTables (Web interface: https://tern-tables.com)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footer" Target="footer1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JoshsMacbook2015</cp:lastModifiedBy>
  <cp:revision>9</cp:revision>
  <dcterms:created xsi:type="dcterms:W3CDTF">2017-02-28T11:18:00Z</dcterms:created>
  <dcterms:modified xsi:type="dcterms:W3CDTF">2026-03-05T22:25:52Z</dcterms:modified>
  <cp:category/>
</cp:coreProperties>
</file>