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2. Multivariable regression results.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44"/>
        <w:gridCol w:w="1744"/>
        <w:gridCol w:w="910"/>
        <w:gridCol w:w="101"/>
        <w:gridCol w:w="1874"/>
        <w:gridCol w:w="964"/>
      </w:tblGrid>
      <w:tr>
        <w:trPr>
          <w:trHeight w:val="542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Univariate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Multivariate</w:t>
            </w:r>
          </w:p>
        </w:tc>
      </w:tr>
      <w:tr>
        <w:trPr>
          <w:trHeight w:val="580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Uni HR (95% CI)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Uni p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Multi HR (95% CI)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Multi p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[0.98-1.06]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[0.97-1.05]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[1.03-1.19]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[1.00-1.17]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2.14 [1.45-3.16]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1.87 [1.23-2.84]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2026-06-10T12:32:48Z</dcterms:modified>
  <cp:category/>
</cp:coreProperties>
</file>