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2. Multivariable regression results.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44"/>
        <w:gridCol w:w="1744"/>
        <w:gridCol w:w="910"/>
        <w:gridCol w:w="101"/>
        <w:gridCol w:w="1874"/>
        <w:gridCol w:w="964"/>
      </w:tblGrid>
      <w:tr>
        <w:trPr>
          <w:trHeight w:val="542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gridSpan w:val="2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Univariate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Multivariate</w:t>
            </w:r>
          </w:p>
        </w:tc>
      </w:tr>
      <w:tr>
        <w:trPr>
          <w:trHeight w:val="580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Uni HR (95% CI)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Uni p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Multi HR (95% CI)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Multi p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(yr)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[0.98-1.06]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[0.97-1.05]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[1.03-1.19]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[1.00-1.17]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2.14 [1.45-3.16]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[1.23-2.84]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2026-06-10T13:23:37Z</dcterms:modified>
  <cp:category/>
</cp:coreProperties>
</file>