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N (n = 386)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Y (n = 30)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test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BLC: 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138 (36%)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 (43%)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Chi-squared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no_MFC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[0–0]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[0–0]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MFC_present: 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Chi-squared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max_carotid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[1–2]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[1.25–4]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concom_CV: 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154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Chi-squared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carotid_segments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 ± 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 ± 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tot_carotid_inj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 ± 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 ± 0.9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Statistical Methods: For continuous variables, normality was assessed using the Shapiro-Wilk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For 2-group comparisons, normally distributed variables were compared using Welch’s t-test; non-normal distributions were compared using the Wilcoxon rank-sum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For 3-group comparisons, normally distributed variables were compared using one-way ANOVA; non-normal or ordinal variables specified by the user were compared using the Kruskal-Wallis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Categorical variables were compared using Chi-squared tests or Fisher’s exact tests if expected counts were &lt;5.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Ordinal variables were summarized as medians [IQR] and compared using appropriate non-parametric tests.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Note: Approximate p-values were used for non-parametric tests with tied data.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2025-07-07T22:00:49Z</dcterms:modified>
  <cp:category/>
</cp:coreProperties>
</file>