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72"/>
        <w:gridCol w:w="1259"/>
        <w:gridCol w:w="1306"/>
        <w:gridCol w:w="1259"/>
        <w:gridCol w:w="1259"/>
      </w:tblGrid>
      <w:tr>
        <w:trPr>
          <w:trHeight w:val="744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Category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FTC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IEFVPTC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Total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60)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Demographics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41 (68%)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61.1 ± 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59.8 ± 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60.6 ±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60.5 ± 11.6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Sample Collection Timing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2006-2009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2010-2013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17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32 (53%)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2014-2017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2018-2021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(12%)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Staging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T Category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49 (82%)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11 (18%)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M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18 (90%)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58 (97%)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38 (63%)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IV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double" w:sz="4" w:space="0" w:color="000000"/>
              <w:top w:val="doub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Abbreviations: FTC = follicular thyroid carcinoma; IEFVPTC = invasive encapsulated follicular variant of papillary thyroid carcinoma; M = metastasis; N = lymph node; PTC = papillary thyroid carcinoma; T = tumor</w:t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Fisher’s exact test with Monte Carlo simulation (B = 10,000; seed 42) was used where exact enumeration was computationally infeasible: Sample Collection Timing, T Category, N Category, M Category, Pathologic Stage.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2026-07-27T06:52:56Z</dcterms:modified>
  <cp:category/>
</cp:coreProperties>
</file>