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772"/>
        <w:gridCol w:w="1259"/>
        <w:gridCol w:w="1306"/>
        <w:gridCol w:w="1259"/>
        <w:gridCol w:w="1259"/>
      </w:tblGrid>
      <w:tr>
        <w:trPr>
          <w:trHeight w:val="744" w:hRule="auto"/>
          <w:tblHeader/>
        </w:trPr>
        <w:tc>
          <w:tcPr>
            <w:tcBorders>
              <w:bottom w:val="single" w:sz="6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DCDC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60" w:right="1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1"/>
                <w:szCs w:val="21"/>
                <w:color w:val="000000"/>
              </w:rPr>
              <w:t xml:space="preserve">Category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1"/>
                <w:szCs w:val="21"/>
                <w:color w:val="000000"/>
              </w:rPr>
              <w:br/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1"/>
                <w:szCs w:val="21"/>
                <w:color w:val="000000"/>
              </w:rPr>
              <w:t xml:space="preserve">   Variable</w:t>
            </w:r>
          </w:p>
        </w:tc>
        <w:tc>
          <w:tcPr>
            <w:tcBorders>
              <w:bottom w:val="single" w:sz="6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DCDC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60" w:right="1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1"/>
                <w:szCs w:val="21"/>
                <w:color w:val="000000"/>
              </w:rPr>
              <w:t xml:space="preserve">FTC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1"/>
                <w:szCs w:val="21"/>
                <w:color w:val="000000"/>
              </w:rPr>
              <w:br/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1"/>
                <w:szCs w:val="21"/>
                <w:color w:val="000000"/>
              </w:rPr>
              <w:t xml:space="preserve">(n = 20)</w:t>
            </w:r>
          </w:p>
        </w:tc>
        <w:tc>
          <w:tcPr>
            <w:tcBorders>
              <w:bottom w:val="single" w:sz="6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DCDC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60" w:right="1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1"/>
                <w:szCs w:val="21"/>
                <w:color w:val="000000"/>
              </w:rPr>
              <w:t xml:space="preserve">IEFVPTC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1"/>
                <w:szCs w:val="21"/>
                <w:color w:val="000000"/>
              </w:rPr>
              <w:br/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1"/>
                <w:szCs w:val="21"/>
                <w:color w:val="000000"/>
              </w:rPr>
              <w:t xml:space="preserve">(n = 20)</w:t>
            </w:r>
          </w:p>
        </w:tc>
        <w:tc>
          <w:tcPr>
            <w:tcBorders>
              <w:bottom w:val="single" w:sz="6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DCDC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60" w:right="1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1"/>
                <w:szCs w:val="21"/>
                <w:color w:val="000000"/>
              </w:rPr>
              <w:t xml:space="preserve">PTC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1"/>
                <w:szCs w:val="21"/>
                <w:color w:val="000000"/>
              </w:rPr>
              <w:br/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1"/>
                <w:szCs w:val="21"/>
                <w:color w:val="000000"/>
              </w:rPr>
              <w:t xml:space="preserve">(n = 20)</w:t>
            </w:r>
          </w:p>
        </w:tc>
        <w:tc>
          <w:tcPr>
            <w:tcBorders>
              <w:bottom w:val="single" w:sz="6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DCDC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60" w:right="1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1"/>
                <w:szCs w:val="21"/>
                <w:color w:val="000000"/>
              </w:rPr>
              <w:t xml:space="preserve">Total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1"/>
                <w:szCs w:val="21"/>
                <w:color w:val="000000"/>
              </w:rPr>
              <w:br/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1"/>
                <w:szCs w:val="21"/>
                <w:color w:val="000000"/>
              </w:rPr>
              <w:t xml:space="preserve">(N = 60)</w:t>
            </w:r>
          </w:p>
        </w:tc>
      </w:tr>
      <w:tr>
        <w:trPr>
          <w:trHeight w:val="430" w:hRule="exact"/>
        </w:trPr>
        <w:tc>
          <w:tcPr>
            <w:gridSpan w:val="5"/>
            <w:tcBorders>
              <w:bottom w:val="single" w:sz="4" w:space="0" w:color="000000"/>
              <w:top w:val="single" w:sz="6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60" w:right="1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1"/>
                <w:szCs w:val="21"/>
                <w:color w:val="000000"/>
              </w:rPr>
              <w:t xml:space="preserve">Demographics</w:t>
            </w:r>
          </w:p>
        </w:tc>
      </w:tr>
      <w:tr>
        <w:trPr>
          <w:trHeight w:val="315" w:hRule="exact"/>
        </w:trPr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18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singl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single"/>
                <w:strike w:val="false"/>
                <w:sz w:val="21"/>
                <w:szCs w:val="21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/>
            </w:r>
          </w:p>
        </w:tc>
      </w:tr>
      <w:tr>
        <w:trPr>
          <w:trHeight w:val="315" w:hRule="exac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300" w:right="120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13 (65%)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14 (70%)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14 (70%)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41 (68%)</w:t>
            </w:r>
          </w:p>
        </w:tc>
      </w:tr>
      <w:tr>
        <w:trPr>
          <w:trHeight w:val="315" w:hRule="exac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300" w:right="120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7 (35%)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6 (30%)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6 (30%)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19 (32%)</w:t>
            </w:r>
          </w:p>
        </w:tc>
      </w:tr>
      <w:tr>
        <w:trPr>
          <w:trHeight w:val="315" w:hRule="exac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18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61.1 ± 12.7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59.8 ± 11.2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60.6 ± 11.5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60.5 ± 11.6</w:t>
            </w:r>
          </w:p>
        </w:tc>
      </w:tr>
      <w:tr>
        <w:trPr>
          <w:trHeight w:val="315" w:hRule="exac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18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singl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single"/>
                <w:strike w:val="false"/>
                <w:sz w:val="21"/>
                <w:szCs w:val="21"/>
                <w:color w:val="000000"/>
              </w:rPr>
              <w:t xml:space="preserve">Sample Collection Timing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/>
            </w:r>
          </w:p>
        </w:tc>
      </w:tr>
      <w:tr>
        <w:trPr>
          <w:trHeight w:val="315" w:hRule="exac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300" w:right="120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2006-2009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2 (10%)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0 (0%)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0 (0%)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2 (3%)</w:t>
            </w:r>
          </w:p>
        </w:tc>
      </w:tr>
      <w:tr>
        <w:trPr>
          <w:trHeight w:val="315" w:hRule="exac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300" w:right="120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2010-2013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8 (40%)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7 (35%)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17 (85%)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32 (53%)</w:t>
            </w:r>
          </w:p>
        </w:tc>
      </w:tr>
      <w:tr>
        <w:trPr>
          <w:trHeight w:val="315" w:hRule="exac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300" w:right="120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2014-2017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7 (35%)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12 (60%)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0 (0%)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19 (32%)</w:t>
            </w:r>
          </w:p>
        </w:tc>
      </w:tr>
      <w:tr>
        <w:trPr>
          <w:trHeight w:val="315" w:hRule="exac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300" w:right="120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2018-2021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3 (15%)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1 (5%)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3 (15%)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7 (12%)</w:t>
            </w:r>
          </w:p>
        </w:tc>
      </w:tr>
      <w:tr>
        <w:trPr>
          <w:trHeight w:val="430" w:hRule="exact"/>
        </w:trPr>
        <w:tc>
          <w:tcPr>
            <w:gridSpan w:val="5"/>
            <w:tcBorders>
              <w:bottom w:val="single" w:sz="4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60" w:right="1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1"/>
                <w:szCs w:val="21"/>
                <w:color w:val="000000"/>
              </w:rPr>
              <w:t xml:space="preserve">Staging</w:t>
            </w:r>
          </w:p>
        </w:tc>
      </w:tr>
      <w:tr>
        <w:trPr>
          <w:trHeight w:val="315" w:hRule="exact"/>
        </w:trPr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18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singl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single"/>
                <w:strike w:val="false"/>
                <w:sz w:val="21"/>
                <w:szCs w:val="21"/>
                <w:color w:val="000000"/>
              </w:rPr>
              <w:t xml:space="preserve">T Category</w:t>
            </w:r>
          </w:p>
        </w:tc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/>
            </w:r>
          </w:p>
        </w:tc>
      </w:tr>
      <w:tr>
        <w:trPr>
          <w:trHeight w:val="315" w:hRule="exac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300" w:right="120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T1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3 (15%)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7 (35%)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10 (50%)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20 (33%)</w:t>
            </w:r>
          </w:p>
        </w:tc>
      </w:tr>
      <w:tr>
        <w:trPr>
          <w:trHeight w:val="315" w:hRule="exac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300" w:right="120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T2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8 (40%)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4 (20%)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3 (15%)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15 (25%)</w:t>
            </w:r>
          </w:p>
        </w:tc>
      </w:tr>
      <w:tr>
        <w:trPr>
          <w:trHeight w:val="315" w:hRule="exac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300" w:right="120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T3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7 (35%)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9 (45%)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4 (20%)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20 (33%)</w:t>
            </w:r>
          </w:p>
        </w:tc>
      </w:tr>
      <w:tr>
        <w:trPr>
          <w:trHeight w:val="315" w:hRule="exac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300" w:right="120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T4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2 (10%)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0 (0%)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3 (15%)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5 (8%)</w:t>
            </w:r>
          </w:p>
        </w:tc>
      </w:tr>
      <w:tr>
        <w:trPr>
          <w:trHeight w:val="315" w:hRule="exac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18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singl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single"/>
                <w:strike w:val="false"/>
                <w:sz w:val="21"/>
                <w:szCs w:val="21"/>
                <w:color w:val="000000"/>
              </w:rPr>
              <w:t xml:space="preserve">N Category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/>
            </w:r>
          </w:p>
        </w:tc>
      </w:tr>
      <w:tr>
        <w:trPr>
          <w:trHeight w:val="315" w:hRule="exac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300" w:right="120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N0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20 (100%)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19 (95%)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10 (50%)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49 (82%)</w:t>
            </w:r>
          </w:p>
        </w:tc>
      </w:tr>
      <w:tr>
        <w:trPr>
          <w:trHeight w:val="315" w:hRule="exac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300" w:right="120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N1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0 (0%)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1 (5%)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10 (50%)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11 (18%)</w:t>
            </w:r>
          </w:p>
        </w:tc>
      </w:tr>
      <w:tr>
        <w:trPr>
          <w:trHeight w:val="315" w:hRule="exac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18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singl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single"/>
                <w:strike w:val="false"/>
                <w:sz w:val="21"/>
                <w:szCs w:val="21"/>
                <w:color w:val="000000"/>
              </w:rPr>
              <w:t xml:space="preserve">M Category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/>
            </w:r>
          </w:p>
        </w:tc>
      </w:tr>
      <w:tr>
        <w:trPr>
          <w:trHeight w:val="315" w:hRule="exac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300" w:right="120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M0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18 (90%)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20 (100%)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20 (100%)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58 (97%)</w:t>
            </w:r>
          </w:p>
        </w:tc>
      </w:tr>
      <w:tr>
        <w:trPr>
          <w:trHeight w:val="315" w:hRule="exac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300" w:right="120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M1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2 (10%)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0 (0%)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0 (0%)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2 (3%)</w:t>
            </w:r>
          </w:p>
        </w:tc>
      </w:tr>
      <w:tr>
        <w:trPr>
          <w:trHeight w:val="315" w:hRule="exac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18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singl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single"/>
                <w:strike w:val="false"/>
                <w:sz w:val="21"/>
                <w:szCs w:val="21"/>
                <w:color w:val="000000"/>
              </w:rPr>
              <w:t xml:space="preserve">Pathologic Stage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/>
            </w:r>
          </w:p>
        </w:tc>
      </w:tr>
      <w:tr>
        <w:trPr>
          <w:trHeight w:val="315" w:hRule="exac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300" w:right="120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12 (60%)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14 (70%)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12 (60%)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38 (63%)</w:t>
            </w:r>
          </w:p>
        </w:tc>
      </w:tr>
      <w:tr>
        <w:trPr>
          <w:trHeight w:val="315" w:hRule="exac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300" w:right="120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II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4 (20%)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6 (30%)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5 (25%)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15 (25%)</w:t>
            </w:r>
          </w:p>
        </w:tc>
      </w:tr>
      <w:tr>
        <w:trPr>
          <w:trHeight w:val="315" w:hRule="exac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300" w:right="120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III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2 (10%)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0 (0%)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3 (15%)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5 (8%)</w:t>
            </w:r>
          </w:p>
        </w:tc>
      </w:tr>
      <w:tr>
        <w:trPr>
          <w:trHeight w:val="315" w:hRule="exact"/>
        </w:trPr>
        <w:tc>
          <w:tcPr>
            <w:tcBorders>
              <w:bottom w:val="double" w:sz="4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300" w:right="120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IV</w:t>
            </w:r>
          </w:p>
        </w:tc>
        <w:tc>
          <w:tcPr>
            <w:tcBorders>
              <w:bottom w:val="double" w:sz="4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2 (10%)</w:t>
            </w:r>
          </w:p>
        </w:tc>
        <w:tc>
          <w:tcPr>
            <w:tcBorders>
              <w:bottom w:val="double" w:sz="4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0 (0%)</w:t>
            </w:r>
          </w:p>
        </w:tc>
        <w:tc>
          <w:tcPr>
            <w:tcBorders>
              <w:bottom w:val="double" w:sz="4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0 (0%)</w:t>
            </w:r>
          </w:p>
        </w:tc>
        <w:tc>
          <w:tcPr>
            <w:tcBorders>
              <w:bottom w:val="double" w:sz="4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2 (3%)</w:t>
            </w:r>
          </w:p>
        </w:tc>
      </w:tr>
      <w:tr>
        <w:trPr>
          <w:trHeight w:val="360" w:hRule="auto"/>
        </w:trPr>
        <w:tc>
          <w:tcPr>
            <w:gridSpan w:val="5"/>
            <w:tcBorders>
              <w:bottom w:val="double" w:sz="4" w:space="0" w:color="000000"/>
              <w:top w:val="double" w:sz="4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Abbreviations: FTC = follicular thyroid carcinoma; IEFVPTC = invasive encapsulated follicular variant of papillary thyroid carcinoma; M = metastasis; N = lymph node; PTC = papillary thyroid carcinoma; T = tumor</w:t>
            </w: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12"/>
                <w:szCs w:val="12"/>
                <w:color w:val="000000"/>
              </w:rPr>
              <w:br/>
            </w: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12"/>
                <w:szCs w:val="12"/>
                <w:color w:val="000000"/>
              </w:rPr>
              <w:br/>
            </w: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Fisher’s exact test with Monte Carlo simulation (B = 10,000; seed 42) was used where exact enumeration was computationally infeasible: Sample Collection Timing, T Category, N Category, M Category, Pathologic Stage.</w:t>
            </w:r>
          </w:p>
        </w:tc>
      </w:tr>
    </w:tbl>
    <w:sectPr w:rsidR="001379FE" w:rsidSect="00747CCE">
      <w:type w:val="continuous"/>
      <w:pgSz w:w="11900" w:h="16840"/>
      <w:pgMar w:top="1417" w:right="1417" w:bottom="1417" w:left="1417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JoshsMacbook2015</cp:lastModifiedBy>
  <cp:revision>9</cp:revision>
  <dcterms:created xsi:type="dcterms:W3CDTF">2017-02-28T11:18:00Z</dcterms:created>
  <dcterms:modified xsi:type="dcterms:W3CDTF">2026-08-12T16:07:06Z</dcterms:modified>
  <cp:category/>
</cp:coreProperties>
</file>