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72"/>
        <w:gridCol w:w="1259"/>
        <w:gridCol w:w="1306"/>
        <w:gridCol w:w="1259"/>
        <w:gridCol w:w="1259"/>
      </w:tblGrid>
      <w:tr>
        <w:trPr>
          <w:trHeight w:val="744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Category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FTC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IEFVPTC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PTC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Total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60)</w:t>
            </w:r>
          </w:p>
        </w:tc>
      </w:tr>
      <w:tr>
        <w:trPr>
          <w:trHeight w:val="430" w:hRule="exact"/>
        </w:trPr>
        <w:tc>
          <w:tcPr>
            <w:gridSpan w:val="5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Demographics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13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41 (68%)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(32%)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61.1 ± 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59.8 ± 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60.6 ± 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60.5 ± 11.6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Sample Collection Timing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2006-2009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2010-2013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17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32 (53%)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2014-2017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(32%)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2018-2021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(12%)</w:t>
            </w:r>
          </w:p>
        </w:tc>
      </w:tr>
      <w:tr>
        <w:trPr>
          <w:trHeight w:val="430" w:hRule="exact"/>
        </w:trPr>
        <w:tc>
          <w:tcPr>
            <w:gridSpan w:val="5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Staging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T Category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(33%)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 (25%)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9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(33%)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N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(95%)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49 (82%)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11 (18%)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M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18 (90%)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58 (97%)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38 (63%)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 (25%)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(8%)</w:t>
            </w:r>
          </w:p>
        </w:tc>
      </w:tr>
      <w:tr>
        <w:trPr>
          <w:trHeight w:val="315" w:hRule="exact"/>
        </w:trPr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IV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double" w:sz="4" w:space="0" w:color="000000"/>
              <w:top w:val="double" w:sz="4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Abbreviations: FTC = follicular thyroid carcinoma; IEFVPTC = invasive encapsulated follicular variant of papillary thyroid carcinoma; M = metastasis; N = lymph node; PTC = papillary thyroid carcinoma; T = tumor</w:t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Fisher’s exact test with Monte Carlo simulation (B = 10,000; seed 42) was used where exact enumeration was computationally infeasible: Sample Collection Timing, T Category, N Category, M Category, Pathologic Stage.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2026-08-03T16:23:58Z</dcterms:modified>
  <cp:category/>
</cp:coreProperties>
</file>