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2"/>
        <w:gridCol w:w="1259"/>
        <w:gridCol w:w="1306"/>
        <w:gridCol w:w="1259"/>
        <w:gridCol w:w="1259"/>
      </w:tblGrid>
      <w:tr>
        <w:trPr>
          <w:trHeight w:val="74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Category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FTC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IEFVPTC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60)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Demographics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41 (68%)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61.1 ±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59.8 ±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60.6 ±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60.5 ± 11.6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Sample Collection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2006-2009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2010-2013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 (53%)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2014-2017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2018-2021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(12%)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Staging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T Category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49 (82%)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 (18%)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18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58 (97%)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38 (63%)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IV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Abbreviations: FTC = follicular thyroid carcinoma; IEFVPTC = invasive encapsulated follicular variant of papillary thyroid carcinoma; M = metastasis; N = lymph node; PTC = papillary thyroid carcinoma; T = tumor</w:t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Fisher’s exact test with Monte Carlo simulation (B = 10,000; seed 42) was used where exact enumeration was computationally infeasible: Sample Collection Timing, T Category, N Category, M Category, Pathologic Stage.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2026-08-06T14:25:16Z</dcterms:modified>
  <cp:category/>
</cp:coreProperties>
</file>