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72"/>
        <w:gridCol w:w="1259"/>
        <w:gridCol w:w="1306"/>
        <w:gridCol w:w="1259"/>
        <w:gridCol w:w="1259"/>
      </w:tblGrid>
      <w:tr>
        <w:trPr>
          <w:trHeight w:val="744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Category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FTC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(n = 20)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IEFVPTC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(n = 20)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PTC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(n = 20)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(N = 60)</w:t>
            </w:r>
          </w:p>
        </w:tc>
      </w:tr>
      <w:tr>
        <w:trPr>
          <w:trHeight w:val="430" w:hRule="exact"/>
        </w:trPr>
        <w:tc>
          <w:tcPr>
            <w:gridSpan w:val="5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Demographics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13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41 (68%)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19 (32%)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61.1 ± 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59.8 ± 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60.6 ±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60.5 ± 11.6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  <w:t xml:space="preserve">Sample Collection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2006–2009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(3%)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2010–2013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17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32 (53%)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2014–2017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19 (32%)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2018–2021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 (12%)</w:t>
            </w:r>
          </w:p>
        </w:tc>
      </w:tr>
      <w:tr>
        <w:trPr>
          <w:trHeight w:val="430" w:hRule="exact"/>
        </w:trPr>
        <w:tc>
          <w:tcPr>
            <w:gridSpan w:val="5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1"/>
                <w:szCs w:val="21"/>
                <w:color w:val="000000"/>
              </w:rPr>
              <w:t xml:space="preserve">Staging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  <w:t xml:space="preserve">T Category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 (33%)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 (25%)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 (33%)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 (8%)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  <w:t xml:space="preserve">N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19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49 (82%)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11 (18%)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  <w:t xml:space="preserve">M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18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58 (97%)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(3%)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single"/>
                <w:strike w:val="false"/>
                <w:sz w:val="21"/>
                <w:szCs w:val="21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12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38 (63%)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15 (25%)</w:t>
            </w:r>
          </w:p>
        </w:tc>
      </w:tr>
      <w:tr>
        <w:trPr>
          <w:trHeight w:val="315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 (8%)</w:t>
            </w:r>
          </w:p>
        </w:tc>
      </w:tr>
      <w:tr>
        <w:trPr>
          <w:trHeight w:val="315" w:hRule="exact"/>
        </w:trPr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IV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(10%)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0 (0%)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 (3%)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double" w:sz="4" w:space="0" w:color="000000"/>
              <w:top w:val="doub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Abbreviations: FTC = follicular thyroid carcinoma; IEFVPTC = invasive encapsulated follicular variant of papillary thyroid carcinoma; M = metastasis; N = lymph node; PTC = papillary thyroid carcinoma; T = tumor</w:t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Fisher’s exact test with Monte Carlo simulation (B = 10,000; seed 42) was used where exact enumeration was computationally infeasible: Sample Collection Timing, T Category, N Category, M Category, Pathologic Stage.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2026-09-07T15:20:07Z</dcterms:modified>
  <cp:category/>
</cp:coreProperties>
</file>