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72"/>
        <w:gridCol w:w="1259"/>
        <w:gridCol w:w="1306"/>
        <w:gridCol w:w="1259"/>
        <w:gridCol w:w="1259"/>
      </w:tblGrid>
      <w:tr>
        <w:trPr>
          <w:trHeight w:val="744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Category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FTC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IEFVPTC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60)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Demographics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41 (68%)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61.1 ± 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59.8 ±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60.6 ±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60.5 ± 11.6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Sample Collection Timing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2006–2009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2010–2013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17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32 (53%)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2014–2017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2018–2021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(12%)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Staging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T Category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49 (82%)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11 (18%)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18 (90%)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58 (97%)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38 (63%)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IV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Abbreviations: FTC = follicular thyroid carcinoma; IEFVPTC = invasive encapsulated follicular variant of papillary thyroid carcinoma; M = metastasis; N = lymph node; PTC = papillary thyroid carcinoma; T = tumor</w:t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Fisher’s exact test with Monte Carlo simulation (B = 10,000; seed 42) was used where exact enumeration was computationally infeasible: Sample Collection Timing, T Category, N Category, M Category, Pathologic Stage.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2026-09-10T17:32:39Z</dcterms:modified>
  <cp:category/>
</cp:coreProperties>
</file>