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450" w:rsidRDefault="00724B5C" w:rsidP="00724B5C">
      <w:pPr>
        <w:pStyle w:val="Heading1"/>
      </w:pPr>
      <w:proofErr w:type="spellStart"/>
      <w:r>
        <w:t>CollectionsBase</w:t>
      </w:r>
      <w:proofErr w:type="spellEnd"/>
      <w:r>
        <w:t xml:space="preserve"> Repository Infrastructure Upgrade </w:t>
      </w:r>
    </w:p>
    <w:p w:rsidR="00A92450" w:rsidRDefault="00A92450" w:rsidP="00343557">
      <w:pPr>
        <w:pStyle w:val="ListParagraph"/>
        <w:ind w:left="0"/>
      </w:pPr>
    </w:p>
    <w:p w:rsidR="00724B5C" w:rsidRDefault="00724B5C" w:rsidP="00343557">
      <w:pPr>
        <w:pStyle w:val="ListParagraph"/>
        <w:ind w:left="0"/>
      </w:pPr>
      <w:r>
        <w:t>Our high level requirement</w:t>
      </w:r>
      <w:r w:rsidR="00045239">
        <w:t>s</w:t>
      </w:r>
      <w:r>
        <w:t xml:space="preserve"> are laid out in bold below. In italics we have suggested our initial approaches to meeting this requirements, but these approaches are open to further discussion.</w:t>
      </w:r>
    </w:p>
    <w:p w:rsidR="00724B5C" w:rsidRDefault="00724B5C" w:rsidP="00343557">
      <w:pPr>
        <w:pStyle w:val="ListParagraph"/>
        <w:ind w:left="0"/>
      </w:pPr>
    </w:p>
    <w:p w:rsidR="00343557" w:rsidRPr="00A92450" w:rsidRDefault="00343557" w:rsidP="00343557">
      <w:pPr>
        <w:pStyle w:val="ListParagraph"/>
        <w:ind w:left="0"/>
      </w:pPr>
      <w:r w:rsidRPr="00724B5C">
        <w:rPr>
          <w:b/>
        </w:rPr>
        <w:t>We want to improve the r</w:t>
      </w:r>
      <w:r w:rsidR="00740596" w:rsidRPr="00724B5C">
        <w:rPr>
          <w:b/>
        </w:rPr>
        <w:t xml:space="preserve">esilience of </w:t>
      </w:r>
      <w:r w:rsidRPr="00724B5C">
        <w:rPr>
          <w:b/>
        </w:rPr>
        <w:t xml:space="preserve">the </w:t>
      </w:r>
      <w:r w:rsidR="00740596" w:rsidRPr="00724B5C">
        <w:rPr>
          <w:b/>
        </w:rPr>
        <w:t>infrastructure</w:t>
      </w:r>
      <w:r w:rsidRPr="00724B5C">
        <w:rPr>
          <w:b/>
        </w:rPr>
        <w:t xml:space="preserve"> we use for uploading, storing and querying our </w:t>
      </w:r>
      <w:proofErr w:type="spellStart"/>
      <w:r w:rsidR="00A92450" w:rsidRPr="00724B5C">
        <w:rPr>
          <w:b/>
        </w:rPr>
        <w:t>CollectionsBase</w:t>
      </w:r>
      <w:proofErr w:type="spellEnd"/>
      <w:r w:rsidR="00A92450" w:rsidRPr="00724B5C">
        <w:rPr>
          <w:b/>
        </w:rPr>
        <w:t xml:space="preserve"> Repository</w:t>
      </w:r>
      <w:r w:rsidR="00A92450" w:rsidRPr="00724B5C">
        <w:rPr>
          <w:b/>
          <w:i/>
        </w:rPr>
        <w:t>:</w:t>
      </w:r>
      <w:r w:rsidR="00A92450" w:rsidRPr="00724B5C">
        <w:rPr>
          <w:b/>
        </w:rPr>
        <w:t xml:space="preserve"> see </w:t>
      </w:r>
      <w:hyperlink r:id="rId5" w:history="1">
        <w:r w:rsidR="00A92450" w:rsidRPr="00724B5C">
          <w:rPr>
            <w:rStyle w:val="Hyperlink"/>
            <w:b/>
          </w:rPr>
          <w:t>https://www.orangeleaf.com/museums-archives-history/data-aggregation-system/</w:t>
        </w:r>
      </w:hyperlink>
      <w:r w:rsidR="00A92450" w:rsidRPr="00724B5C">
        <w:rPr>
          <w:b/>
        </w:rPr>
        <w:t xml:space="preserve">  </w:t>
      </w:r>
      <w:r w:rsidRPr="00724B5C">
        <w:rPr>
          <w:b/>
        </w:rPr>
        <w:t xml:space="preserve">This infrastructure is currently based on a single MySQL database and a single Apache SOLR index.  </w:t>
      </w:r>
      <w:r>
        <w:br/>
      </w:r>
      <w:r w:rsidRPr="00A92450">
        <w:rPr>
          <w:i/>
        </w:rPr>
        <w:t xml:space="preserve">We have been looking at Apache SOLR Master/Slave replication and MySQL replication, with a SOLR master running on a SOLR main server and a MySQL </w:t>
      </w:r>
      <w:r w:rsidR="00A92450" w:rsidRPr="00A92450">
        <w:rPr>
          <w:i/>
        </w:rPr>
        <w:t xml:space="preserve">master running on a main web server, with two slave servers both running and MySQL SOLR slave instances.  The initial architecture is outline on the diagram on page two – see the </w:t>
      </w:r>
      <w:proofErr w:type="spellStart"/>
      <w:r w:rsidR="00A92450" w:rsidRPr="00A92450">
        <w:rPr>
          <w:i/>
        </w:rPr>
        <w:t>CollectionsBase</w:t>
      </w:r>
      <w:proofErr w:type="spellEnd"/>
      <w:r w:rsidR="00A92450" w:rsidRPr="00A92450">
        <w:rPr>
          <w:i/>
        </w:rPr>
        <w:t xml:space="preserve"> Repository panel.</w:t>
      </w:r>
      <w:r w:rsidR="00A92450">
        <w:rPr>
          <w:i/>
        </w:rPr>
        <w:t xml:space="preserve">  Note: the rest of the infrastructure in this diagram is outside of the scope of this project.</w:t>
      </w:r>
    </w:p>
    <w:p w:rsidR="00343557" w:rsidRDefault="00343557" w:rsidP="00343557">
      <w:pPr>
        <w:pStyle w:val="ListParagraph"/>
        <w:ind w:left="0"/>
      </w:pPr>
    </w:p>
    <w:p w:rsidR="00A92450" w:rsidRPr="00724B5C" w:rsidRDefault="00A92450" w:rsidP="00343557">
      <w:pPr>
        <w:pStyle w:val="ListParagraph"/>
        <w:ind w:left="0"/>
        <w:rPr>
          <w:b/>
        </w:rPr>
      </w:pPr>
      <w:r w:rsidRPr="00724B5C">
        <w:rPr>
          <w:b/>
        </w:rPr>
        <w:t xml:space="preserve">We need full and seamless administrator access to the </w:t>
      </w:r>
      <w:proofErr w:type="spellStart"/>
      <w:r w:rsidRPr="00724B5C">
        <w:rPr>
          <w:b/>
        </w:rPr>
        <w:t>CollectionsBase</w:t>
      </w:r>
      <w:proofErr w:type="spellEnd"/>
      <w:r w:rsidRPr="00724B5C">
        <w:rPr>
          <w:b/>
        </w:rPr>
        <w:t xml:space="preserve"> Repository </w:t>
      </w:r>
    </w:p>
    <w:p w:rsidR="00A92450" w:rsidRDefault="00A92450" w:rsidP="00343557">
      <w:pPr>
        <w:pStyle w:val="ListParagraph"/>
        <w:ind w:left="0"/>
      </w:pPr>
      <w:r>
        <w:t xml:space="preserve">[James, Leigh: can you give more specific details about requirements </w:t>
      </w:r>
      <w:proofErr w:type="gramStart"/>
      <w:r>
        <w:t>here..</w:t>
      </w:r>
      <w:proofErr w:type="gramEnd"/>
      <w:r>
        <w:t>]</w:t>
      </w:r>
    </w:p>
    <w:p w:rsidR="00343557" w:rsidRDefault="00343557" w:rsidP="00343557">
      <w:pPr>
        <w:pStyle w:val="ListParagraph"/>
        <w:ind w:left="0"/>
      </w:pPr>
    </w:p>
    <w:p w:rsidR="00724B5C" w:rsidRPr="00724B5C" w:rsidRDefault="00724B5C" w:rsidP="00343557">
      <w:pPr>
        <w:pStyle w:val="ListParagraph"/>
        <w:ind w:left="0"/>
        <w:rPr>
          <w:b/>
        </w:rPr>
      </w:pPr>
      <w:r w:rsidRPr="00724B5C">
        <w:rPr>
          <w:b/>
        </w:rPr>
        <w:t xml:space="preserve">We need a minimum </w:t>
      </w:r>
      <w:proofErr w:type="gramStart"/>
      <w:r w:rsidRPr="00724B5C">
        <w:rPr>
          <w:b/>
        </w:rPr>
        <w:t>two month</w:t>
      </w:r>
      <w:proofErr w:type="gramEnd"/>
      <w:r w:rsidRPr="00724B5C">
        <w:rPr>
          <w:b/>
        </w:rPr>
        <w:t xml:space="preserve"> period of running the new infrastructure alongside our existing infrastructure to carry out testing.</w:t>
      </w:r>
      <w:r w:rsidR="00045239">
        <w:rPr>
          <w:b/>
        </w:rPr>
        <w:t xml:space="preserve">  During this </w:t>
      </w:r>
      <w:proofErr w:type="gramStart"/>
      <w:r w:rsidR="00045239">
        <w:rPr>
          <w:b/>
        </w:rPr>
        <w:t>period</w:t>
      </w:r>
      <w:proofErr w:type="gramEnd"/>
      <w:r w:rsidR="00045239">
        <w:rPr>
          <w:b/>
        </w:rPr>
        <w:t xml:space="preserve"> we need the ability to quickly up or downscale the specifications of the environments.</w:t>
      </w:r>
    </w:p>
    <w:p w:rsidR="00724B5C" w:rsidRDefault="00724B5C" w:rsidP="00343557">
      <w:pPr>
        <w:pStyle w:val="ListParagraph"/>
        <w:ind w:left="0"/>
      </w:pPr>
    </w:p>
    <w:p w:rsidR="00724B5C" w:rsidRPr="00724B5C" w:rsidRDefault="00724B5C" w:rsidP="00343557">
      <w:pPr>
        <w:pStyle w:val="ListParagraph"/>
        <w:ind w:left="0"/>
        <w:rPr>
          <w:b/>
        </w:rPr>
      </w:pPr>
      <w:r w:rsidRPr="00724B5C">
        <w:rPr>
          <w:b/>
        </w:rPr>
        <w:t xml:space="preserve">We require a formal Service Level Agreement in line with SLA enclosed within this document </w:t>
      </w:r>
    </w:p>
    <w:p w:rsidR="00724B5C" w:rsidRDefault="00724B5C" w:rsidP="00343557">
      <w:pPr>
        <w:pStyle w:val="ListParagraph"/>
        <w:ind w:left="0"/>
      </w:pPr>
    </w:p>
    <w:p w:rsidR="00343557" w:rsidRPr="00724B5C" w:rsidRDefault="00343557" w:rsidP="00343557">
      <w:pPr>
        <w:pStyle w:val="ListParagraph"/>
        <w:ind w:left="0"/>
        <w:rPr>
          <w:b/>
        </w:rPr>
      </w:pPr>
      <w:r w:rsidRPr="00724B5C">
        <w:rPr>
          <w:b/>
        </w:rPr>
        <w:t>We want the ability to quickly replicate our live environment in staging and development environments</w:t>
      </w:r>
      <w:r w:rsidR="00724B5C">
        <w:rPr>
          <w:b/>
        </w:rPr>
        <w:t xml:space="preserve">.  This may form part of a second phase of the project – but </w:t>
      </w:r>
      <w:r w:rsidR="001A44F9">
        <w:rPr>
          <w:b/>
        </w:rPr>
        <w:t>we want this requirement to be borne in mind from the start of the project</w:t>
      </w:r>
    </w:p>
    <w:p w:rsidR="00A92450" w:rsidRDefault="00A92450" w:rsidP="00343557">
      <w:pPr>
        <w:pStyle w:val="ListParagraph"/>
        <w:ind w:left="0"/>
      </w:pPr>
      <w:r>
        <w:rPr>
          <w:i/>
        </w:rPr>
        <w:t>We have been initially looking at containerisati</w:t>
      </w:r>
      <w:r w:rsidR="001A44F9">
        <w:rPr>
          <w:i/>
        </w:rPr>
        <w:t>on</w:t>
      </w:r>
      <w:r w:rsidR="00045239">
        <w:rPr>
          <w:i/>
        </w:rPr>
        <w:t xml:space="preserve"> (e.g. using Docker)</w:t>
      </w:r>
      <w:r w:rsidR="001A44F9">
        <w:rPr>
          <w:i/>
        </w:rPr>
        <w:t xml:space="preserve"> as a way of achieving this.</w:t>
      </w:r>
    </w:p>
    <w:p w:rsidR="001A44F9" w:rsidRDefault="001A44F9" w:rsidP="00343557">
      <w:pPr>
        <w:pStyle w:val="ListParagraph"/>
        <w:ind w:left="0"/>
      </w:pPr>
    </w:p>
    <w:p w:rsidR="001A44F9" w:rsidRPr="001A44F9" w:rsidRDefault="001A44F9" w:rsidP="00343557">
      <w:pPr>
        <w:pStyle w:val="ListParagraph"/>
        <w:ind w:left="0"/>
        <w:rPr>
          <w:b/>
        </w:rPr>
      </w:pPr>
      <w:r>
        <w:rPr>
          <w:b/>
        </w:rPr>
        <w:t>We would ideally like the infrastructure to be resilient in the event of total failure at one data centre.  Again, this requirement may form part of the second phase of this project – but we want to make sure this requirement is borne in mind from the start of the project</w:t>
      </w:r>
    </w:p>
    <w:p w:rsidR="00A92450" w:rsidRDefault="00A92450" w:rsidP="00343557">
      <w:pPr>
        <w:pStyle w:val="ListParagraph"/>
        <w:ind w:left="0"/>
      </w:pPr>
    </w:p>
    <w:p w:rsidR="00045239" w:rsidRPr="00045239" w:rsidRDefault="00045239" w:rsidP="00343557">
      <w:pPr>
        <w:pStyle w:val="ListParagraph"/>
        <w:ind w:left="0"/>
        <w:rPr>
          <w:b/>
        </w:rPr>
      </w:pPr>
      <w:r>
        <w:rPr>
          <w:b/>
        </w:rPr>
        <w:lastRenderedPageBreak/>
        <w:t>We have a l</w:t>
      </w:r>
      <w:r w:rsidR="003A539F">
        <w:rPr>
          <w:b/>
        </w:rPr>
        <w:t xml:space="preserve">ong term plan to bring all our </w:t>
      </w:r>
      <w:r>
        <w:rPr>
          <w:b/>
        </w:rPr>
        <w:t>infrastructure (which currently inc</w:t>
      </w:r>
      <w:r w:rsidR="003A539F">
        <w:rPr>
          <w:b/>
        </w:rPr>
        <w:t>ludes twenty? WordPress installs, CDN and per customer media server</w:t>
      </w:r>
      <w:r>
        <w:rPr>
          <w:b/>
        </w:rPr>
        <w:t xml:space="preserve">) </w:t>
      </w:r>
      <w:r w:rsidR="003A539F">
        <w:rPr>
          <w:b/>
        </w:rPr>
        <w:t xml:space="preserve">under the same overall management.  This is not part of this initial project, but </w:t>
      </w:r>
      <w:proofErr w:type="spellStart"/>
      <w:r w:rsidR="003A539F">
        <w:rPr>
          <w:b/>
        </w:rPr>
        <w:t>but</w:t>
      </w:r>
      <w:proofErr w:type="spellEnd"/>
      <w:r w:rsidR="003A539F">
        <w:rPr>
          <w:b/>
        </w:rPr>
        <w:t xml:space="preserve"> we want to make sure this requirement is borne in mind from the start of the project</w:t>
      </w:r>
    </w:p>
    <w:p w:rsidR="00343557" w:rsidRDefault="00343557">
      <w:r>
        <w:br w:type="page"/>
      </w:r>
    </w:p>
    <w:p w:rsidR="001A44F9" w:rsidRDefault="001A44F9" w:rsidP="001A44F9">
      <w:pPr>
        <w:pStyle w:val="Heading2"/>
      </w:pPr>
      <w:r>
        <w:lastRenderedPageBreak/>
        <w:t xml:space="preserve">APPENDIX ONE: INITIAL INFRASTRUCTURE </w:t>
      </w:r>
    </w:p>
    <w:p w:rsidR="0013627B" w:rsidRDefault="001A44F9" w:rsidP="00343557">
      <w:pPr>
        <w:pStyle w:val="ListParagraph"/>
      </w:pPr>
      <w:r>
        <w:rPr>
          <w:noProof/>
          <w:lang w:eastAsia="en-GB"/>
        </w:rPr>
        <w:drawing>
          <wp:inline distT="0" distB="0" distL="0" distR="0">
            <wp:extent cx="8863330" cy="415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View.png"/>
                    <pic:cNvPicPr/>
                  </pic:nvPicPr>
                  <pic:blipFill>
                    <a:blip r:embed="rId6">
                      <a:extLst>
                        <a:ext uri="{28A0092B-C50C-407E-A947-70E740481C1C}">
                          <a14:useLocalDpi xmlns:a14="http://schemas.microsoft.com/office/drawing/2010/main" val="0"/>
                        </a:ext>
                      </a:extLst>
                    </a:blip>
                    <a:stretch>
                      <a:fillRect/>
                    </a:stretch>
                  </pic:blipFill>
                  <pic:spPr>
                    <a:xfrm>
                      <a:off x="0" y="0"/>
                      <a:ext cx="8863330" cy="4159250"/>
                    </a:xfrm>
                    <a:prstGeom prst="rect">
                      <a:avLst/>
                    </a:prstGeom>
                  </pic:spPr>
                </pic:pic>
              </a:graphicData>
            </a:graphic>
          </wp:inline>
        </w:drawing>
      </w:r>
      <w:r w:rsidR="00343557">
        <w:t xml:space="preserve"> </w:t>
      </w:r>
    </w:p>
    <w:p w:rsidR="0013627B" w:rsidRDefault="0013627B" w:rsidP="00256419"/>
    <w:p w:rsidR="0013627B" w:rsidRDefault="0013627B" w:rsidP="00256419"/>
    <w:p w:rsidR="0013627B" w:rsidRDefault="0013627B" w:rsidP="00256419"/>
    <w:p w:rsidR="001A44F9" w:rsidRDefault="001A44F9" w:rsidP="00256419"/>
    <w:p w:rsidR="001A44F9" w:rsidRDefault="001A44F9" w:rsidP="00256419"/>
    <w:tbl>
      <w:tblPr>
        <w:tblpPr w:leftFromText="180" w:rightFromText="180" w:horzAnchor="page" w:tblpX="270" w:tblpY="-536"/>
        <w:tblW w:w="15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852"/>
        <w:gridCol w:w="7512"/>
        <w:gridCol w:w="7371"/>
      </w:tblGrid>
      <w:tr w:rsidR="001A44F9" w:rsidRPr="00075E5C" w:rsidTr="00DC06CE">
        <w:trPr>
          <w:cantSplit/>
        </w:trPr>
        <w:tc>
          <w:tcPr>
            <w:tcW w:w="15735" w:type="dxa"/>
            <w:gridSpan w:val="3"/>
            <w:shd w:val="clear" w:color="auto" w:fill="9CC2E5" w:themeFill="accent1" w:themeFillTint="99"/>
          </w:tcPr>
          <w:p w:rsidR="001A44F9" w:rsidRPr="001A44F9" w:rsidRDefault="001A44F9" w:rsidP="001A44F9">
            <w:pPr>
              <w:rPr>
                <w:lang w:eastAsia="en-GB"/>
              </w:rPr>
            </w:pPr>
            <w:bookmarkStart w:id="0" w:name="_Ref466654588"/>
          </w:p>
          <w:bookmarkEnd w:id="0"/>
          <w:p w:rsidR="001A44F9" w:rsidRPr="00C757A6" w:rsidRDefault="001A44F9" w:rsidP="001A44F9">
            <w:pPr>
              <w:pStyle w:val="Heading1"/>
              <w:rPr>
                <w:sz w:val="24"/>
                <w:szCs w:val="24"/>
                <w:lang w:eastAsia="en-GB"/>
              </w:rPr>
            </w:pPr>
            <w:r>
              <w:rPr>
                <w:lang w:eastAsia="en-GB"/>
              </w:rPr>
              <w:t xml:space="preserve">EXAMPLE OF SERVICE LEVEL AGREEMENT FOR CUSTOMER WE NEED TO WORK WITHIN </w:t>
            </w:r>
          </w:p>
        </w:tc>
      </w:tr>
      <w:tr w:rsidR="001A44F9" w:rsidRPr="00075E5C" w:rsidTr="00DC06CE">
        <w:trPr>
          <w:cantSplit/>
        </w:trPr>
        <w:tc>
          <w:tcPr>
            <w:tcW w:w="15735" w:type="dxa"/>
            <w:gridSpan w:val="3"/>
            <w:shd w:val="clear" w:color="auto" w:fill="DEEAF6" w:themeFill="accent1" w:themeFillTint="33"/>
          </w:tcPr>
          <w:p w:rsidR="001A44F9" w:rsidRPr="00C757A6" w:rsidRDefault="001A44F9" w:rsidP="00DC06CE">
            <w:pPr>
              <w:spacing w:before="120" w:after="120" w:line="240" w:lineRule="auto"/>
              <w:rPr>
                <w:rFonts w:ascii="Open Sans" w:eastAsia="Times New Roman" w:hAnsi="Open Sans" w:cs="Open Sans"/>
                <w:b/>
                <w:sz w:val="24"/>
                <w:szCs w:val="24"/>
                <w:lang w:eastAsia="en-GB"/>
              </w:rPr>
            </w:pPr>
            <w:r w:rsidRPr="00C757A6">
              <w:rPr>
                <w:rFonts w:ascii="Open Sans" w:eastAsia="Times New Roman" w:hAnsi="Open Sans" w:cs="Open Sans"/>
                <w:b/>
                <w:sz w:val="24"/>
                <w:szCs w:val="24"/>
                <w:lang w:eastAsia="en-GB"/>
              </w:rPr>
              <w:t>The supplier:</w:t>
            </w:r>
          </w:p>
          <w:p w:rsidR="001A44F9" w:rsidRPr="00C757A6" w:rsidRDefault="001A44F9" w:rsidP="001A44F9">
            <w:pPr>
              <w:numPr>
                <w:ilvl w:val="0"/>
                <w:numId w:val="4"/>
              </w:numPr>
              <w:spacing w:before="120" w:after="120" w:line="240" w:lineRule="auto"/>
              <w:contextualSpacing/>
              <w:rPr>
                <w:rFonts w:ascii="Open Sans" w:eastAsia="Times New Roman" w:hAnsi="Open Sans" w:cs="Open Sans"/>
                <w:sz w:val="24"/>
                <w:szCs w:val="24"/>
                <w:lang w:eastAsia="en-GB"/>
              </w:rPr>
            </w:pPr>
            <w:r w:rsidRPr="00C757A6">
              <w:rPr>
                <w:rFonts w:ascii="Open Sans" w:eastAsia="Times New Roman" w:hAnsi="Open Sans" w:cs="Open Sans"/>
                <w:sz w:val="24"/>
                <w:szCs w:val="24"/>
                <w:lang w:eastAsia="en-GB"/>
              </w:rPr>
              <w:t>Is to provide written details of how the service will meet the requirements below.</w:t>
            </w:r>
          </w:p>
          <w:p w:rsidR="001A44F9" w:rsidRPr="00C757A6" w:rsidRDefault="001A44F9" w:rsidP="001A44F9">
            <w:pPr>
              <w:numPr>
                <w:ilvl w:val="0"/>
                <w:numId w:val="4"/>
              </w:numPr>
              <w:spacing w:before="120" w:after="120" w:line="240" w:lineRule="auto"/>
              <w:contextualSpacing/>
              <w:rPr>
                <w:rFonts w:ascii="Open Sans" w:eastAsia="Times New Roman" w:hAnsi="Open Sans" w:cs="Open Sans"/>
                <w:sz w:val="24"/>
                <w:szCs w:val="24"/>
                <w:lang w:eastAsia="en-GB"/>
              </w:rPr>
            </w:pPr>
            <w:r w:rsidRPr="00C757A6">
              <w:rPr>
                <w:rFonts w:ascii="Open Sans" w:eastAsia="Times New Roman" w:hAnsi="Open Sans" w:cs="Open Sans"/>
                <w:sz w:val="24"/>
                <w:szCs w:val="24"/>
                <w:lang w:eastAsia="en-GB"/>
              </w:rPr>
              <w:t>Is to provide details of the expected performance of the service, providing clear guidance regarding areas in which the assurance cannot be provided.</w:t>
            </w:r>
          </w:p>
          <w:p w:rsidR="001A44F9" w:rsidRPr="00C757A6" w:rsidRDefault="001A44F9" w:rsidP="001A44F9">
            <w:pPr>
              <w:numPr>
                <w:ilvl w:val="0"/>
                <w:numId w:val="4"/>
              </w:numPr>
              <w:spacing w:before="120" w:after="120" w:line="240" w:lineRule="auto"/>
              <w:contextualSpacing/>
              <w:rPr>
                <w:rFonts w:ascii="Open Sans" w:eastAsia="Times New Roman" w:hAnsi="Open Sans" w:cs="Open Sans"/>
                <w:sz w:val="24"/>
                <w:szCs w:val="24"/>
                <w:lang w:eastAsia="en-GB"/>
              </w:rPr>
            </w:pPr>
            <w:r w:rsidRPr="00C757A6">
              <w:rPr>
                <w:rFonts w:ascii="Open Sans" w:eastAsia="Times New Roman" w:hAnsi="Open Sans" w:cs="Open Sans"/>
                <w:sz w:val="24"/>
                <w:szCs w:val="24"/>
                <w:lang w:eastAsia="en-GB"/>
              </w:rPr>
              <w:t>Can provide any additional information relating to mitigations of the risk of service unavailability.</w:t>
            </w:r>
          </w:p>
        </w:tc>
      </w:tr>
      <w:tr w:rsidR="001A44F9" w:rsidRPr="00075E5C" w:rsidTr="00DC06CE">
        <w:trPr>
          <w:cantSplit/>
        </w:trPr>
        <w:tc>
          <w:tcPr>
            <w:tcW w:w="852" w:type="dxa"/>
            <w:shd w:val="clear" w:color="auto" w:fill="FFFFFF" w:themeFill="background1"/>
          </w:tcPr>
          <w:p w:rsidR="001A44F9" w:rsidRPr="00C757A6" w:rsidRDefault="001A44F9" w:rsidP="00DC06CE">
            <w:pPr>
              <w:spacing w:before="120" w:after="120" w:line="240" w:lineRule="auto"/>
              <w:jc w:val="center"/>
              <w:rPr>
                <w:rFonts w:ascii="Open Sans" w:eastAsia="Times New Roman" w:hAnsi="Open Sans" w:cs="Open Sans"/>
                <w:b/>
                <w:color w:val="000000"/>
                <w:sz w:val="24"/>
                <w:szCs w:val="24"/>
                <w:lang w:eastAsia="en-GB"/>
              </w:rPr>
            </w:pPr>
            <w:r w:rsidRPr="00C757A6">
              <w:rPr>
                <w:rFonts w:ascii="Open Sans" w:eastAsia="Times New Roman" w:hAnsi="Open Sans" w:cs="Open Sans"/>
                <w:b/>
                <w:color w:val="000000"/>
                <w:sz w:val="24"/>
                <w:szCs w:val="24"/>
                <w:lang w:eastAsia="en-GB"/>
              </w:rPr>
              <w:t>2.a</w:t>
            </w:r>
          </w:p>
        </w:tc>
        <w:tc>
          <w:tcPr>
            <w:tcW w:w="7512" w:type="dxa"/>
            <w:shd w:val="clear" w:color="auto" w:fill="FFFFFF" w:themeFill="background1"/>
            <w:vAlign w:val="center"/>
          </w:tcPr>
          <w:p w:rsidR="001A44F9" w:rsidRPr="00C757A6" w:rsidRDefault="001A44F9" w:rsidP="00DC06CE">
            <w:pPr>
              <w:spacing w:before="120" w:after="120" w:line="240" w:lineRule="auto"/>
              <w:rPr>
                <w:rFonts w:ascii="Open Sans" w:eastAsia="Times New Roman" w:hAnsi="Open Sans" w:cs="Open Sans"/>
                <w:sz w:val="24"/>
                <w:szCs w:val="24"/>
                <w:lang w:eastAsia="en-GB"/>
              </w:rPr>
            </w:pPr>
            <w:r w:rsidRPr="00C757A6">
              <w:rPr>
                <w:rFonts w:ascii="Open Sans" w:eastAsia="Times New Roman" w:hAnsi="Open Sans" w:cs="Open Sans"/>
                <w:sz w:val="24"/>
                <w:szCs w:val="24"/>
                <w:lang w:eastAsia="en-GB"/>
              </w:rPr>
              <w:t xml:space="preserve">The supplier should provide a fully functional and available </w:t>
            </w:r>
            <w:r w:rsidRPr="00552F57">
              <w:rPr>
                <w:rFonts w:ascii="Open Sans" w:eastAsia="Times New Roman" w:hAnsi="Open Sans" w:cs="Open Sans"/>
                <w:sz w:val="24"/>
                <w:szCs w:val="24"/>
                <w:lang w:eastAsia="en-GB"/>
              </w:rPr>
              <w:t xml:space="preserve">service </w:t>
            </w:r>
            <w:r w:rsidRPr="00552F57">
              <w:rPr>
                <w:rFonts w:ascii="Open Sans" w:eastAsia="Times New Roman" w:hAnsi="Open Sans" w:cs="Open Sans"/>
                <w:b/>
                <w:sz w:val="24"/>
                <w:szCs w:val="24"/>
                <w:lang w:eastAsia="en-GB"/>
              </w:rPr>
              <w:t>99.5</w:t>
            </w:r>
            <w:r w:rsidRPr="00552F57">
              <w:rPr>
                <w:rFonts w:ascii="Open Sans" w:eastAsia="Times New Roman" w:hAnsi="Open Sans" w:cs="Open Sans"/>
                <w:sz w:val="24"/>
                <w:szCs w:val="24"/>
                <w:lang w:eastAsia="en-GB"/>
              </w:rPr>
              <w:t>%</w:t>
            </w:r>
            <w:r w:rsidRPr="00C757A6">
              <w:rPr>
                <w:rFonts w:ascii="Open Sans" w:eastAsia="Times New Roman" w:hAnsi="Open Sans" w:cs="Open Sans"/>
                <w:sz w:val="24"/>
                <w:szCs w:val="24"/>
                <w:lang w:eastAsia="en-GB"/>
              </w:rPr>
              <w:t xml:space="preserve"> of the time, </w:t>
            </w:r>
            <w:r w:rsidRPr="00C757A6">
              <w:rPr>
                <w:rFonts w:ascii="Open Sans" w:eastAsia="Times New Roman" w:hAnsi="Open Sans" w:cs="Open Sans"/>
                <w:b/>
                <w:sz w:val="24"/>
                <w:szCs w:val="24"/>
                <w:lang w:eastAsia="en-GB"/>
              </w:rPr>
              <w:t>24</w:t>
            </w:r>
            <w:r w:rsidRPr="00C757A6">
              <w:rPr>
                <w:rFonts w:ascii="Open Sans" w:eastAsia="Times New Roman" w:hAnsi="Open Sans" w:cs="Open Sans"/>
                <w:sz w:val="24"/>
                <w:szCs w:val="24"/>
                <w:lang w:eastAsia="en-GB"/>
              </w:rPr>
              <w:t xml:space="preserve"> hours a day and </w:t>
            </w:r>
            <w:r w:rsidRPr="00C757A6">
              <w:rPr>
                <w:rFonts w:ascii="Open Sans" w:eastAsia="Times New Roman" w:hAnsi="Open Sans" w:cs="Open Sans"/>
                <w:b/>
                <w:sz w:val="24"/>
                <w:szCs w:val="24"/>
                <w:lang w:eastAsia="en-GB"/>
              </w:rPr>
              <w:t>7</w:t>
            </w:r>
            <w:r w:rsidRPr="00C757A6">
              <w:rPr>
                <w:rFonts w:ascii="Open Sans" w:eastAsia="Times New Roman" w:hAnsi="Open Sans" w:cs="Open Sans"/>
                <w:sz w:val="24"/>
                <w:szCs w:val="24"/>
                <w:lang w:eastAsia="en-GB"/>
              </w:rPr>
              <w:t xml:space="preserve"> days a week, measured </w:t>
            </w:r>
            <w:r w:rsidRPr="00C757A6">
              <w:rPr>
                <w:rFonts w:ascii="Open Sans" w:eastAsia="Times New Roman" w:hAnsi="Open Sans" w:cs="Open Sans"/>
                <w:b/>
                <w:sz w:val="24"/>
                <w:szCs w:val="24"/>
                <w:lang w:eastAsia="en-GB"/>
              </w:rPr>
              <w:t>monthly</w:t>
            </w:r>
            <w:r w:rsidRPr="00C757A6">
              <w:rPr>
                <w:rFonts w:ascii="Open Sans" w:eastAsia="Times New Roman" w:hAnsi="Open Sans" w:cs="Open Sans"/>
                <w:sz w:val="24"/>
                <w:szCs w:val="24"/>
                <w:lang w:eastAsia="en-GB"/>
              </w:rPr>
              <w:t>. For clarification the authority will consider the service not fully functional should poor performance impact upon the usability of the service.</w:t>
            </w:r>
          </w:p>
        </w:tc>
        <w:tc>
          <w:tcPr>
            <w:tcW w:w="7371" w:type="dxa"/>
            <w:shd w:val="clear" w:color="auto" w:fill="FFFFFF" w:themeFill="background1"/>
          </w:tcPr>
          <w:p w:rsidR="001A44F9" w:rsidRPr="00C757A6" w:rsidRDefault="001A44F9" w:rsidP="00DC06CE">
            <w:pPr>
              <w:spacing w:before="120" w:after="120" w:line="240" w:lineRule="auto"/>
              <w:jc w:val="center"/>
              <w:rPr>
                <w:rFonts w:ascii="Open Sans" w:eastAsia="Times New Roman" w:hAnsi="Open Sans" w:cs="Open Sans"/>
                <w:b/>
                <w:sz w:val="24"/>
                <w:szCs w:val="24"/>
                <w:lang w:eastAsia="en-GB"/>
              </w:rPr>
            </w:pPr>
          </w:p>
        </w:tc>
      </w:tr>
      <w:tr w:rsidR="001A44F9" w:rsidRPr="00075E5C" w:rsidTr="00DC06CE">
        <w:trPr>
          <w:cantSplit/>
        </w:trPr>
        <w:tc>
          <w:tcPr>
            <w:tcW w:w="852" w:type="dxa"/>
            <w:shd w:val="clear" w:color="auto" w:fill="FFFFFF" w:themeFill="background1"/>
          </w:tcPr>
          <w:p w:rsidR="001A44F9" w:rsidRPr="00C757A6" w:rsidRDefault="001A44F9" w:rsidP="00DC06CE">
            <w:pPr>
              <w:spacing w:before="120" w:after="120" w:line="240" w:lineRule="auto"/>
              <w:jc w:val="center"/>
              <w:rPr>
                <w:rFonts w:ascii="Open Sans" w:eastAsia="Times New Roman" w:hAnsi="Open Sans" w:cs="Open Sans"/>
                <w:b/>
                <w:color w:val="000000"/>
                <w:sz w:val="24"/>
                <w:szCs w:val="24"/>
                <w:lang w:eastAsia="en-GB"/>
              </w:rPr>
            </w:pPr>
            <w:r w:rsidRPr="00C757A6">
              <w:rPr>
                <w:rFonts w:ascii="Open Sans" w:eastAsia="Times New Roman" w:hAnsi="Open Sans" w:cs="Open Sans"/>
                <w:b/>
                <w:color w:val="000000"/>
                <w:sz w:val="24"/>
                <w:szCs w:val="24"/>
                <w:lang w:eastAsia="en-GB"/>
              </w:rPr>
              <w:t>2.b</w:t>
            </w:r>
          </w:p>
        </w:tc>
        <w:tc>
          <w:tcPr>
            <w:tcW w:w="7512" w:type="dxa"/>
            <w:shd w:val="clear" w:color="auto" w:fill="FFFFFF" w:themeFill="background1"/>
            <w:vAlign w:val="center"/>
          </w:tcPr>
          <w:p w:rsidR="001A44F9" w:rsidRPr="00C757A6" w:rsidRDefault="001A44F9" w:rsidP="00DC06CE">
            <w:pPr>
              <w:spacing w:before="120" w:after="120" w:line="240" w:lineRule="auto"/>
              <w:rPr>
                <w:rFonts w:ascii="Open Sans" w:eastAsia="Times New Roman" w:hAnsi="Open Sans" w:cs="Open Sans"/>
                <w:sz w:val="24"/>
                <w:szCs w:val="24"/>
                <w:lang w:eastAsia="en-GB"/>
              </w:rPr>
            </w:pPr>
            <w:r w:rsidRPr="00C757A6">
              <w:rPr>
                <w:rFonts w:ascii="Open Sans" w:eastAsia="Times New Roman" w:hAnsi="Open Sans" w:cs="Open Sans"/>
                <w:sz w:val="24"/>
                <w:szCs w:val="24"/>
                <w:lang w:eastAsia="en-GB"/>
              </w:rPr>
              <w:t xml:space="preserve">In addition to uptime the service should not be affected by more than </w:t>
            </w:r>
            <w:r w:rsidRPr="00C757A6">
              <w:rPr>
                <w:rFonts w:ascii="Open Sans" w:eastAsia="Times New Roman" w:hAnsi="Open Sans" w:cs="Open Sans"/>
                <w:b/>
                <w:sz w:val="24"/>
                <w:szCs w:val="24"/>
                <w:lang w:eastAsia="en-GB"/>
              </w:rPr>
              <w:t>3</w:t>
            </w:r>
            <w:r w:rsidRPr="00C757A6">
              <w:rPr>
                <w:rFonts w:ascii="Open Sans" w:eastAsia="Times New Roman" w:hAnsi="Open Sans" w:cs="Open Sans"/>
                <w:sz w:val="24"/>
                <w:szCs w:val="24"/>
                <w:lang w:eastAsia="en-GB"/>
              </w:rPr>
              <w:t xml:space="preserve"> service availability incidents per calendar month.</w:t>
            </w:r>
          </w:p>
        </w:tc>
        <w:tc>
          <w:tcPr>
            <w:tcW w:w="7371" w:type="dxa"/>
            <w:shd w:val="clear" w:color="auto" w:fill="FFFFFF" w:themeFill="background1"/>
          </w:tcPr>
          <w:p w:rsidR="001A44F9" w:rsidRPr="00C757A6" w:rsidRDefault="001A44F9" w:rsidP="00DC06CE">
            <w:pPr>
              <w:spacing w:before="120" w:after="120" w:line="240" w:lineRule="auto"/>
              <w:jc w:val="center"/>
              <w:rPr>
                <w:rFonts w:ascii="Open Sans" w:eastAsia="Times New Roman" w:hAnsi="Open Sans" w:cs="Open Sans"/>
                <w:b/>
                <w:sz w:val="24"/>
                <w:szCs w:val="24"/>
                <w:lang w:eastAsia="en-GB"/>
              </w:rPr>
            </w:pPr>
          </w:p>
        </w:tc>
      </w:tr>
      <w:tr w:rsidR="001A44F9" w:rsidRPr="00075E5C" w:rsidTr="00DC06CE">
        <w:trPr>
          <w:cantSplit/>
        </w:trPr>
        <w:tc>
          <w:tcPr>
            <w:tcW w:w="852" w:type="dxa"/>
            <w:shd w:val="clear" w:color="auto" w:fill="FFFFFF" w:themeFill="background1"/>
          </w:tcPr>
          <w:p w:rsidR="001A44F9" w:rsidRPr="00C757A6" w:rsidRDefault="001A44F9" w:rsidP="00DC06CE">
            <w:pPr>
              <w:spacing w:before="120" w:after="120" w:line="240" w:lineRule="auto"/>
              <w:jc w:val="center"/>
              <w:rPr>
                <w:rFonts w:ascii="Open Sans" w:eastAsia="Times New Roman" w:hAnsi="Open Sans" w:cs="Open Sans"/>
                <w:b/>
                <w:color w:val="000000"/>
                <w:sz w:val="24"/>
                <w:szCs w:val="24"/>
                <w:lang w:eastAsia="en-GB"/>
              </w:rPr>
            </w:pPr>
            <w:r w:rsidRPr="00C757A6">
              <w:rPr>
                <w:rFonts w:ascii="Open Sans" w:eastAsia="Times New Roman" w:hAnsi="Open Sans" w:cs="Open Sans"/>
                <w:b/>
                <w:color w:val="000000"/>
                <w:sz w:val="24"/>
                <w:szCs w:val="24"/>
                <w:lang w:eastAsia="en-GB"/>
              </w:rPr>
              <w:t>2.c</w:t>
            </w:r>
          </w:p>
        </w:tc>
        <w:tc>
          <w:tcPr>
            <w:tcW w:w="7512" w:type="dxa"/>
            <w:shd w:val="clear" w:color="auto" w:fill="FFFFFF" w:themeFill="background1"/>
            <w:vAlign w:val="center"/>
          </w:tcPr>
          <w:p w:rsidR="001A44F9" w:rsidRPr="00C757A6" w:rsidRDefault="001A44F9" w:rsidP="00DC06CE">
            <w:pPr>
              <w:spacing w:before="120" w:after="120" w:line="240" w:lineRule="auto"/>
              <w:rPr>
                <w:rFonts w:ascii="Open Sans" w:eastAsia="Times New Roman" w:hAnsi="Open Sans" w:cs="Open Sans"/>
                <w:sz w:val="24"/>
                <w:szCs w:val="24"/>
                <w:lang w:eastAsia="en-GB"/>
              </w:rPr>
            </w:pPr>
            <w:r w:rsidRPr="00C757A6">
              <w:rPr>
                <w:rFonts w:ascii="Open Sans" w:eastAsia="Times New Roman" w:hAnsi="Open Sans" w:cs="Open Sans"/>
                <w:sz w:val="24"/>
                <w:szCs w:val="24"/>
                <w:lang w:eastAsia="en-GB"/>
              </w:rPr>
              <w:t xml:space="preserve">The supplier should provide Recovery Time Objectives (RTOs) of less than </w:t>
            </w:r>
            <w:r w:rsidRPr="00C757A6">
              <w:rPr>
                <w:rFonts w:ascii="Open Sans" w:eastAsia="Times New Roman" w:hAnsi="Open Sans" w:cs="Open Sans"/>
                <w:b/>
                <w:sz w:val="24"/>
                <w:szCs w:val="24"/>
                <w:lang w:eastAsia="en-GB"/>
              </w:rPr>
              <w:t>18</w:t>
            </w:r>
            <w:r w:rsidRPr="00C757A6">
              <w:rPr>
                <w:rFonts w:ascii="Open Sans" w:eastAsia="Times New Roman" w:hAnsi="Open Sans" w:cs="Open Sans"/>
                <w:sz w:val="24"/>
                <w:szCs w:val="24"/>
                <w:lang w:eastAsia="en-GB"/>
              </w:rPr>
              <w:t xml:space="preserve"> hours for the service.</w:t>
            </w:r>
          </w:p>
        </w:tc>
        <w:tc>
          <w:tcPr>
            <w:tcW w:w="7371" w:type="dxa"/>
            <w:shd w:val="clear" w:color="auto" w:fill="FFFFFF" w:themeFill="background1"/>
          </w:tcPr>
          <w:p w:rsidR="001A44F9" w:rsidRPr="00C757A6" w:rsidRDefault="001A44F9" w:rsidP="00DC06CE">
            <w:pPr>
              <w:spacing w:before="120" w:after="120" w:line="240" w:lineRule="auto"/>
              <w:jc w:val="center"/>
              <w:rPr>
                <w:rFonts w:ascii="Open Sans" w:eastAsia="Times New Roman" w:hAnsi="Open Sans" w:cs="Open Sans"/>
                <w:b/>
                <w:sz w:val="24"/>
                <w:szCs w:val="24"/>
                <w:lang w:eastAsia="en-GB"/>
              </w:rPr>
            </w:pPr>
          </w:p>
        </w:tc>
      </w:tr>
      <w:tr w:rsidR="001A44F9" w:rsidRPr="00075E5C" w:rsidTr="00DC06CE">
        <w:trPr>
          <w:cantSplit/>
        </w:trPr>
        <w:tc>
          <w:tcPr>
            <w:tcW w:w="852" w:type="dxa"/>
            <w:shd w:val="clear" w:color="auto" w:fill="FFFFFF" w:themeFill="background1"/>
          </w:tcPr>
          <w:p w:rsidR="001A44F9" w:rsidRPr="00C757A6" w:rsidRDefault="001A44F9" w:rsidP="00DC06CE">
            <w:pPr>
              <w:spacing w:before="120" w:after="120" w:line="240" w:lineRule="auto"/>
              <w:jc w:val="center"/>
              <w:rPr>
                <w:rFonts w:ascii="Open Sans" w:eastAsia="Times New Roman" w:hAnsi="Open Sans" w:cs="Open Sans"/>
                <w:b/>
                <w:color w:val="000000"/>
                <w:sz w:val="24"/>
                <w:szCs w:val="24"/>
                <w:lang w:eastAsia="en-GB"/>
              </w:rPr>
            </w:pPr>
            <w:r w:rsidRPr="00C757A6">
              <w:rPr>
                <w:rFonts w:ascii="Open Sans" w:eastAsia="Times New Roman" w:hAnsi="Open Sans" w:cs="Open Sans"/>
                <w:b/>
                <w:color w:val="000000"/>
                <w:sz w:val="24"/>
                <w:szCs w:val="24"/>
                <w:lang w:eastAsia="en-GB"/>
              </w:rPr>
              <w:t>2.d</w:t>
            </w:r>
          </w:p>
        </w:tc>
        <w:tc>
          <w:tcPr>
            <w:tcW w:w="7512" w:type="dxa"/>
            <w:shd w:val="clear" w:color="auto" w:fill="FFFFFF" w:themeFill="background1"/>
            <w:vAlign w:val="center"/>
          </w:tcPr>
          <w:p w:rsidR="001A44F9" w:rsidRPr="00C757A6" w:rsidRDefault="001A44F9" w:rsidP="00DC06CE">
            <w:pPr>
              <w:spacing w:before="120" w:after="120" w:line="240" w:lineRule="auto"/>
              <w:rPr>
                <w:rFonts w:ascii="Open Sans" w:eastAsia="Times New Roman" w:hAnsi="Open Sans" w:cs="Open Sans"/>
                <w:sz w:val="24"/>
                <w:szCs w:val="24"/>
                <w:lang w:eastAsia="en-GB"/>
              </w:rPr>
            </w:pPr>
            <w:r w:rsidRPr="00C757A6">
              <w:rPr>
                <w:rFonts w:ascii="Open Sans" w:eastAsia="Times New Roman" w:hAnsi="Open Sans" w:cs="Open Sans"/>
                <w:sz w:val="24"/>
                <w:szCs w:val="24"/>
                <w:lang w:eastAsia="en-GB"/>
              </w:rPr>
              <w:t xml:space="preserve">The supplier should provide Recovery Point Objectives (RPOs) of less than </w:t>
            </w:r>
            <w:r w:rsidRPr="00C757A6">
              <w:rPr>
                <w:rFonts w:ascii="Open Sans" w:eastAsia="Times New Roman" w:hAnsi="Open Sans" w:cs="Open Sans"/>
                <w:b/>
                <w:sz w:val="24"/>
                <w:szCs w:val="24"/>
                <w:lang w:eastAsia="en-GB"/>
              </w:rPr>
              <w:t>3</w:t>
            </w:r>
            <w:r w:rsidRPr="00C757A6">
              <w:rPr>
                <w:rFonts w:ascii="Open Sans" w:eastAsia="Times New Roman" w:hAnsi="Open Sans" w:cs="Open Sans"/>
                <w:sz w:val="24"/>
                <w:szCs w:val="24"/>
                <w:lang w:eastAsia="en-GB"/>
              </w:rPr>
              <w:t xml:space="preserve"> hours for the service.</w:t>
            </w:r>
            <w:bookmarkStart w:id="1" w:name="_GoBack"/>
            <w:bookmarkEnd w:id="1"/>
          </w:p>
        </w:tc>
        <w:tc>
          <w:tcPr>
            <w:tcW w:w="7371" w:type="dxa"/>
            <w:shd w:val="clear" w:color="auto" w:fill="FFFFFF" w:themeFill="background1"/>
          </w:tcPr>
          <w:p w:rsidR="001A44F9" w:rsidRPr="00C757A6" w:rsidRDefault="001A44F9" w:rsidP="00DC06CE">
            <w:pPr>
              <w:spacing w:before="120" w:after="120" w:line="240" w:lineRule="auto"/>
              <w:jc w:val="center"/>
              <w:rPr>
                <w:rFonts w:ascii="Open Sans" w:eastAsia="Times New Roman" w:hAnsi="Open Sans" w:cs="Open Sans"/>
                <w:b/>
                <w:sz w:val="24"/>
                <w:szCs w:val="24"/>
                <w:lang w:eastAsia="en-GB"/>
              </w:rPr>
            </w:pPr>
          </w:p>
        </w:tc>
      </w:tr>
      <w:tr w:rsidR="001A44F9" w:rsidRPr="00075E5C" w:rsidTr="00DC06CE">
        <w:trPr>
          <w:cantSplit/>
        </w:trPr>
        <w:tc>
          <w:tcPr>
            <w:tcW w:w="852" w:type="dxa"/>
            <w:shd w:val="clear" w:color="auto" w:fill="FFFFFF" w:themeFill="background1"/>
          </w:tcPr>
          <w:p w:rsidR="001A44F9" w:rsidRPr="00C757A6" w:rsidRDefault="001A44F9" w:rsidP="00DC06CE">
            <w:pPr>
              <w:spacing w:before="120" w:after="120" w:line="240" w:lineRule="auto"/>
              <w:jc w:val="center"/>
              <w:rPr>
                <w:rFonts w:ascii="Open Sans" w:eastAsia="Times New Roman" w:hAnsi="Open Sans" w:cs="Open Sans"/>
                <w:b/>
                <w:color w:val="000000"/>
                <w:sz w:val="24"/>
                <w:szCs w:val="24"/>
                <w:lang w:eastAsia="en-GB"/>
              </w:rPr>
            </w:pPr>
            <w:r w:rsidRPr="00C757A6">
              <w:rPr>
                <w:rFonts w:ascii="Open Sans" w:eastAsia="Times New Roman" w:hAnsi="Open Sans" w:cs="Open Sans"/>
                <w:b/>
                <w:color w:val="000000"/>
                <w:sz w:val="24"/>
                <w:szCs w:val="24"/>
                <w:lang w:eastAsia="en-GB"/>
              </w:rPr>
              <w:t>2.e</w:t>
            </w:r>
          </w:p>
        </w:tc>
        <w:tc>
          <w:tcPr>
            <w:tcW w:w="7512" w:type="dxa"/>
            <w:shd w:val="clear" w:color="auto" w:fill="FFFFFF" w:themeFill="background1"/>
            <w:vAlign w:val="center"/>
          </w:tcPr>
          <w:p w:rsidR="001A44F9" w:rsidRPr="00C757A6" w:rsidRDefault="001A44F9" w:rsidP="00DC06CE">
            <w:pPr>
              <w:spacing w:before="120" w:after="120" w:line="240" w:lineRule="auto"/>
              <w:rPr>
                <w:rFonts w:ascii="Open Sans" w:eastAsia="Times New Roman" w:hAnsi="Open Sans" w:cs="Open Sans"/>
                <w:sz w:val="24"/>
                <w:szCs w:val="24"/>
                <w:lang w:eastAsia="en-GB"/>
              </w:rPr>
            </w:pPr>
            <w:r w:rsidRPr="00C757A6">
              <w:rPr>
                <w:rFonts w:ascii="Open Sans" w:eastAsia="Times New Roman" w:hAnsi="Open Sans" w:cs="Open Sans"/>
                <w:sz w:val="24"/>
                <w:szCs w:val="24"/>
                <w:lang w:eastAsia="en-GB"/>
              </w:rPr>
              <w:t xml:space="preserve">The supplier should be able to meet authority requests for the restoration of any data up to </w:t>
            </w:r>
            <w:r w:rsidRPr="00C757A6">
              <w:rPr>
                <w:rFonts w:ascii="Open Sans" w:eastAsia="Times New Roman" w:hAnsi="Open Sans" w:cs="Open Sans"/>
                <w:b/>
                <w:sz w:val="24"/>
                <w:szCs w:val="24"/>
                <w:lang w:eastAsia="en-GB"/>
              </w:rPr>
              <w:t>1</w:t>
            </w:r>
            <w:r w:rsidRPr="00C757A6">
              <w:rPr>
                <w:rFonts w:ascii="Open Sans" w:eastAsia="Times New Roman" w:hAnsi="Open Sans" w:cs="Open Sans"/>
                <w:sz w:val="24"/>
                <w:szCs w:val="24"/>
                <w:lang w:eastAsia="en-GB"/>
              </w:rPr>
              <w:t xml:space="preserve"> week after deletion, and specify any time or cost constraints related to the delivery of this capability.</w:t>
            </w:r>
          </w:p>
        </w:tc>
        <w:tc>
          <w:tcPr>
            <w:tcW w:w="7371" w:type="dxa"/>
            <w:shd w:val="clear" w:color="auto" w:fill="FFFFFF" w:themeFill="background1"/>
          </w:tcPr>
          <w:p w:rsidR="001A44F9" w:rsidRPr="00C757A6" w:rsidRDefault="001A44F9" w:rsidP="00DC06CE">
            <w:pPr>
              <w:spacing w:before="120" w:after="120" w:line="240" w:lineRule="auto"/>
              <w:jc w:val="center"/>
              <w:rPr>
                <w:rFonts w:ascii="Open Sans" w:eastAsia="Times New Roman" w:hAnsi="Open Sans" w:cs="Open Sans"/>
                <w:b/>
                <w:sz w:val="24"/>
                <w:szCs w:val="24"/>
                <w:lang w:eastAsia="en-GB"/>
              </w:rPr>
            </w:pPr>
          </w:p>
        </w:tc>
      </w:tr>
    </w:tbl>
    <w:p w:rsidR="001A44F9" w:rsidRDefault="001A44F9" w:rsidP="001A44F9"/>
    <w:p w:rsidR="001A44F9" w:rsidRPr="00515006" w:rsidRDefault="001A44F9" w:rsidP="001A44F9">
      <w:pPr>
        <w:pStyle w:val="Heading1"/>
        <w:spacing w:line="240" w:lineRule="auto"/>
        <w:ind w:left="432" w:hanging="432"/>
        <w:rPr>
          <w:rFonts w:ascii="Open Sans" w:hAnsi="Open Sans" w:cs="Open Sans"/>
        </w:rPr>
      </w:pPr>
      <w:bookmarkStart w:id="2" w:name="_Ref466651367"/>
      <w:bookmarkStart w:id="3" w:name="_Toc469386956"/>
      <w:r w:rsidRPr="00515006">
        <w:rPr>
          <w:rFonts w:ascii="Open Sans" w:hAnsi="Open Sans" w:cs="Open Sans"/>
        </w:rPr>
        <w:t>Service Level Agreements</w:t>
      </w:r>
      <w:bookmarkEnd w:id="2"/>
      <w:bookmarkEnd w:id="3"/>
    </w:p>
    <w:p w:rsidR="001A44F9" w:rsidRPr="00515006" w:rsidRDefault="001A44F9" w:rsidP="001A44F9">
      <w:pPr>
        <w:rPr>
          <w:rFonts w:ascii="Open Sans" w:hAnsi="Open Sans" w:cs="Open Sans"/>
          <w:sz w:val="24"/>
          <w:szCs w:val="24"/>
        </w:rPr>
      </w:pPr>
      <w:r w:rsidRPr="00515006">
        <w:rPr>
          <w:rFonts w:ascii="Open Sans" w:hAnsi="Open Sans" w:cs="Open Sans"/>
          <w:sz w:val="24"/>
          <w:szCs w:val="24"/>
        </w:rPr>
        <w:t>Provided below are the authority’s standard SLA matrices for all Service Management processes.</w:t>
      </w:r>
    </w:p>
    <w:tbl>
      <w:tblPr>
        <w:tblStyle w:val="TableGrid"/>
        <w:tblW w:w="0" w:type="auto"/>
        <w:tblLayout w:type="fixed"/>
        <w:tblLook w:val="04A0" w:firstRow="1" w:lastRow="0" w:firstColumn="1" w:lastColumn="0" w:noHBand="0" w:noVBand="1"/>
      </w:tblPr>
      <w:tblGrid>
        <w:gridCol w:w="1242"/>
        <w:gridCol w:w="4536"/>
        <w:gridCol w:w="9356"/>
      </w:tblGrid>
      <w:tr w:rsidR="001A44F9" w:rsidRPr="000A7013" w:rsidTr="00DC06CE">
        <w:trPr>
          <w:trHeight w:val="331"/>
          <w:tblHeader/>
        </w:trPr>
        <w:tc>
          <w:tcPr>
            <w:tcW w:w="15134" w:type="dxa"/>
            <w:gridSpan w:val="3"/>
            <w:shd w:val="clear" w:color="auto" w:fill="8496B0" w:themeFill="text2" w:themeFillTint="99"/>
          </w:tcPr>
          <w:p w:rsidR="001A44F9" w:rsidRPr="000A7013" w:rsidRDefault="001A44F9" w:rsidP="00DC06CE">
            <w:pPr>
              <w:rPr>
                <w:rFonts w:ascii="Open Sans" w:hAnsi="Open Sans" w:cs="Open Sans"/>
                <w:b/>
                <w:sz w:val="24"/>
                <w:szCs w:val="24"/>
              </w:rPr>
            </w:pPr>
            <w:r w:rsidRPr="000A7013">
              <w:rPr>
                <w:rFonts w:ascii="Open Sans" w:hAnsi="Open Sans" w:cs="Open Sans"/>
                <w:b/>
                <w:sz w:val="24"/>
                <w:szCs w:val="24"/>
              </w:rPr>
              <w:lastRenderedPageBreak/>
              <w:t>Incident SLAs</w:t>
            </w:r>
          </w:p>
        </w:tc>
      </w:tr>
      <w:tr w:rsidR="001A44F9" w:rsidRPr="000A7013" w:rsidTr="00DC06CE">
        <w:trPr>
          <w:tblHeader/>
        </w:trPr>
        <w:tc>
          <w:tcPr>
            <w:tcW w:w="1242" w:type="dxa"/>
            <w:shd w:val="clear" w:color="auto" w:fill="ACB9CA" w:themeFill="text2" w:themeFillTint="66"/>
          </w:tcPr>
          <w:p w:rsidR="001A44F9" w:rsidRPr="000A7013" w:rsidRDefault="001A44F9" w:rsidP="00DC06CE">
            <w:pPr>
              <w:rPr>
                <w:rFonts w:ascii="Open Sans" w:hAnsi="Open Sans" w:cs="Open Sans"/>
                <w:b/>
                <w:sz w:val="24"/>
                <w:szCs w:val="24"/>
              </w:rPr>
            </w:pPr>
            <w:r w:rsidRPr="000A7013">
              <w:rPr>
                <w:rFonts w:ascii="Open Sans" w:hAnsi="Open Sans" w:cs="Open Sans"/>
                <w:b/>
                <w:sz w:val="24"/>
                <w:szCs w:val="24"/>
              </w:rPr>
              <w:t>Priority</w:t>
            </w:r>
          </w:p>
        </w:tc>
        <w:tc>
          <w:tcPr>
            <w:tcW w:w="4536" w:type="dxa"/>
            <w:shd w:val="clear" w:color="auto" w:fill="ACB9CA" w:themeFill="text2" w:themeFillTint="66"/>
          </w:tcPr>
          <w:p w:rsidR="001A44F9" w:rsidRPr="000A7013" w:rsidRDefault="001A44F9" w:rsidP="00DC06CE">
            <w:pPr>
              <w:rPr>
                <w:rFonts w:ascii="Open Sans" w:hAnsi="Open Sans" w:cs="Open Sans"/>
                <w:b/>
                <w:sz w:val="24"/>
                <w:szCs w:val="24"/>
              </w:rPr>
            </w:pPr>
            <w:r w:rsidRPr="000A7013">
              <w:rPr>
                <w:rFonts w:ascii="Open Sans" w:hAnsi="Open Sans" w:cs="Open Sans"/>
                <w:b/>
                <w:sz w:val="24"/>
                <w:szCs w:val="24"/>
              </w:rPr>
              <w:t xml:space="preserve">Description </w:t>
            </w:r>
            <w:r>
              <w:rPr>
                <w:rFonts w:ascii="Open Sans" w:hAnsi="Open Sans" w:cs="Open Sans"/>
                <w:b/>
                <w:sz w:val="24"/>
                <w:szCs w:val="24"/>
              </w:rPr>
              <w:t>and</w:t>
            </w:r>
            <w:r w:rsidRPr="000A7013">
              <w:rPr>
                <w:rFonts w:ascii="Open Sans" w:hAnsi="Open Sans" w:cs="Open Sans"/>
                <w:b/>
                <w:sz w:val="24"/>
                <w:szCs w:val="24"/>
              </w:rPr>
              <w:t xml:space="preserve"> Response Times</w:t>
            </w:r>
          </w:p>
        </w:tc>
        <w:tc>
          <w:tcPr>
            <w:tcW w:w="9356" w:type="dxa"/>
            <w:shd w:val="clear" w:color="auto" w:fill="ACB9CA" w:themeFill="text2" w:themeFillTint="66"/>
          </w:tcPr>
          <w:p w:rsidR="001A44F9" w:rsidRPr="000A7013" w:rsidRDefault="001A44F9" w:rsidP="00DC06CE">
            <w:pPr>
              <w:rPr>
                <w:rFonts w:ascii="Open Sans" w:hAnsi="Open Sans" w:cs="Open Sans"/>
                <w:b/>
                <w:sz w:val="24"/>
                <w:szCs w:val="24"/>
              </w:rPr>
            </w:pPr>
            <w:r w:rsidRPr="000A7013">
              <w:rPr>
                <w:rFonts w:ascii="Open Sans" w:hAnsi="Open Sans" w:cs="Open Sans"/>
                <w:b/>
                <w:sz w:val="24"/>
                <w:szCs w:val="24"/>
              </w:rPr>
              <w:t>Examples</w:t>
            </w:r>
          </w:p>
        </w:tc>
      </w:tr>
      <w:tr w:rsidR="001A44F9" w:rsidRPr="00515006" w:rsidTr="00DC06CE">
        <w:tc>
          <w:tcPr>
            <w:tcW w:w="1242" w:type="dxa"/>
          </w:tcPr>
          <w:p w:rsidR="001A44F9" w:rsidRPr="00515006" w:rsidRDefault="001A44F9" w:rsidP="00DC06CE">
            <w:pPr>
              <w:spacing w:before="120" w:after="120"/>
              <w:rPr>
                <w:rFonts w:ascii="Open Sans" w:hAnsi="Open Sans" w:cs="Open Sans"/>
                <w:b/>
                <w:sz w:val="24"/>
                <w:szCs w:val="24"/>
              </w:rPr>
            </w:pPr>
            <w:r w:rsidRPr="00515006">
              <w:rPr>
                <w:rFonts w:ascii="Open Sans" w:hAnsi="Open Sans" w:cs="Open Sans"/>
                <w:b/>
                <w:sz w:val="24"/>
                <w:szCs w:val="24"/>
              </w:rPr>
              <w:t>I1</w:t>
            </w:r>
          </w:p>
        </w:tc>
        <w:tc>
          <w:tcPr>
            <w:tcW w:w="4536" w:type="dxa"/>
          </w:tcPr>
          <w:p w:rsidR="001A44F9" w:rsidRPr="00515006" w:rsidRDefault="001A44F9" w:rsidP="00DC06CE">
            <w:pPr>
              <w:autoSpaceDE w:val="0"/>
              <w:autoSpaceDN w:val="0"/>
              <w:adjustRightInd w:val="0"/>
              <w:rPr>
                <w:rFonts w:ascii="Open Sans" w:hAnsi="Open Sans" w:cs="Open Sans"/>
                <w:b/>
                <w:sz w:val="24"/>
                <w:szCs w:val="24"/>
              </w:rPr>
            </w:pPr>
            <w:r w:rsidRPr="00515006">
              <w:rPr>
                <w:rFonts w:ascii="Open Sans" w:hAnsi="Open Sans" w:cs="Open Sans"/>
                <w:b/>
                <w:sz w:val="24"/>
                <w:szCs w:val="24"/>
              </w:rPr>
              <w:t xml:space="preserve">Major System Disruption </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Response time –15 min</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Update – 30 min</w:t>
            </w:r>
          </w:p>
          <w:p w:rsidR="001A44F9" w:rsidRPr="00515006" w:rsidRDefault="001A44F9" w:rsidP="00DC06CE">
            <w:pPr>
              <w:spacing w:before="120" w:after="120"/>
              <w:rPr>
                <w:rFonts w:ascii="Open Sans" w:hAnsi="Open Sans" w:cs="Open Sans"/>
                <w:sz w:val="24"/>
                <w:szCs w:val="24"/>
              </w:rPr>
            </w:pPr>
            <w:r w:rsidRPr="00515006">
              <w:rPr>
                <w:rFonts w:ascii="Open Sans" w:hAnsi="Open Sans" w:cs="Open Sans"/>
                <w:sz w:val="24"/>
                <w:szCs w:val="24"/>
              </w:rPr>
              <w:t>Fix time – 2 hours based on a suitable agreed workaround or permanent fix.</w:t>
            </w:r>
          </w:p>
        </w:tc>
        <w:tc>
          <w:tcPr>
            <w:tcW w:w="9356" w:type="dxa"/>
          </w:tcPr>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 xml:space="preserve">A major disruption to the system operability or functionality, server crash or total system failure affecting all users, a business critical function, all core components and/or being public facing. </w:t>
            </w:r>
          </w:p>
          <w:p w:rsidR="001A44F9" w:rsidRPr="00515006" w:rsidRDefault="001A44F9" w:rsidP="00DC06CE">
            <w:pPr>
              <w:spacing w:before="120" w:after="120"/>
              <w:rPr>
                <w:rFonts w:ascii="Open Sans" w:hAnsi="Open Sans" w:cs="Open Sans"/>
                <w:sz w:val="24"/>
                <w:szCs w:val="24"/>
              </w:rPr>
            </w:pPr>
            <w:r w:rsidRPr="00515006">
              <w:rPr>
                <w:rFonts w:ascii="Open Sans" w:hAnsi="Open Sans" w:cs="Open Sans"/>
                <w:sz w:val="24"/>
                <w:szCs w:val="24"/>
              </w:rPr>
              <w:t xml:space="preserve">Loss of ability to run business critical reports, functions or processes as determined by the authority. </w:t>
            </w:r>
          </w:p>
        </w:tc>
      </w:tr>
      <w:tr w:rsidR="001A44F9" w:rsidRPr="00515006" w:rsidTr="00DC06CE">
        <w:tc>
          <w:tcPr>
            <w:tcW w:w="1242" w:type="dxa"/>
          </w:tcPr>
          <w:p w:rsidR="001A44F9" w:rsidRPr="00515006" w:rsidRDefault="001A44F9" w:rsidP="00DC06CE">
            <w:pPr>
              <w:spacing w:before="120" w:after="120"/>
              <w:rPr>
                <w:rFonts w:ascii="Open Sans" w:hAnsi="Open Sans" w:cs="Open Sans"/>
                <w:b/>
                <w:sz w:val="24"/>
                <w:szCs w:val="24"/>
              </w:rPr>
            </w:pPr>
            <w:r w:rsidRPr="00515006">
              <w:rPr>
                <w:rFonts w:ascii="Open Sans" w:hAnsi="Open Sans" w:cs="Open Sans"/>
                <w:b/>
                <w:sz w:val="24"/>
                <w:szCs w:val="24"/>
              </w:rPr>
              <w:t>I2</w:t>
            </w:r>
          </w:p>
        </w:tc>
        <w:tc>
          <w:tcPr>
            <w:tcW w:w="4536" w:type="dxa"/>
          </w:tcPr>
          <w:p w:rsidR="001A44F9" w:rsidRPr="00515006" w:rsidRDefault="001A44F9" w:rsidP="00DC06CE">
            <w:pPr>
              <w:autoSpaceDE w:val="0"/>
              <w:autoSpaceDN w:val="0"/>
              <w:adjustRightInd w:val="0"/>
              <w:rPr>
                <w:rFonts w:ascii="Open Sans" w:hAnsi="Open Sans" w:cs="Open Sans"/>
                <w:b/>
                <w:sz w:val="24"/>
                <w:szCs w:val="24"/>
              </w:rPr>
            </w:pPr>
            <w:r w:rsidRPr="00515006">
              <w:rPr>
                <w:rFonts w:ascii="Open Sans" w:hAnsi="Open Sans" w:cs="Open Sans"/>
                <w:b/>
                <w:sz w:val="24"/>
                <w:szCs w:val="24"/>
              </w:rPr>
              <w:t xml:space="preserve">Severe System Disruption </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Response time – 30 min</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Update – 1 hour</w:t>
            </w:r>
          </w:p>
          <w:p w:rsidR="001A44F9" w:rsidRPr="00515006" w:rsidRDefault="001A44F9" w:rsidP="00DC06CE">
            <w:pPr>
              <w:spacing w:before="120" w:after="120"/>
              <w:rPr>
                <w:rFonts w:ascii="Open Sans" w:hAnsi="Open Sans" w:cs="Open Sans"/>
                <w:sz w:val="24"/>
                <w:szCs w:val="24"/>
              </w:rPr>
            </w:pPr>
            <w:r w:rsidRPr="00515006">
              <w:rPr>
                <w:rFonts w:ascii="Open Sans" w:hAnsi="Open Sans" w:cs="Open Sans"/>
                <w:sz w:val="24"/>
                <w:szCs w:val="24"/>
              </w:rPr>
              <w:t>Fix time – 4 hours based on a suitable agreed workaround or permanent fix.</w:t>
            </w:r>
          </w:p>
        </w:tc>
        <w:tc>
          <w:tcPr>
            <w:tcW w:w="9356" w:type="dxa"/>
          </w:tcPr>
          <w:p w:rsidR="001A44F9" w:rsidRPr="00515006" w:rsidRDefault="001A44F9" w:rsidP="00DC06CE">
            <w:pPr>
              <w:spacing w:before="120" w:after="120"/>
              <w:rPr>
                <w:rFonts w:ascii="Open Sans" w:hAnsi="Open Sans" w:cs="Open Sans"/>
                <w:sz w:val="24"/>
                <w:szCs w:val="24"/>
              </w:rPr>
            </w:pPr>
            <w:r w:rsidRPr="00515006">
              <w:rPr>
                <w:rFonts w:ascii="Open Sans" w:hAnsi="Open Sans" w:cs="Open Sans"/>
                <w:sz w:val="24"/>
                <w:szCs w:val="24"/>
              </w:rPr>
              <w:t xml:space="preserve">A severe disruption to the system operability or functionality affecting multiple users, singular core components or affecting public facing systems. Unable to carry out critical business functions.  </w:t>
            </w:r>
          </w:p>
        </w:tc>
      </w:tr>
      <w:tr w:rsidR="001A44F9" w:rsidRPr="00515006" w:rsidTr="00DC06CE">
        <w:trPr>
          <w:trHeight w:val="1296"/>
        </w:trPr>
        <w:tc>
          <w:tcPr>
            <w:tcW w:w="1242" w:type="dxa"/>
          </w:tcPr>
          <w:p w:rsidR="001A44F9" w:rsidRPr="00515006" w:rsidRDefault="001A44F9" w:rsidP="00DC06CE">
            <w:pPr>
              <w:spacing w:before="120" w:after="120"/>
              <w:rPr>
                <w:rFonts w:ascii="Open Sans" w:hAnsi="Open Sans" w:cs="Open Sans"/>
                <w:b/>
                <w:sz w:val="24"/>
                <w:szCs w:val="24"/>
              </w:rPr>
            </w:pPr>
            <w:r w:rsidRPr="00515006">
              <w:rPr>
                <w:rFonts w:ascii="Open Sans" w:hAnsi="Open Sans" w:cs="Open Sans"/>
                <w:b/>
                <w:sz w:val="24"/>
                <w:szCs w:val="24"/>
              </w:rPr>
              <w:t>I3</w:t>
            </w:r>
          </w:p>
        </w:tc>
        <w:tc>
          <w:tcPr>
            <w:tcW w:w="4536" w:type="dxa"/>
          </w:tcPr>
          <w:p w:rsidR="001A44F9" w:rsidRPr="00515006" w:rsidRDefault="001A44F9" w:rsidP="00DC06CE">
            <w:pPr>
              <w:autoSpaceDE w:val="0"/>
              <w:autoSpaceDN w:val="0"/>
              <w:adjustRightInd w:val="0"/>
              <w:rPr>
                <w:rFonts w:ascii="Open Sans" w:hAnsi="Open Sans" w:cs="Open Sans"/>
                <w:b/>
                <w:sz w:val="24"/>
                <w:szCs w:val="24"/>
              </w:rPr>
            </w:pPr>
            <w:r w:rsidRPr="00515006">
              <w:rPr>
                <w:rFonts w:ascii="Open Sans" w:hAnsi="Open Sans" w:cs="Open Sans"/>
                <w:b/>
                <w:sz w:val="24"/>
                <w:szCs w:val="24"/>
              </w:rPr>
              <w:t>System Disruption</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Response time – 1 hour</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Update – 2 hours</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Fix time – 8 hours based on a suitable agre</w:t>
            </w:r>
            <w:r>
              <w:rPr>
                <w:rFonts w:ascii="Open Sans" w:hAnsi="Open Sans" w:cs="Open Sans"/>
                <w:sz w:val="24"/>
                <w:szCs w:val="24"/>
              </w:rPr>
              <w:t>ed workaround or permanent fix.</w:t>
            </w:r>
          </w:p>
        </w:tc>
        <w:tc>
          <w:tcPr>
            <w:tcW w:w="9356" w:type="dxa"/>
          </w:tcPr>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A disruption in functionality that does not impact the entire system such as: Multiple users unable to access the application.</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 xml:space="preserve">Unable to see a group of data records. </w:t>
            </w:r>
          </w:p>
          <w:p w:rsidR="001A44F9" w:rsidRPr="00515006" w:rsidRDefault="001A44F9" w:rsidP="00DC06CE">
            <w:pPr>
              <w:spacing w:before="120" w:after="120"/>
              <w:rPr>
                <w:rFonts w:ascii="Open Sans" w:hAnsi="Open Sans" w:cs="Open Sans"/>
                <w:sz w:val="24"/>
                <w:szCs w:val="24"/>
              </w:rPr>
            </w:pPr>
            <w:r w:rsidRPr="00515006">
              <w:rPr>
                <w:rFonts w:ascii="Open Sans" w:hAnsi="Open Sans" w:cs="Open Sans"/>
                <w:sz w:val="24"/>
                <w:szCs w:val="24"/>
              </w:rPr>
              <w:t>Loss of ability to run any reports.</w:t>
            </w:r>
          </w:p>
        </w:tc>
      </w:tr>
      <w:tr w:rsidR="001A44F9" w:rsidRPr="00515006" w:rsidTr="00DC06CE">
        <w:trPr>
          <w:trHeight w:val="1561"/>
        </w:trPr>
        <w:tc>
          <w:tcPr>
            <w:tcW w:w="1242" w:type="dxa"/>
          </w:tcPr>
          <w:p w:rsidR="001A44F9" w:rsidRPr="00515006" w:rsidRDefault="001A44F9" w:rsidP="00DC06CE">
            <w:pPr>
              <w:spacing w:before="120" w:after="120"/>
              <w:rPr>
                <w:rFonts w:ascii="Open Sans" w:hAnsi="Open Sans" w:cs="Open Sans"/>
                <w:b/>
                <w:sz w:val="24"/>
                <w:szCs w:val="24"/>
              </w:rPr>
            </w:pPr>
            <w:r w:rsidRPr="00515006">
              <w:rPr>
                <w:rFonts w:ascii="Open Sans" w:hAnsi="Open Sans" w:cs="Open Sans"/>
                <w:b/>
                <w:sz w:val="24"/>
                <w:szCs w:val="24"/>
              </w:rPr>
              <w:t>I4</w:t>
            </w:r>
          </w:p>
        </w:tc>
        <w:tc>
          <w:tcPr>
            <w:tcW w:w="4536" w:type="dxa"/>
          </w:tcPr>
          <w:p w:rsidR="001A44F9" w:rsidRPr="00515006" w:rsidRDefault="001A44F9" w:rsidP="00DC06CE">
            <w:pPr>
              <w:autoSpaceDE w:val="0"/>
              <w:autoSpaceDN w:val="0"/>
              <w:adjustRightInd w:val="0"/>
              <w:rPr>
                <w:rFonts w:ascii="Open Sans" w:hAnsi="Open Sans" w:cs="Open Sans"/>
                <w:b/>
                <w:sz w:val="24"/>
                <w:szCs w:val="24"/>
              </w:rPr>
            </w:pPr>
            <w:r w:rsidRPr="00515006">
              <w:rPr>
                <w:rFonts w:ascii="Open Sans" w:hAnsi="Open Sans" w:cs="Open Sans"/>
                <w:b/>
                <w:sz w:val="24"/>
                <w:szCs w:val="24"/>
              </w:rPr>
              <w:t xml:space="preserve">Single Function Failure </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 xml:space="preserve">Response time – 4 hours </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 xml:space="preserve">Update – 4 hours </w:t>
            </w:r>
          </w:p>
          <w:p w:rsidR="001A44F9" w:rsidRPr="00515006" w:rsidRDefault="001A44F9" w:rsidP="00DC06CE">
            <w:pPr>
              <w:spacing w:before="120" w:after="120"/>
              <w:rPr>
                <w:rFonts w:ascii="Open Sans" w:hAnsi="Open Sans" w:cs="Open Sans"/>
                <w:sz w:val="24"/>
                <w:szCs w:val="24"/>
              </w:rPr>
            </w:pPr>
            <w:r w:rsidRPr="00515006">
              <w:rPr>
                <w:rFonts w:ascii="Open Sans" w:hAnsi="Open Sans" w:cs="Open Sans"/>
                <w:sz w:val="24"/>
                <w:szCs w:val="24"/>
              </w:rPr>
              <w:t>Fix time – 2 working days based on a suitable agreed workaround or permanent fix.</w:t>
            </w:r>
          </w:p>
        </w:tc>
        <w:tc>
          <w:tcPr>
            <w:tcW w:w="9356" w:type="dxa"/>
          </w:tcPr>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 xml:space="preserve">A minor disruption in operability or functionality that does not impact the entire system such as: </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 xml:space="preserve">Single user access issue. </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Unable to see a single data</w:t>
            </w:r>
            <w:r>
              <w:rPr>
                <w:rFonts w:ascii="Open Sans" w:hAnsi="Open Sans" w:cs="Open Sans"/>
                <w:sz w:val="24"/>
                <w:szCs w:val="24"/>
              </w:rPr>
              <w:t xml:space="preserve"> record</w:t>
            </w:r>
          </w:p>
        </w:tc>
      </w:tr>
      <w:tr w:rsidR="001A44F9" w:rsidRPr="00515006" w:rsidTr="00DC06CE">
        <w:tc>
          <w:tcPr>
            <w:tcW w:w="1242" w:type="dxa"/>
          </w:tcPr>
          <w:p w:rsidR="001A44F9" w:rsidRPr="00515006" w:rsidRDefault="001A44F9" w:rsidP="00DC06CE">
            <w:pPr>
              <w:spacing w:before="120" w:after="120"/>
              <w:rPr>
                <w:rFonts w:ascii="Open Sans" w:hAnsi="Open Sans" w:cs="Open Sans"/>
                <w:b/>
                <w:sz w:val="24"/>
                <w:szCs w:val="24"/>
              </w:rPr>
            </w:pPr>
            <w:r w:rsidRPr="00515006">
              <w:rPr>
                <w:rFonts w:ascii="Open Sans" w:hAnsi="Open Sans" w:cs="Open Sans"/>
                <w:b/>
                <w:sz w:val="24"/>
                <w:szCs w:val="24"/>
              </w:rPr>
              <w:t>I5</w:t>
            </w:r>
          </w:p>
        </w:tc>
        <w:tc>
          <w:tcPr>
            <w:tcW w:w="4536" w:type="dxa"/>
          </w:tcPr>
          <w:p w:rsidR="001A44F9" w:rsidRPr="00515006" w:rsidRDefault="001A44F9" w:rsidP="00DC06CE">
            <w:pPr>
              <w:autoSpaceDE w:val="0"/>
              <w:autoSpaceDN w:val="0"/>
              <w:adjustRightInd w:val="0"/>
              <w:rPr>
                <w:rFonts w:ascii="Open Sans" w:hAnsi="Open Sans" w:cs="Open Sans"/>
                <w:b/>
                <w:sz w:val="24"/>
                <w:szCs w:val="24"/>
              </w:rPr>
            </w:pPr>
            <w:r w:rsidRPr="00515006">
              <w:rPr>
                <w:rFonts w:ascii="Open Sans" w:hAnsi="Open Sans" w:cs="Open Sans"/>
                <w:b/>
                <w:sz w:val="24"/>
                <w:szCs w:val="24"/>
              </w:rPr>
              <w:t xml:space="preserve">Minor / Procedural Issue or Cosmetic Change </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 xml:space="preserve">Response time – 6-8 hours </w:t>
            </w:r>
          </w:p>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t xml:space="preserve">Update – 1 working days </w:t>
            </w:r>
          </w:p>
          <w:p w:rsidR="001A44F9" w:rsidRPr="00515006" w:rsidRDefault="001A44F9" w:rsidP="00DC06CE">
            <w:pPr>
              <w:spacing w:before="120" w:after="120"/>
              <w:rPr>
                <w:rFonts w:ascii="Open Sans" w:hAnsi="Open Sans" w:cs="Open Sans"/>
                <w:sz w:val="24"/>
                <w:szCs w:val="24"/>
              </w:rPr>
            </w:pPr>
            <w:r w:rsidRPr="00515006">
              <w:rPr>
                <w:rFonts w:ascii="Open Sans" w:hAnsi="Open Sans" w:cs="Open Sans"/>
                <w:sz w:val="24"/>
                <w:szCs w:val="24"/>
              </w:rPr>
              <w:lastRenderedPageBreak/>
              <w:t>Fix time – 5 working days based on a suitable agreed workaround or permanent fix.</w:t>
            </w:r>
          </w:p>
        </w:tc>
        <w:tc>
          <w:tcPr>
            <w:tcW w:w="9356" w:type="dxa"/>
          </w:tcPr>
          <w:p w:rsidR="001A44F9" w:rsidRPr="00515006" w:rsidRDefault="001A44F9" w:rsidP="00DC06CE">
            <w:pPr>
              <w:autoSpaceDE w:val="0"/>
              <w:autoSpaceDN w:val="0"/>
              <w:adjustRightInd w:val="0"/>
              <w:rPr>
                <w:rFonts w:ascii="Open Sans" w:hAnsi="Open Sans" w:cs="Open Sans"/>
                <w:sz w:val="24"/>
                <w:szCs w:val="24"/>
              </w:rPr>
            </w:pPr>
            <w:r w:rsidRPr="00515006">
              <w:rPr>
                <w:rFonts w:ascii="Open Sans" w:hAnsi="Open Sans" w:cs="Open Sans"/>
                <w:sz w:val="24"/>
                <w:szCs w:val="24"/>
              </w:rPr>
              <w:lastRenderedPageBreak/>
              <w:t xml:space="preserve">Programming or configuration related issues relating to functionality or operations. Any cosmetic changes to the system due to issues and bugs. </w:t>
            </w:r>
          </w:p>
          <w:p w:rsidR="001A44F9" w:rsidRPr="00515006" w:rsidRDefault="001A44F9" w:rsidP="00DC06CE">
            <w:pPr>
              <w:spacing w:before="120" w:after="120"/>
              <w:rPr>
                <w:rFonts w:ascii="Open Sans" w:hAnsi="Open Sans" w:cs="Open Sans"/>
                <w:b/>
                <w:sz w:val="24"/>
                <w:szCs w:val="24"/>
              </w:rPr>
            </w:pPr>
            <w:r w:rsidRPr="00515006">
              <w:rPr>
                <w:rFonts w:ascii="Open Sans" w:hAnsi="Open Sans" w:cs="Open Sans"/>
                <w:sz w:val="24"/>
                <w:szCs w:val="24"/>
              </w:rPr>
              <w:t>Does not impact on usability.</w:t>
            </w:r>
          </w:p>
        </w:tc>
      </w:tr>
    </w:tbl>
    <w:p w:rsidR="001A44F9" w:rsidRDefault="001A44F9" w:rsidP="001A44F9"/>
    <w:p w:rsidR="00740596" w:rsidRDefault="00740596" w:rsidP="00740596"/>
    <w:sectPr w:rsidR="00740596" w:rsidSect="001A44F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Arial"/>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87190"/>
    <w:multiLevelType w:val="hybridMultilevel"/>
    <w:tmpl w:val="E41EF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63169"/>
    <w:multiLevelType w:val="hybridMultilevel"/>
    <w:tmpl w:val="2F08BA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C03647A"/>
    <w:multiLevelType w:val="hybridMultilevel"/>
    <w:tmpl w:val="BCEE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1123D7"/>
    <w:multiLevelType w:val="hybridMultilevel"/>
    <w:tmpl w:val="F822E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96"/>
    <w:rsid w:val="00045239"/>
    <w:rsid w:val="0013627B"/>
    <w:rsid w:val="00177D4B"/>
    <w:rsid w:val="001A44F9"/>
    <w:rsid w:val="00256419"/>
    <w:rsid w:val="00343557"/>
    <w:rsid w:val="003A539F"/>
    <w:rsid w:val="00724B5C"/>
    <w:rsid w:val="00740596"/>
    <w:rsid w:val="008E2F4E"/>
    <w:rsid w:val="00A92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E618"/>
  <w15:chartTrackingRefBased/>
  <w15:docId w15:val="{145A3AFA-8BC4-4C82-8C04-9CCEAA5E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B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A44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96"/>
    <w:pPr>
      <w:ind w:left="720"/>
      <w:contextualSpacing/>
    </w:pPr>
  </w:style>
  <w:style w:type="character" w:styleId="Hyperlink">
    <w:name w:val="Hyperlink"/>
    <w:basedOn w:val="DefaultParagraphFont"/>
    <w:uiPriority w:val="99"/>
    <w:unhideWhenUsed/>
    <w:rsid w:val="00A92450"/>
    <w:rPr>
      <w:color w:val="0563C1" w:themeColor="hyperlink"/>
      <w:u w:val="single"/>
    </w:rPr>
  </w:style>
  <w:style w:type="character" w:customStyle="1" w:styleId="Heading1Char">
    <w:name w:val="Heading 1 Char"/>
    <w:basedOn w:val="DefaultParagraphFont"/>
    <w:link w:val="Heading1"/>
    <w:uiPriority w:val="9"/>
    <w:rsid w:val="00724B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A44F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1A44F9"/>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44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rangeleaf.com/museums-archives-history/data-aggregation-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4681</TotalTime>
  <Pages>6</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(Two)</dc:creator>
  <cp:keywords/>
  <dc:description/>
  <cp:lastModifiedBy>James (Two)</cp:lastModifiedBy>
  <cp:revision>5</cp:revision>
  <dcterms:created xsi:type="dcterms:W3CDTF">2017-02-24T10:31:00Z</dcterms:created>
  <dcterms:modified xsi:type="dcterms:W3CDTF">2017-03-05T11:44:00Z</dcterms:modified>
</cp:coreProperties>
</file>