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>, QPA 3.93/4.33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</w:t>
      </w:r>
      <w:r w:rsidR="00787A27">
        <w:rPr>
          <w:rFonts w:ascii="Calibri" w:eastAsia="Calibri" w:hAnsi="Calibri" w:cs="Calibri"/>
          <w:sz w:val="20"/>
          <w:szCs w:val="20"/>
        </w:rPr>
        <w:t>obot Autonomy | Computer Vision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:rsidR="0054634E" w:rsidRDefault="0054634E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bookmarkStart w:id="0" w:name="_GoBack"/>
      <w:bookmarkEnd w:id="0"/>
      <w:r>
        <w:rPr>
          <w:rFonts w:ascii="Calibri" w:eastAsia="Calibri" w:hAnsi="Calibri" w:cs="Calibri"/>
          <w:sz w:val="20"/>
          <w:szCs w:val="10"/>
        </w:rPr>
        <w:t>Created GPS waypoint following and acceleration smoothing algorithms used in the navigation subsystem of GroundsBot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87A27"/>
    <w:rsid w:val="007B15C7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8612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19</cp:revision>
  <cp:lastPrinted>2017-10-31T02:35:00Z</cp:lastPrinted>
  <dcterms:created xsi:type="dcterms:W3CDTF">2017-10-31T02:18:00Z</dcterms:created>
  <dcterms:modified xsi:type="dcterms:W3CDTF">2017-12-26T18:17:00Z</dcterms:modified>
</cp:coreProperties>
</file>