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A86DE" w14:textId="77777777" w:rsidR="00B272F1" w:rsidRPr="00A9375B" w:rsidRDefault="00B272F1" w:rsidP="000E3EAB">
      <w:pPr>
        <w:jc w:val="both"/>
      </w:pPr>
      <w:r>
        <w:t>Dear Journal Board,</w:t>
      </w:r>
    </w:p>
    <w:p w14:paraId="7774DAB9" w14:textId="77777777" w:rsidR="00B272F1" w:rsidRPr="00A9375B" w:rsidRDefault="00B272F1" w:rsidP="000E3EAB">
      <w:pPr>
        <w:jc w:val="both"/>
      </w:pPr>
    </w:p>
    <w:p w14:paraId="58F7D082" w14:textId="77777777" w:rsidR="00AA0547" w:rsidRPr="00A9375B" w:rsidRDefault="00B272F1" w:rsidP="000E3EAB">
      <w:pPr>
        <w:jc w:val="both"/>
      </w:pPr>
      <w:r>
        <w:t xml:space="preserve">Thank you for reading my note. I acknowledge that publishing this note would place an unprecedented burden on next year’s editors in terms of footnotes and sourcing. I do not take this lightly. Rather, I have sought to offset the potential workload by meeting the staff editors halfway. For every source cited, I have highlighted where I use it and uploaded it to a OneDrive. I am in the process of renaming every file to correspond to the footnote it’s used in. The footnotes are in a fairly compliant state, so I hope that by front-loading much of the sourcing and </w:t>
      </w:r>
      <w:proofErr w:type="spellStart"/>
      <w:r>
        <w:t>bluebooking</w:t>
      </w:r>
      <w:proofErr w:type="spellEnd"/>
      <w:r>
        <w:t>, my note will feel like a “normal” 200-footnote note. Publishing is a very important goal of mine as I work toward becoming a professor, so I am more than willing to continue my work in sourcing/</w:t>
      </w:r>
      <w:proofErr w:type="spellStart"/>
      <w:r>
        <w:t>bluebooking</w:t>
      </w:r>
      <w:proofErr w:type="spellEnd"/>
      <w:r>
        <w:t xml:space="preserve"> after this submission. </w:t>
      </w:r>
    </w:p>
    <w:p w14:paraId="3606FB3F" w14:textId="77777777" w:rsidR="00AA0547" w:rsidRPr="00A9375B" w:rsidRDefault="00AA0547" w:rsidP="000E3EAB">
      <w:pPr>
        <w:jc w:val="both"/>
      </w:pPr>
    </w:p>
    <w:p w14:paraId="44E16891" w14:textId="77777777" w:rsidR="00E017A9" w:rsidRPr="00A9375B" w:rsidRDefault="00B272F1" w:rsidP="000E3EAB">
      <w:pPr>
        <w:jc w:val="both"/>
      </w:pPr>
      <w:r>
        <w:t>Thank you,</w:t>
      </w:r>
    </w:p>
    <w:p w14:paraId="167563DC" w14:textId="77777777" w:rsidR="00E017A9" w:rsidRPr="00A9375B" w:rsidRDefault="00E017A9" w:rsidP="000E3EAB">
      <w:pPr>
        <w:jc w:val="both"/>
      </w:pPr>
      <w:r>
        <w:t>Josiah Davis</w:t>
      </w:r>
    </w:p>
    <w:p w14:paraId="3084B8F4" w14:textId="77777777" w:rsidR="00E017A9" w:rsidRPr="00A9375B" w:rsidRDefault="00E017A9" w:rsidP="000E3EAB">
      <w:pPr>
        <w:jc w:val="both"/>
      </w:pPr>
    </w:p>
    <w:p w14:paraId="6EB82DCC" w14:textId="77777777" w:rsidR="00E017A9" w:rsidRPr="00A9375B" w:rsidRDefault="00E017A9" w:rsidP="000E3EAB">
      <w:pPr>
        <w:jc w:val="both"/>
      </w:pPr>
    </w:p>
    <w:p w14:paraId="2AC1DE0D" w14:textId="77777777" w:rsidR="00E017A9" w:rsidRPr="00A9375B" w:rsidRDefault="00E017A9" w:rsidP="000E3EAB">
      <w:pPr>
        <w:jc w:val="both"/>
      </w:pPr>
    </w:p>
    <w:p w14:paraId="6A70649F" w14:textId="77777777" w:rsidR="00B272F1" w:rsidRPr="00A9375B" w:rsidRDefault="00B272F1" w:rsidP="000E3EAB">
      <w:pPr>
        <w:jc w:val="both"/>
      </w:pPr>
    </w:p>
    <w:p w14:paraId="74D12809" w14:textId="77777777" w:rsidR="00B272F1" w:rsidRPr="00A9375B" w:rsidRDefault="00B272F1" w:rsidP="000E3EAB">
      <w:pPr>
        <w:jc w:val="both"/>
      </w:pPr>
    </w:p>
    <w:p w14:paraId="16F9E047" w14:textId="77777777" w:rsidR="00B272F1" w:rsidRPr="00A9375B" w:rsidRDefault="00B272F1" w:rsidP="000E3EAB">
      <w:pPr>
        <w:jc w:val="both"/>
      </w:pPr>
    </w:p>
    <w:p w14:paraId="0B1DB2C7" w14:textId="77777777" w:rsidR="00B272F1" w:rsidRPr="00A9375B" w:rsidRDefault="00B272F1" w:rsidP="000E3EAB">
      <w:pPr>
        <w:jc w:val="both"/>
      </w:pPr>
    </w:p>
    <w:p w14:paraId="0D602B80" w14:textId="77777777" w:rsidR="00B272F1" w:rsidRPr="00A9375B" w:rsidRDefault="00B272F1" w:rsidP="000E3EAB">
      <w:pPr>
        <w:jc w:val="both"/>
      </w:pPr>
    </w:p>
    <w:p w14:paraId="3D71919C" w14:textId="77777777" w:rsidR="00B272F1" w:rsidRPr="00A9375B" w:rsidRDefault="00B272F1" w:rsidP="000E3EAB">
      <w:pPr>
        <w:jc w:val="both"/>
      </w:pPr>
    </w:p>
    <w:p w14:paraId="48EBEBC8" w14:textId="77777777" w:rsidR="00B272F1" w:rsidRPr="00A9375B" w:rsidRDefault="00B272F1" w:rsidP="000E3EAB">
      <w:pPr>
        <w:jc w:val="both"/>
      </w:pPr>
    </w:p>
    <w:p w14:paraId="1DC136E4" w14:textId="77777777" w:rsidR="00B272F1" w:rsidRPr="00A9375B" w:rsidRDefault="00B272F1" w:rsidP="000E3EAB">
      <w:pPr>
        <w:jc w:val="both"/>
      </w:pPr>
    </w:p>
    <w:p w14:paraId="18639D80" w14:textId="77777777" w:rsidR="00B272F1" w:rsidRPr="00A9375B" w:rsidRDefault="00B272F1" w:rsidP="000E3EAB">
      <w:pPr>
        <w:jc w:val="both"/>
      </w:pPr>
    </w:p>
    <w:p w14:paraId="409DF4B7" w14:textId="77777777" w:rsidR="00B272F1" w:rsidRPr="00A9375B" w:rsidRDefault="00B272F1" w:rsidP="000E3EAB">
      <w:pPr>
        <w:jc w:val="both"/>
      </w:pPr>
    </w:p>
    <w:p w14:paraId="06C1F9AF" w14:textId="77777777" w:rsidR="00B272F1" w:rsidRPr="00A9375B" w:rsidRDefault="00B272F1" w:rsidP="000E3EAB">
      <w:pPr>
        <w:jc w:val="both"/>
      </w:pPr>
    </w:p>
    <w:p w14:paraId="5A9462F3" w14:textId="77777777" w:rsidR="00B272F1" w:rsidRPr="00A9375B" w:rsidRDefault="00B272F1" w:rsidP="000E3EAB">
      <w:pPr>
        <w:jc w:val="both"/>
      </w:pPr>
    </w:p>
    <w:p w14:paraId="09A4DCD9" w14:textId="77777777" w:rsidR="00B272F1" w:rsidRPr="00A9375B" w:rsidRDefault="00B272F1" w:rsidP="000E3EAB">
      <w:pPr>
        <w:jc w:val="both"/>
      </w:pPr>
    </w:p>
    <w:p w14:paraId="14B918C6" w14:textId="77777777" w:rsidR="00B272F1" w:rsidRPr="00A9375B" w:rsidRDefault="00B272F1" w:rsidP="000E3EAB">
      <w:pPr>
        <w:jc w:val="both"/>
      </w:pPr>
    </w:p>
    <w:p w14:paraId="1BF8104A" w14:textId="77777777" w:rsidR="00B272F1" w:rsidRPr="00A9375B" w:rsidRDefault="00B272F1" w:rsidP="000E3EAB">
      <w:pPr>
        <w:jc w:val="both"/>
      </w:pPr>
    </w:p>
    <w:p w14:paraId="1695AEBE" w14:textId="77777777" w:rsidR="00B272F1" w:rsidRPr="00A9375B" w:rsidRDefault="00B272F1" w:rsidP="000E3EAB">
      <w:pPr>
        <w:jc w:val="both"/>
      </w:pPr>
    </w:p>
    <w:p w14:paraId="075D69EC" w14:textId="77777777" w:rsidR="00B272F1" w:rsidRPr="00A9375B" w:rsidRDefault="00B272F1" w:rsidP="000E3EAB">
      <w:pPr>
        <w:jc w:val="both"/>
      </w:pPr>
    </w:p>
    <w:p w14:paraId="25B52D5F" w14:textId="77777777" w:rsidR="00B272F1" w:rsidRPr="00A9375B" w:rsidRDefault="00B272F1" w:rsidP="000E3EAB">
      <w:pPr>
        <w:jc w:val="both"/>
      </w:pPr>
    </w:p>
    <w:p w14:paraId="329A568D" w14:textId="77777777" w:rsidR="00B272F1" w:rsidRPr="00A9375B" w:rsidRDefault="00B272F1" w:rsidP="000E3EAB">
      <w:pPr>
        <w:jc w:val="both"/>
      </w:pPr>
    </w:p>
    <w:p w14:paraId="65F72C2C" w14:textId="77777777" w:rsidR="00B272F1" w:rsidRPr="00A9375B" w:rsidRDefault="00B272F1" w:rsidP="000E3EAB">
      <w:pPr>
        <w:jc w:val="both"/>
      </w:pPr>
    </w:p>
    <w:p w14:paraId="566682BA" w14:textId="77777777" w:rsidR="00B272F1" w:rsidRPr="00A9375B" w:rsidRDefault="00B272F1" w:rsidP="000E3EAB">
      <w:pPr>
        <w:jc w:val="both"/>
      </w:pPr>
    </w:p>
    <w:p w14:paraId="35B2053E" w14:textId="77777777" w:rsidR="00B272F1" w:rsidRPr="00A9375B" w:rsidRDefault="00B272F1" w:rsidP="000E3EAB">
      <w:pPr>
        <w:jc w:val="both"/>
      </w:pPr>
    </w:p>
    <w:p w14:paraId="097FF60A" w14:textId="77777777" w:rsidR="00B272F1" w:rsidRPr="00A9375B" w:rsidRDefault="00B272F1" w:rsidP="000E3EAB">
      <w:pPr>
        <w:jc w:val="both"/>
      </w:pPr>
    </w:p>
    <w:p w14:paraId="0D0EA14C" w14:textId="77777777" w:rsidR="00B272F1" w:rsidRPr="00A9375B" w:rsidRDefault="00B272F1" w:rsidP="000E3EAB">
      <w:pPr>
        <w:jc w:val="both"/>
      </w:pPr>
    </w:p>
    <w:p w14:paraId="054E94EA" w14:textId="77777777" w:rsidR="00B272F1" w:rsidRPr="00A9375B" w:rsidRDefault="00B272F1" w:rsidP="000E3EAB">
      <w:pPr>
        <w:jc w:val="both"/>
      </w:pPr>
    </w:p>
    <w:p w14:paraId="32B3803E" w14:textId="77777777" w:rsidR="00B272F1" w:rsidRPr="00A9375B" w:rsidRDefault="00B272F1" w:rsidP="000E3EAB">
      <w:pPr>
        <w:jc w:val="both"/>
      </w:pPr>
    </w:p>
    <w:p w14:paraId="2B4B9CF2" w14:textId="77777777" w:rsidR="00B272F1" w:rsidRPr="00A9375B" w:rsidRDefault="00B272F1" w:rsidP="000E3EAB">
      <w:pPr>
        <w:jc w:val="both"/>
      </w:pPr>
    </w:p>
    <w:p w14:paraId="0ED0C243" w14:textId="77777777" w:rsidR="00765A93" w:rsidRPr="00A9375B" w:rsidRDefault="00765A93" w:rsidP="000E3EAB">
      <w:pPr>
        <w:jc w:val="both"/>
      </w:pPr>
    </w:p>
    <w:p w14:paraId="79B94FB7" w14:textId="77777777" w:rsidR="00AA0547" w:rsidRPr="00A9375B" w:rsidRDefault="00AA0547" w:rsidP="000E3EAB">
      <w:pPr>
        <w:jc w:val="both"/>
      </w:pPr>
    </w:p>
    <w:p w14:paraId="55341557" w14:textId="77777777" w:rsidR="000F5FFF" w:rsidRPr="007D6C35" w:rsidRDefault="009066FB" w:rsidP="003D74D8">
      <w:pPr>
        <w:spacing w:line="480" w:lineRule="auto"/>
        <w:jc w:val="center"/>
        <w:rPr>
          <w:b/>
          <w:bCs/>
          <w:smallCaps/>
          <w:sz w:val="32"/>
          <w:szCs w:val="32"/>
        </w:rPr>
      </w:pPr>
      <w:r>
        <w:rPr>
          <w:b/>
          <w:bCs/>
          <w:smallCaps/>
          <w:sz w:val="32"/>
          <w:szCs w:val="32"/>
        </w:rPr>
        <w:lastRenderedPageBreak/>
        <w:t>The Forge and the Forum</w:t>
      </w:r>
    </w:p>
    <w:p w14:paraId="4A23A02B" w14:textId="77777777" w:rsidR="00B57D67" w:rsidRPr="003D74D8" w:rsidRDefault="00177DF7" w:rsidP="003D74D8">
      <w:pPr>
        <w:spacing w:line="480" w:lineRule="auto"/>
        <w:jc w:val="center"/>
        <w:rPr>
          <w:sz w:val="32"/>
          <w:szCs w:val="32"/>
        </w:rPr>
      </w:pPr>
      <w:r>
        <w:rPr>
          <w:sz w:val="32"/>
          <w:szCs w:val="32"/>
        </w:rPr>
        <w:t>Josiah Davis</w:t>
      </w:r>
      <w:r>
        <w:rPr>
          <w:rStyle w:val="FootnoteReference"/>
          <w:smallCaps/>
          <w:color w:val="000000" w:themeColor="text1"/>
          <w:sz w:val="32"/>
          <w:szCs w:val="32"/>
        </w:rPr>
        <w:footnoteReference w:id="1"/>
      </w:r>
    </w:p>
    <w:p w14:paraId="53C46B3C" w14:textId="77777777" w:rsidR="00CC4B9B" w:rsidRPr="00A9375B" w:rsidRDefault="0073587F" w:rsidP="003D74D8">
      <w:pPr>
        <w:pStyle w:val="ListParagraph"/>
        <w:numPr>
          <w:ilvl w:val="0"/>
          <w:numId w:val="11"/>
        </w:numPr>
        <w:spacing w:line="480" w:lineRule="auto"/>
        <w:jc w:val="both"/>
        <w:rPr>
          <w:smallCaps/>
          <w:color w:val="000000" w:themeColor="text1"/>
        </w:rPr>
      </w:pPr>
      <w:r>
        <w:rPr>
          <w:smallCaps/>
          <w:color w:val="000000" w:themeColor="text1"/>
        </w:rPr>
        <w:t>Introduction</w:t>
      </w:r>
    </w:p>
    <w:p w14:paraId="3152BFEE" w14:textId="77777777" w:rsidR="00CC4B9B" w:rsidRPr="00A9375B" w:rsidRDefault="00CC4B9B" w:rsidP="003D74D8">
      <w:pPr>
        <w:pStyle w:val="ListParagraph"/>
        <w:numPr>
          <w:ilvl w:val="1"/>
          <w:numId w:val="11"/>
        </w:numPr>
        <w:spacing w:line="480" w:lineRule="auto"/>
        <w:jc w:val="both"/>
        <w:rPr>
          <w:i/>
          <w:iCs/>
          <w:color w:val="000000" w:themeColor="text1"/>
        </w:rPr>
      </w:pPr>
      <w:r>
        <w:rPr>
          <w:i/>
          <w:iCs/>
          <w:color w:val="000000" w:themeColor="text1"/>
        </w:rPr>
        <w:t>Features of QCMS</w:t>
      </w:r>
    </w:p>
    <w:p w14:paraId="4E99CCDA" w14:textId="77777777" w:rsidR="00CC4B9B" w:rsidRPr="00A9375B" w:rsidRDefault="00CC4B9B" w:rsidP="003D74D8">
      <w:pPr>
        <w:pStyle w:val="ListParagraph"/>
        <w:numPr>
          <w:ilvl w:val="1"/>
          <w:numId w:val="11"/>
        </w:numPr>
        <w:spacing w:line="480" w:lineRule="auto"/>
        <w:jc w:val="both"/>
        <w:rPr>
          <w:i/>
          <w:iCs/>
          <w:color w:val="000000" w:themeColor="text1"/>
        </w:rPr>
      </w:pPr>
      <w:r>
        <w:rPr>
          <w:i/>
          <w:iCs/>
          <w:color w:val="000000" w:themeColor="text1"/>
        </w:rPr>
        <w:t>Lawyers File Disputes Without Testing Them Due to Three Historical Reasons</w:t>
      </w:r>
    </w:p>
    <w:p w14:paraId="7D54944B" w14:textId="77777777"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First Historical Development – Choice of Lawyers Role</w:t>
      </w:r>
    </w:p>
    <w:p w14:paraId="30C9FDEE" w14:textId="77777777"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Second Historical Development – Institutional Capacity for Disputes</w:t>
      </w:r>
    </w:p>
    <w:p w14:paraId="501F5087" w14:textId="77777777" w:rsidR="00435F10" w:rsidRPr="00A9375B" w:rsidRDefault="00435F10"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Third Historical Development – </w:t>
      </w:r>
      <w:r>
        <w:rPr>
          <w:i/>
          <w:iCs/>
          <w:smallCaps/>
        </w:rPr>
        <w:t>Monetization of Disputes</w:t>
      </w:r>
    </w:p>
    <w:p w14:paraId="5C61264E" w14:textId="77777777" w:rsidR="00CC4B9B" w:rsidRPr="00A9375B" w:rsidRDefault="00CC4B9B" w:rsidP="003D74D8">
      <w:pPr>
        <w:pStyle w:val="ListParagraph"/>
        <w:numPr>
          <w:ilvl w:val="1"/>
          <w:numId w:val="11"/>
        </w:numPr>
        <w:spacing w:line="480" w:lineRule="auto"/>
        <w:jc w:val="both"/>
        <w:rPr>
          <w:smallCaps/>
          <w:color w:val="000000" w:themeColor="text1"/>
        </w:rPr>
      </w:pPr>
      <w:r>
        <w:rPr>
          <w:i/>
          <w:iCs/>
          <w:color w:val="000000" w:themeColor="text1"/>
        </w:rPr>
        <w:t>Roadmap</w:t>
      </w:r>
    </w:p>
    <w:p w14:paraId="16076152" w14:textId="77777777" w:rsidR="0026069C" w:rsidRPr="00A9375B" w:rsidRDefault="0026069C" w:rsidP="003D74D8">
      <w:pPr>
        <w:pStyle w:val="ListParagraph"/>
        <w:spacing w:line="480" w:lineRule="auto"/>
        <w:ind w:left="1080"/>
        <w:jc w:val="both"/>
        <w:rPr>
          <w:smallCaps/>
          <w:color w:val="000000" w:themeColor="text1"/>
        </w:rPr>
      </w:pPr>
    </w:p>
    <w:p w14:paraId="342D383E"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When Insular Advocacy Fails: The </w:t>
      </w:r>
      <w:proofErr w:type="spellStart"/>
      <w:r>
        <w:rPr>
          <w:i/>
          <w:iCs/>
          <w:smallCaps/>
          <w:color w:val="000000" w:themeColor="text1"/>
        </w:rPr>
        <w:t>Skrmetti</w:t>
      </w:r>
      <w:proofErr w:type="spellEnd"/>
      <w:r>
        <w:rPr>
          <w:smallCaps/>
          <w:color w:val="000000" w:themeColor="text1"/>
        </w:rPr>
        <w:t xml:space="preserve"> Case </w:t>
      </w:r>
    </w:p>
    <w:p w14:paraId="45D377DE"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The Litigation and Its Predictable Defeat</w:t>
      </w:r>
    </w:p>
    <w:p w14:paraId="5CAA5537" w14:textId="77777777" w:rsidR="00177DF7"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Contrasting Case Study: NAACP Legal Defense</w:t>
      </w:r>
    </w:p>
    <w:p w14:paraId="0D940975" w14:textId="77777777" w:rsidR="00177DF7" w:rsidRPr="00A9375B" w:rsidRDefault="00177DF7" w:rsidP="003D74D8">
      <w:pPr>
        <w:pStyle w:val="ListParagraph"/>
        <w:spacing w:line="480" w:lineRule="auto"/>
        <w:ind w:left="1440"/>
        <w:jc w:val="both"/>
        <w:rPr>
          <w:smallCaps/>
          <w:color w:val="000000" w:themeColor="text1"/>
        </w:rPr>
      </w:pPr>
    </w:p>
    <w:p w14:paraId="033B8541"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Groupthink in the Legal Profession</w:t>
      </w:r>
    </w:p>
    <w:p w14:paraId="1D73C77C"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Three Antecedent Conditions of Groupthink: First Generation Conservative PILFS</w:t>
      </w:r>
    </w:p>
    <w:p w14:paraId="7DB8B4B7" w14:textId="77777777" w:rsidR="00285CFF"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Law School as an Incubator of Groupthink</w:t>
      </w:r>
    </w:p>
    <w:p w14:paraId="31F9CB10"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Outside of Law School and Legal Contexts</w:t>
      </w:r>
    </w:p>
    <w:p w14:paraId="56F004F2" w14:textId="77777777" w:rsidR="00B57D67" w:rsidRPr="00A9375B" w:rsidRDefault="00B57D67" w:rsidP="003D74D8">
      <w:pPr>
        <w:pStyle w:val="ListParagraph"/>
        <w:spacing w:line="480" w:lineRule="auto"/>
        <w:ind w:left="1440"/>
        <w:jc w:val="both"/>
        <w:rPr>
          <w:smallCaps/>
          <w:color w:val="000000" w:themeColor="text1"/>
        </w:rPr>
      </w:pPr>
    </w:p>
    <w:p w14:paraId="50FA937A"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The Constitutional Convention: Preventing Groupthink Despite Overwhelming Odds </w:t>
      </w:r>
    </w:p>
    <w:p w14:paraId="37F887D0"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All Three of Janis’ Antecedent Conditions Were Present</w:t>
      </w:r>
    </w:p>
    <w:p w14:paraId="547EFDE5" w14:textId="77777777" w:rsidR="00177DF7"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How the Convention Prevented Groupthink and Scrutinized Their Claim (We Need a New Constitution) Prior to Filing (Presenting to the Public for Ratification)</w:t>
      </w:r>
    </w:p>
    <w:p w14:paraId="26DF1109"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The Forge and the Forum</w:t>
      </w:r>
    </w:p>
    <w:p w14:paraId="569D4DC0" w14:textId="77777777" w:rsidR="00177DF7" w:rsidRPr="00A9375B" w:rsidRDefault="00177DF7" w:rsidP="003D74D8">
      <w:pPr>
        <w:pStyle w:val="ListParagraph"/>
        <w:spacing w:line="480" w:lineRule="auto"/>
        <w:ind w:left="1440"/>
        <w:jc w:val="both"/>
        <w:rPr>
          <w:smallCaps/>
          <w:color w:val="000000" w:themeColor="text1"/>
        </w:rPr>
      </w:pPr>
    </w:p>
    <w:p w14:paraId="6BBCA387"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Dispute Resolution as Prevention: A Lost Tradition </w:t>
      </w:r>
    </w:p>
    <w:p w14:paraId="3EDA57A5"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Ancient and Classical Systems: Community-Based Scrutiny Before Claims Hardened</w:t>
      </w:r>
    </w:p>
    <w:p w14:paraId="59613A78" w14:textId="77777777" w:rsidR="006C7E51"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Cultural and Indigenous Approaches: Communal Harmony Over Formal Vindication</w:t>
      </w:r>
    </w:p>
    <w:p w14:paraId="020CEC28" w14:textId="77777777" w:rsidR="00497495"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Anglo-Saxon England: The Defeat of Local Practices</w:t>
      </w:r>
    </w:p>
    <w:p>
      <w:pPr>
        <w:pStyle w:val="ListParagraph"/>
        <w:numPr>
          <w:ilvl w:val="1"/>
          <w:numId w:val="11"/>
        </w:numPr>
        <w:spacing w:line="480" w:lineRule="auto"/>
        <w:jc w:val="both"/>
        <w:rPr>
          <w:ins w:id="200167" w:author="Claude" w:date="2026-09-27T12:00:00Z"/>
          <w:i/>
          <w:iCs/>
          <w:color w:val="000000" w:themeColor="text1"/>
        </w:rPr>
      </w:pPr>
      <w:ins w:id="200166" w:author="Claude" w:date="2026-09-27T12:00:00Z">
        <w:r>
          <w:rPr>
            <w:i/>
            <w:color w:val="000000" w:themeColor="text1"/>
          </w:rPr>
          <w:t>What the Survey Shows: Three Points About QCMs</w:t>
        </w:r>
      </w:ins>
    </w:p>
    <w:p w14:paraId="44CC76D9" w14:textId="77777777" w:rsidR="00497495" w:rsidRPr="00A9375B" w:rsidRDefault="00497495" w:rsidP="003D74D8">
      <w:pPr>
        <w:pStyle w:val="ListParagraph"/>
        <w:numPr>
          <w:ilvl w:val="1"/>
          <w:numId w:val="11"/>
        </w:numPr>
        <w:spacing w:line="480" w:lineRule="auto"/>
        <w:jc w:val="both"/>
        <w:rPr>
          <w:del w:id="200002" w:author="Claude" w:date="2026-09-27T12:00:00Z"/>
          <w:i/>
          <w:iCs/>
          <w:smallCaps/>
          <w:color w:val="000000" w:themeColor="text1"/>
        </w:rPr>
      </w:pPr>
      <w:del w:id="200001" w:author="Claude" w:date="2026-09-27T12:00:00Z">
        <w:r>
          <w:rPr>
            <w:i/>
            <w:iCs/>
            <w:color w:val="000000" w:themeColor="text1"/>
          </w:rPr>
          <w:delText>QCMs Sometimes Disproportionately Burdened Disadvantaged Groups</w:delText>
        </w:r>
      </w:del>
    </w:p>
    <w:p w14:paraId="72F84523" w14:textId="77777777" w:rsidR="00285CFF" w:rsidRPr="00A9375B" w:rsidRDefault="00285CFF" w:rsidP="003D74D8">
      <w:pPr>
        <w:pStyle w:val="ListParagraph"/>
        <w:spacing w:line="480" w:lineRule="auto"/>
        <w:ind w:left="1440"/>
        <w:jc w:val="both"/>
        <w:rPr>
          <w:smallCaps/>
          <w:color w:val="000000" w:themeColor="text1"/>
        </w:rPr>
      </w:pPr>
    </w:p>
    <w:p w14:paraId="39814C8C" w14:textId="77777777" w:rsidR="00285CFF" w:rsidRPr="00A9375B" w:rsidRDefault="00285CFF" w:rsidP="003D74D8">
      <w:pPr>
        <w:pStyle w:val="ListParagraph"/>
        <w:numPr>
          <w:ilvl w:val="0"/>
          <w:numId w:val="11"/>
        </w:numPr>
        <w:spacing w:line="480" w:lineRule="auto"/>
        <w:jc w:val="both"/>
        <w:rPr>
          <w:smallCaps/>
          <w:color w:val="000000" w:themeColor="text1"/>
        </w:rPr>
      </w:pPr>
      <w:r>
        <w:rPr>
          <w:smallCaps/>
        </w:rPr>
        <w:t>These Historical Practices were not Early Iterations of Modern ADR</w:t>
      </w:r>
    </w:p>
    <w:p w14:paraId="306261DD"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Vacillation of Viability of Informal Forums in Colonies and Founding Era</w:t>
      </w:r>
    </w:p>
    <w:p w14:paraId="49512E4E"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First Historical Factor – Choice of the Lawyer’s Role</w:t>
      </w:r>
    </w:p>
    <w:p w14:paraId="4A6A4A11"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Attitudes Towards the Utilization of Informal Options Continue to Waver</w:t>
      </w:r>
    </w:p>
    <w:p w14:paraId="6AA83EF2"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Second Historical Factor – Legal System’s Institutional Capacity for Disputes</w:t>
      </w:r>
    </w:p>
    <w:p w14:paraId="5383C2C6"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Third Historical Factor – Monetization of Disputes</w:t>
      </w:r>
    </w:p>
    <w:p w14:paraId="00D3FF40"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The 1976 Pound Conference</w:t>
      </w:r>
    </w:p>
    <w:p w14:paraId="5FF3DB24" w14:textId="77777777" w:rsidR="00177DF7" w:rsidRPr="00A9375B" w:rsidRDefault="00177DF7" w:rsidP="003D74D8">
      <w:pPr>
        <w:pStyle w:val="ListParagraph"/>
        <w:spacing w:line="480" w:lineRule="auto"/>
        <w:ind w:left="1440"/>
        <w:jc w:val="both"/>
        <w:rPr>
          <w:smallCaps/>
          <w:color w:val="000000" w:themeColor="text1"/>
        </w:rPr>
      </w:pPr>
    </w:p>
    <w:p w14:paraId="292AEA51" w14:textId="77777777" w:rsidR="00285CFF" w:rsidRPr="00A9375B" w:rsidRDefault="008C560D" w:rsidP="003D74D8">
      <w:pPr>
        <w:pStyle w:val="ListParagraph"/>
        <w:numPr>
          <w:ilvl w:val="0"/>
          <w:numId w:val="11"/>
        </w:numPr>
        <w:spacing w:line="480" w:lineRule="auto"/>
        <w:jc w:val="both"/>
        <w:rPr>
          <w:smallCaps/>
          <w:color w:val="000000" w:themeColor="text1"/>
        </w:rPr>
      </w:pPr>
      <w:r>
        <w:rPr>
          <w:smallCaps/>
        </w:rPr>
        <w:t>The Case For Institutional Dissent</w:t>
      </w:r>
    </w:p>
    <w:p w14:paraId="6E6BFC7D" w14:textId="77777777" w:rsidR="008C560D" w:rsidRPr="00A9375B" w:rsidRDefault="008C560D" w:rsidP="003D74D8">
      <w:pPr>
        <w:pStyle w:val="ListParagraph"/>
        <w:numPr>
          <w:ilvl w:val="1"/>
          <w:numId w:val="11"/>
        </w:numPr>
        <w:spacing w:line="480" w:lineRule="auto"/>
        <w:jc w:val="both"/>
        <w:rPr>
          <w:i/>
          <w:iCs/>
          <w:color w:val="000000" w:themeColor="text1"/>
        </w:rPr>
      </w:pPr>
      <w:r>
        <w:rPr>
          <w:i/>
          <w:iCs/>
        </w:rPr>
        <w:t>Leaders’ Responsibility to Compose Cognitively Diverse Teams</w:t>
      </w:r>
    </w:p>
    <w:p w14:paraId="3FC24A29" w14:textId="77777777"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Legal Leaders’ Responsibility to be Cognizant of Psychological and Structural Barriers</w:t>
      </w:r>
    </w:p>
    <w:p w14:paraId="1BA3DF63" w14:textId="77777777"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Implementing Structured Discussions</w:t>
      </w:r>
      <w:r>
        <w:rPr>
          <w:i/>
          <w:iCs/>
          <w:color w:val="000000" w:themeColor="text1"/>
        </w:rPr>
        <w:tab/>
      </w:r>
    </w:p>
    <w:p w14:paraId="78BDA04B" w14:textId="77777777" w:rsidR="00AA0547" w:rsidRPr="00A9375B" w:rsidRDefault="00AA0547"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Nominal Group </w:t>
      </w:r>
      <w:r>
        <w:rPr>
          <w:i/>
          <w:iCs/>
          <w:smallCaps/>
          <w:lang w:bidi="en-US"/>
        </w:rPr>
        <w:t>Technique and the Delphi Method</w:t>
      </w:r>
    </w:p>
    <w:p w14:paraId="1DBB5A74" w14:textId="77777777"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Premortem Analysis and Collective Role Reversal</w:t>
      </w:r>
    </w:p>
    <w:p w14:paraId="3789DBB3" w14:textId="77777777"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Red Team Assessment and Key Assumptions Check</w:t>
      </w:r>
    </w:p>
    <w:p>
      <w:pPr>
        <w:pStyle w:val="ListParagraph"/>
        <w:numPr>
          <w:ilvl w:val="1"/>
          <w:numId w:val="11"/>
        </w:numPr>
        <w:spacing w:line="480" w:lineRule="auto"/>
        <w:jc w:val="both"/>
        <w:rPr>
          <w:ins w:id="200169" w:author="Claude" w:date="2026-09-27T12:00:00Z"/>
          <w:i/>
          <w:iCs/>
          <w:color w:val="000000" w:themeColor="text1"/>
        </w:rPr>
      </w:pPr>
      <w:ins w:id="200168" w:author="Claude" w:date="2026-09-27T12:00:00Z">
        <w:r>
          <w:rPr>
            <w:i/>
            <w:color w:val="000000" w:themeColor="text1"/>
          </w:rPr>
          <w:t>A Word of Caution: Historic QCMs Sometimes Disproportionately Burdened Disadvantaged Groups</w:t>
        </w:r>
      </w:ins>
    </w:p>
    <w:p>
      <w:pPr>
        <w:pStyle w:val="ListParagraph"/>
        <w:spacing w:line="480" w:lineRule="auto"/>
        <w:ind w:left="1440"/>
        <w:jc w:val="both"/>
        <w:rPr>
          <w:ins w:id="200171" w:author="Claude" w:date="2026-09-27T12:00:00Z"/>
          <w:smallCaps/>
          <w:color w:val="000000" w:themeColor="text1"/>
        </w:rPr>
      </w:pPr>
      <w:ins w:id="200170" w:author="Claude" w:date="2026-09-27T12:00:00Z"/>
    </w:p>
    <w:p>
      <w:pPr>
        <w:pStyle w:val="ListParagraph"/>
        <w:numPr>
          <w:ilvl w:val="0"/>
          <w:numId w:val="11"/>
        </w:numPr>
        <w:spacing w:line="480" w:lineRule="auto"/>
        <w:jc w:val="both"/>
        <w:rPr>
          <w:ins w:id="200173" w:author="Claude" w:date="2026-09-27T12:00:00Z"/>
          <w:smallCaps/>
          <w:color w:val="000000" w:themeColor="text1"/>
        </w:rPr>
      </w:pPr>
      <w:ins w:id="200172" w:author="Claude" w:date="2026-09-27T12:00:00Z">
        <w:r>
          <w:rPr>
            <w:smallCaps/>
          </w:rPr>
          <w:t>From Theory to Practice</w:t>
        </w:r>
      </w:ins>
    </w:p>
    <w:p w14:paraId="3EBE2769" w14:textId="77777777" w:rsidR="0010670E" w:rsidRPr="00A9375B" w:rsidRDefault="00590752" w:rsidP="003D74D8">
      <w:pPr>
        <w:pStyle w:val="ListParagraph"/>
        <w:numPr>
          <w:ilvl w:val="1"/>
          <w:numId w:val="11"/>
        </w:numPr>
        <w:spacing w:line="480" w:lineRule="auto"/>
        <w:jc w:val="both"/>
        <w:rPr>
          <w:i/>
          <w:iCs/>
          <w:color w:val="000000" w:themeColor="text1"/>
        </w:rPr>
      </w:pPr>
      <w:del w:id="100123" w:author="Claude" w:date="2026-09-26T12:00:00Z">
        <w:r>
          <w:rPr>
            <w:i/>
            <w:iCs/>
            <w:color w:val="000000" w:themeColor="text1"/>
          </w:rPr>
          <w:delText>The Practices Discussed Above Can and Should be Billed</w:delText>
        </w:r>
      </w:del>
      <w:ins w:id="100124" w:author="Claude" w:date="2026-09-26T12:00:00Z">
        <w:r>
          <w:rPr>
            <w:i/>
            <w:color w:val="000000" w:themeColor="text1"/>
          </w:rPr>
          <w:t>The Practices Proposed in the Previous Section Can and Should Be Billed</w:t>
        </w:r>
      </w:ins>
    </w:p>
    <w:p w14:paraId="1FFAC8A1" w14:textId="77777777" w:rsidR="0010670E" w:rsidRPr="00A9375B" w:rsidRDefault="0010670E" w:rsidP="003D74D8">
      <w:pPr>
        <w:pStyle w:val="ListParagraph"/>
        <w:numPr>
          <w:ilvl w:val="1"/>
          <w:numId w:val="11"/>
        </w:numPr>
        <w:spacing w:line="480" w:lineRule="auto"/>
        <w:jc w:val="both"/>
        <w:rPr>
          <w:i/>
          <w:iCs/>
          <w:color w:val="000000" w:themeColor="text1"/>
        </w:rPr>
      </w:pPr>
      <w:r>
        <w:rPr>
          <w:i/>
          <w:iCs/>
          <w:lang w:bidi="en-US"/>
        </w:rPr>
        <w:t>One Final Case Study: Authentic Dissent as a Necessary Condition to Remarkable Advocacy</w:t>
      </w:r>
    </w:p>
    <w:p w14:paraId="72EF8806" w14:textId="77777777" w:rsidR="00590752" w:rsidRPr="00A9375B" w:rsidRDefault="00590752" w:rsidP="003D74D8">
      <w:pPr>
        <w:spacing w:line="480" w:lineRule="auto"/>
        <w:jc w:val="both"/>
        <w:rPr>
          <w:smallCaps/>
          <w:color w:val="000000" w:themeColor="text1"/>
        </w:rPr>
      </w:pPr>
    </w:p>
    <w:p w14:paraId="6A424F94" w14:textId="77777777" w:rsidR="005754AC" w:rsidRPr="00A9375B" w:rsidRDefault="00285CFF" w:rsidP="003D74D8">
      <w:pPr>
        <w:pStyle w:val="ListParagraph"/>
        <w:numPr>
          <w:ilvl w:val="0"/>
          <w:numId w:val="11"/>
        </w:numPr>
        <w:spacing w:line="480" w:lineRule="auto"/>
        <w:jc w:val="both"/>
        <w:rPr>
          <w:smallCaps/>
          <w:color w:val="000000" w:themeColor="text1"/>
        </w:rPr>
      </w:pPr>
      <w:r>
        <w:rPr>
          <w:smallCaps/>
          <w:color w:val="000000" w:themeColor="text1"/>
        </w:rPr>
        <w:t>Conclusion</w:t>
      </w:r>
    </w:p>
    <w:p w14:paraId="0CF3D548" w14:textId="77777777" w:rsidR="00E734A3" w:rsidRPr="00A9375B" w:rsidRDefault="00E734A3" w:rsidP="003D74D8">
      <w:pPr>
        <w:spacing w:line="480" w:lineRule="auto"/>
        <w:jc w:val="center"/>
      </w:pPr>
      <w:r>
        <w:t>Abstract</w:t>
      </w:r>
    </w:p>
    <w:p w14:paraId="0149EFF2" w14:textId="77777777" w:rsidR="000E12F3" w:rsidRDefault="0008305B" w:rsidP="003D74D8">
      <w:pPr>
        <w:spacing w:line="480" w:lineRule="auto"/>
        <w:jc w:val="both"/>
        <w:rPr>
          <w:color w:val="000000" w:themeColor="text1"/>
        </w:rPr>
      </w:pPr>
      <w:bookmarkStart w:id="0" w:name="OLE_LINK13"/>
      <w:bookmarkStart w:id="1" w:name="OLE_LINK14"/>
      <w:r>
        <w:rPr>
          <w:color w:val="000000" w:themeColor="text1"/>
        </w:rPr>
        <w:t xml:space="preserve">Throughout much of recorded human history, before burdening courts with a potentially weak claim, disputants first subjected their claims to the forge of internal dissent. Disputants did this because substantial personal costs were a prerequisite for entering the formal system—costs that served as Quality Control Mechanisms (QCMs) across Ancient Near Eastern, Classical Greek, Ancient Roman, Traditional Chinese, and Medieval English societies. These costs could be ‘paid’ once a disputant tested the strength of their claim, wherein the disputant either (1) entered the formal system with a claim they deemed strong (2) sought relief through a network of independent informal forums or (3) used the scrutiny process to address the case's weaknesses in preparation </w:t>
      </w:r>
      <w:r>
        <w:rPr>
          <w:color w:val="000000" w:themeColor="text1"/>
        </w:rPr>
        <w:lastRenderedPageBreak/>
        <w:t xml:space="preserve">for the fuller relief offered by the formal system. This process served as an efficiency filter, placing the burden of clearing formal dockets on the disputant while also benefiting the disputant and their client by requiring them to present battle-tested advocacy. The United States inherited the historic dispute resolution tradition and then dismantled the forge of pre-filing scrutiny due to three historical circumstances: the legal profession's choice to cement the identity of the lawyer as a zealous advocate over an objective case assessor, the profession's unique institutional capacity for capturing and colonizing dispute resolution forums, and the widespread transition to an hourly billing model that shielded lawyers from the financial consequences of indulging their own cognitive biases. One consequence of these historical developments is that, because the progressive-era experiment of placing the burden of relieving dockets on the courts failed, litigation, mediation, and arbitration collapsed onto the same track as trial. Thereafter, the informal forum––which historically had taken in weak cases–vanished, thereby depriving the system of an opportunity to take some claims away from formal courts. The greater consequence, however, is that, because there is no 'cost' of entering the formal system with a weak claim, there is no 'payment' for pre-filing scrutiny. It follows that the most important claims—such as constitutional rights violations, which can only be remedied in formal courts—no longer receive the pre-filing scrutiny they once did. At present, the narrow focus on looking outward to external forums rather than inward to the strength of one's case means that legal strategy becomes infected, at both the individual and group levels, with cognitive biases. Left unchecked, these biases compound across a cohesive group (asking now “which external forum is optimal?” and not “should this claim be externalized at all?”) and mature into groupthink — the deterioration of strategic judgment that occurs when a cohesive deliberative body, insulated from adversarial testing of its own assumptions, mistakes internal consensus for external viability. This Note traces that history and </w:t>
      </w:r>
      <w:r>
        <w:rPr>
          <w:color w:val="000000" w:themeColor="text1"/>
        </w:rPr>
        <w:lastRenderedPageBreak/>
        <w:t>its present consequences, drawing from it a practical argument about how legal organizations advocate today. To shield clients from disastrous advocacy born from these echo chambers, modern deliberative bodies must reinstitute forges by cultivating authentic dissent. Legal leaders can achieve this by composing cognitively diverse teams, establishing psychologically safe work environments, and mandating structured case discussions. Ultimately, the modern absence of pre-filing scrutiny is the historical anomaly, and recovering this tradition requires nothing more than a willingness to surround oneself with people who think differently, and to listen to what they have to say.</w:t>
      </w:r>
    </w:p>
    <w:p w14:paraId="0C86C0A7" w14:textId="77777777" w:rsidR="0008305B" w:rsidRDefault="007D6C35" w:rsidP="003D74D8">
      <w:pPr>
        <w:spacing w:line="480" w:lineRule="auto"/>
        <w:jc w:val="center"/>
        <w:rPr>
          <w:color w:val="000000" w:themeColor="text1"/>
        </w:rPr>
      </w:pPr>
      <w:r>
        <w:rPr>
          <w:color w:val="000000" w:themeColor="text1"/>
        </w:rPr>
        <w:t>* * *</w:t>
      </w:r>
    </w:p>
    <w:p w14:paraId="289980D1" w14:textId="77777777" w:rsidR="001B515B" w:rsidRPr="007D6C35" w:rsidRDefault="001B515B" w:rsidP="001B515B">
      <w:pPr>
        <w:spacing w:line="480" w:lineRule="auto"/>
        <w:rPr>
          <w:color w:val="000000" w:themeColor="text1"/>
        </w:rPr>
      </w:pPr>
    </w:p>
    <w:p w14:paraId="23EF8F1B" w14:textId="77777777" w:rsidR="007D6C35" w:rsidRDefault="00F22FFC" w:rsidP="003D74D8">
      <w:pPr>
        <w:pStyle w:val="ListParagraph"/>
        <w:numPr>
          <w:ilvl w:val="0"/>
          <w:numId w:val="31"/>
        </w:numPr>
        <w:spacing w:line="480" w:lineRule="auto"/>
        <w:jc w:val="center"/>
        <w:rPr>
          <w:smallCaps/>
          <w:color w:val="000000" w:themeColor="text1"/>
        </w:rPr>
      </w:pPr>
      <w:r>
        <w:rPr>
          <w:smallCaps/>
          <w:color w:val="000000" w:themeColor="text1"/>
        </w:rPr>
        <w:t>Introduction</w:t>
      </w:r>
    </w:p>
    <w:p w14:paraId="3851D158" w14:textId="77777777" w:rsidR="00000000" w:rsidRDefault="00000000" w:rsidP="00C14BC5">
      <w:pPr>
        <w:pStyle w:val="BodyTextFirstIndent"/>
        <w:spacing w:line="480" w:lineRule="auto"/>
        <w:jc w:val="both"/>
      </w:pPr>
      <w:r>
        <w:t xml:space="preserve">Every argument is born in a room. Long before an advocate rises to </w:t>
      </w:r>
      <w:proofErr w:type="gramStart"/>
      <w:r>
        <w:t>say</w:t>
      </w:r>
      <w:proofErr w:type="gramEnd"/>
      <w:r>
        <w:t xml:space="preserve"> “May it please the Court,” a handful of lawyers around a table decide which claim to press, which theory to stake it on, which facts to trust. Rooms come in two kinds. The first is insular, filled with colleagues who share the cause, admire the theory, and regard the other side as not merely wrong but benighted. How pleasant it must be to prepare a case in such a room, hearing one’s own convictions echoed back, a little louder, from every seat at the table! This is known as groupthink. But an argument that no friend has doubted will be doubted for the first time from the bench, at the client’s expense. The second kind of room is adversarial by design. There, the advocate’s own colleagues play judge and opponent, asking every question the other side will ask while there is still time to repair whatever they break. The insular room produces hubris. The adversarial room produces winning arguments.</w:t>
      </w:r>
    </w:p>
    <w:p w14:paraId="35D8E696" w14:textId="77777777" w:rsidR="00000000" w:rsidRDefault="00000000">
      <w:pPr>
        <w:pStyle w:val="BodyTextFirstIndent"/>
        <w:spacing w:line="480" w:lineRule="auto"/>
        <w:jc w:val="both"/>
      </w:pPr>
      <w:r>
        <w:lastRenderedPageBreak/>
        <w:t xml:space="preserve">This introductory section visits one room of each kind. During their two-decade campaign against school segregation, the NAACP’s lawyers rehearsed their Supreme Court arguments before a packed hall at Howard University, with professors sitting as the Justices, and sent their new legal theories through a committee of cognitively diverse lawyers who spoke several interpretive languages and attacked them before any court could. Seven decades later, the ACLU careened into court in </w:t>
      </w:r>
      <w:r>
        <w:rPr>
          <w:i/>
          <w:iCs/>
        </w:rPr>
        <w:t xml:space="preserve">United States v. </w:t>
      </w:r>
      <w:proofErr w:type="spellStart"/>
      <w:r>
        <w:rPr>
          <w:i/>
          <w:iCs/>
        </w:rPr>
        <w:t>Skrmetti</w:t>
      </w:r>
      <w:proofErr w:type="spellEnd"/>
      <w:r>
        <w:rPr>
          <w:i/>
          <w:iCs/>
        </w:rPr>
        <w:t>,</w:t>
      </w:r>
      <w:r>
        <w:t xml:space="preserve"> never testing its claim outside its own ideological echo chamber. Both teams believed in the justice of their clients’ cause. One won </w:t>
      </w:r>
      <w:r>
        <w:rPr>
          <w:i/>
          <w:iCs/>
        </w:rPr>
        <w:t>Brown v. Board of Education</w:t>
      </w:r>
      <w:r>
        <w:t>, 9–0. The other lost, 6–3.</w:t>
      </w:r>
      <w:r>
        <w:rPr>
          <w:rStyle w:val="FootnoteReference"/>
          <w:color w:val="000000" w:themeColor="text1"/>
        </w:rPr>
        <w:footnoteReference w:id="2"/>
      </w:r>
      <w:r>
        <w:t xml:space="preserve"> I begin with the loss.</w:t>
      </w:r>
    </w:p>
    <w:p w14:paraId="5D12E0E8" w14:textId="77777777" w:rsidR="00D879FE" w:rsidRDefault="00000000">
      <w:pPr>
        <w:pStyle w:val="ListParagraph"/>
        <w:numPr>
          <w:ilvl w:val="0"/>
          <w:numId w:val="8"/>
        </w:numPr>
        <w:spacing w:line="480" w:lineRule="auto"/>
        <w:jc w:val="both"/>
        <w:rPr>
          <w:i/>
          <w:iCs/>
          <w:color w:val="000000" w:themeColor="text1"/>
        </w:rPr>
      </w:pPr>
      <w:r>
        <w:rPr>
          <w:i/>
          <w:color w:val="000000" w:themeColor="text1"/>
        </w:rPr>
        <w:t>The Litigation and Its Predictable Defeat</w:t>
      </w:r>
    </w:p>
    <w:p w14:paraId="384B0B02" w14:textId="77777777" w:rsidR="00744906" w:rsidRPr="00A9375B" w:rsidRDefault="00C97DF2" w:rsidP="00A23742">
      <w:pPr>
        <w:pStyle w:val="BodyTextFirstIndent"/>
        <w:spacing w:line="480" w:lineRule="auto"/>
        <w:jc w:val="both"/>
      </w:pPr>
      <w:r>
        <w:lastRenderedPageBreak/>
        <w:t xml:space="preserve">The Plaintiffs’ case in </w:t>
      </w:r>
      <w:r>
        <w:rPr>
          <w:i/>
          <w:iCs/>
        </w:rPr>
        <w:t>United States v.</w:t>
      </w:r>
      <w:r>
        <w:t xml:space="preserve"> </w:t>
      </w:r>
      <w:proofErr w:type="spellStart"/>
      <w:r>
        <w:rPr>
          <w:i/>
          <w:iCs/>
        </w:rPr>
        <w:t>Skrmetti</w:t>
      </w:r>
      <w:proofErr w:type="spellEnd"/>
      <w:r>
        <w:t xml:space="preserve"> was a predictable loss.</w:t>
      </w:r>
      <w:r>
        <w:rPr>
          <w:rStyle w:val="FootnoteReference"/>
          <w:color w:val="000000" w:themeColor="text1"/>
        </w:rPr>
        <w:footnoteReference w:id="3"/>
      </w:r>
      <w:r>
        <w:t xml:space="preserve"> It was not simply a matter of a conservative Court voting against progressive interests.</w:t>
      </w:r>
      <w:r>
        <w:rPr>
          <w:rStyle w:val="FootnoteReference"/>
          <w:color w:val="000000" w:themeColor="text1"/>
        </w:rPr>
        <w:footnoteReference w:id="4"/>
      </w:r>
      <w:r>
        <w:t xml:space="preserve"> </w:t>
      </w:r>
      <w:proofErr w:type="spellStart"/>
      <w:r>
        <w:rPr>
          <w:i/>
          <w:iCs/>
        </w:rPr>
        <w:t>Skrmetti</w:t>
      </w:r>
      <w:proofErr w:type="spellEnd"/>
      <w:r>
        <w:t xml:space="preserve"> arose from a decade of unrehearsed legal and cultural change.</w:t>
      </w:r>
      <w:r>
        <w:rPr>
          <w:rStyle w:val="FootnoteReference"/>
          <w:color w:val="000000" w:themeColor="text1"/>
        </w:rPr>
        <w:footnoteReference w:id="5"/>
      </w:r>
      <w:r>
        <w:t xml:space="preserve"> The Plaintiffs’ lead advocate, Chase </w:t>
      </w:r>
      <w:proofErr w:type="spellStart"/>
      <w:r>
        <w:t>Strangio</w:t>
      </w:r>
      <w:proofErr w:type="spellEnd"/>
      <w:r>
        <w:t xml:space="preserve"> of the ACLU, met the slow, deliberative process of courts</w:t>
      </w:r>
      <w:r>
        <w:rPr>
          <w:rStyle w:val="FootnoteReference"/>
          <w:color w:val="000000" w:themeColor="text1"/>
        </w:rPr>
        <w:footnoteReference w:id="6"/>
      </w:r>
      <w:r>
        <w:t xml:space="preserve"> with the corporate sphere’s culture of bullying </w:t>
      </w:r>
      <w:r>
        <w:lastRenderedPageBreak/>
        <w:t>opponents into capitulation.</w:t>
      </w:r>
      <w:r>
        <w:rPr>
          <w:rStyle w:val="FootnoteReference"/>
          <w:color w:val="000000" w:themeColor="text1"/>
        </w:rPr>
        <w:footnoteReference w:id="7"/>
      </w:r>
      <w:r>
        <w:t xml:space="preserve"> By one account, </w:t>
      </w:r>
      <w:proofErr w:type="spellStart"/>
      <w:r>
        <w:t>Strangio</w:t>
      </w:r>
      <w:proofErr w:type="spellEnd"/>
      <w:r>
        <w:t xml:space="preserve"> “was a big part of that online world that was so incredibly vicious . . . in trying to suppress the speech of people who disagree[d]” on the trans rights movement.</w:t>
      </w:r>
      <w:r>
        <w:rPr>
          <w:rStyle w:val="FootnoteReference"/>
          <w:color w:val="000000" w:themeColor="text1"/>
        </w:rPr>
        <w:footnoteReference w:id="8"/>
      </w:r>
      <w:r>
        <w:t xml:space="preserve"> </w:t>
      </w:r>
      <w:proofErr w:type="spellStart"/>
      <w:r>
        <w:t>Strangio</w:t>
      </w:r>
      <w:proofErr w:type="spellEnd"/>
      <w:r>
        <w:t xml:space="preserve">, who had “a reputation that did not tolerate dissent,” allowed the ACLU’s </w:t>
      </w:r>
      <w:proofErr w:type="spellStart"/>
      <w:r>
        <w:rPr>
          <w:i/>
          <w:iCs/>
        </w:rPr>
        <w:t>Skrmetti</w:t>
      </w:r>
      <w:proofErr w:type="spellEnd"/>
      <w:r>
        <w:rPr>
          <w:i/>
          <w:iCs/>
        </w:rPr>
        <w:t xml:space="preserve"> </w:t>
      </w:r>
      <w:r>
        <w:t>strategy to become an echo chamber suffused with internal strife.</w:t>
      </w:r>
      <w:r>
        <w:rPr>
          <w:rStyle w:val="FootnoteReference"/>
          <w:color w:val="000000" w:themeColor="text1"/>
        </w:rPr>
        <w:footnoteReference w:id="9"/>
      </w:r>
      <w:r>
        <w:t xml:space="preserve"> One ACLU lawyer observed that “a dogmatism descends sometimes” and that “you hesitate before you question a belief that is ascendant among your peer group.”</w:t>
      </w:r>
      <w:r>
        <w:rPr>
          <w:rStyle w:val="FootnoteReference"/>
        </w:rPr>
        <w:footnoteReference w:id="10"/>
      </w:r>
      <w:r>
        <w:rPr>
          <w:rStyle w:val="FootnoteReference"/>
          <w:color w:val="000000" w:themeColor="text1"/>
        </w:rPr>
        <w:t xml:space="preserve"> </w:t>
      </w:r>
    </w:p>
    <w:p w14:paraId="31F226B1" w14:textId="77777777" w:rsidR="00C97DF2" w:rsidRPr="00A9375B" w:rsidRDefault="00744906" w:rsidP="003D74D8">
      <w:pPr>
        <w:pStyle w:val="BodyTextFirstIndent"/>
        <w:spacing w:line="480" w:lineRule="auto"/>
        <w:jc w:val="both"/>
      </w:pPr>
      <w:r>
        <w:lastRenderedPageBreak/>
        <w:t xml:space="preserve">This culture yielded three flaws in the </w:t>
      </w:r>
      <w:proofErr w:type="spellStart"/>
      <w:r>
        <w:rPr>
          <w:i/>
          <w:iCs/>
        </w:rPr>
        <w:t>Skrmetti</w:t>
      </w:r>
      <w:proofErr w:type="spellEnd"/>
      <w:r>
        <w:rPr>
          <w:i/>
          <w:iCs/>
        </w:rPr>
        <w:t xml:space="preserve"> </w:t>
      </w:r>
      <w:r>
        <w:t>advocacy that an outsider could have exposed had the ACLU welcomed dissent.</w:t>
      </w:r>
      <w:r>
        <w:rPr>
          <w:rStyle w:val="FootnoteReference"/>
          <w:color w:val="000000" w:themeColor="text1"/>
        </w:rPr>
        <w:footnoteReference w:id="11"/>
      </w:r>
      <w:r>
        <w:t xml:space="preserve"> First, the ACLU rejected incrementalism.</w:t>
      </w:r>
      <w:r>
        <w:rPr>
          <w:rStyle w:val="FootnoteReference"/>
          <w:color w:val="000000" w:themeColor="text1"/>
        </w:rPr>
        <w:footnoteReference w:id="12"/>
      </w:r>
      <w:r>
        <w:t xml:space="preserve"> Second, it relied </w:t>
      </w:r>
      <w:r>
        <w:lastRenderedPageBreak/>
        <w:t>heavily on unproven science.</w:t>
      </w:r>
      <w:r>
        <w:rPr>
          <w:rStyle w:val="FootnoteReference"/>
          <w:color w:val="000000" w:themeColor="text1"/>
        </w:rPr>
        <w:footnoteReference w:id="13"/>
      </w:r>
      <w:r>
        <w:t xml:space="preserve"> Third, its legal theories proved unpersuasive.</w:t>
      </w:r>
      <w:r>
        <w:rPr>
          <w:rStyle w:val="FootnoteReference"/>
          <w:color w:val="000000" w:themeColor="text1"/>
        </w:rPr>
        <w:footnoteReference w:id="14"/>
      </w:r>
      <w:r>
        <w:t xml:space="preserve"> The Supreme Court rejected the sex-classification theory and upheld S.B. 1 under rational-basis review, expressly declining to resolve the scientific dispute.</w:t>
      </w:r>
      <w:r>
        <w:rPr>
          <w:rStyle w:val="FootnoteReference"/>
          <w:color w:val="000000" w:themeColor="text1"/>
        </w:rPr>
        <w:footnoteReference w:id="15"/>
      </w:r>
      <w:r>
        <w:t xml:space="preserve"> The most obvious reason for all three flaws is groupthink. The psychologist Irving Janis, who developed the concept, used the term to denote a degradation of collective judgment in which a cohesive group’s drive for agreement supplants a realistic appraisal of how strong the group’s choice is. Capable advocates do not so much decide that their claims need no testing as let groupthink decide it for them. </w:t>
      </w:r>
      <w:proofErr w:type="spellStart"/>
      <w:r>
        <w:rPr>
          <w:i/>
          <w:iCs/>
        </w:rPr>
        <w:t>Skrmetti</w:t>
      </w:r>
      <w:proofErr w:type="spellEnd"/>
      <w:r>
        <w:t xml:space="preserve"> is a recent, but by no means the only, example of how groupthink wrecks legal strategy, invites predictable defeat, depletes judicial resources, and undermines clients’ causes.</w:t>
      </w:r>
      <w:r>
        <w:rPr>
          <w:rStyle w:val="FootnoteReference"/>
          <w:color w:val="000000" w:themeColor="text1"/>
        </w:rPr>
        <w:footnoteReference w:id="16"/>
      </w:r>
      <w:r>
        <w:t xml:space="preserve"> The </w:t>
      </w:r>
      <w:proofErr w:type="spellStart"/>
      <w:r>
        <w:t>Strangio</w:t>
      </w:r>
      <w:proofErr w:type="spellEnd"/>
      <w:r>
        <w:t>-led trans rights movement “didn’t just lose on some of the key issues . . . but lost an enormous amount of background goodwill.”</w:t>
      </w:r>
      <w:r>
        <w:rPr>
          <w:rStyle w:val="FootnoteReference"/>
          <w:color w:val="000000" w:themeColor="text1"/>
        </w:rPr>
        <w:footnoteReference w:id="17"/>
      </w:r>
      <w:r>
        <w:t xml:space="preserve"> In a post-</w:t>
      </w:r>
      <w:proofErr w:type="spellStart"/>
      <w:r>
        <w:rPr>
          <w:i/>
          <w:iCs/>
        </w:rPr>
        <w:t>Skrmetti</w:t>
      </w:r>
      <w:proofErr w:type="spellEnd"/>
      <w:r>
        <w:t xml:space="preserve"> interview, </w:t>
      </w:r>
      <w:proofErr w:type="spellStart"/>
      <w:r>
        <w:t>Strangio</w:t>
      </w:r>
      <w:proofErr w:type="spellEnd"/>
      <w:r>
        <w:t xml:space="preserve"> acknowledged these shortcomings and showed himself a litigator willing to learn—which makes </w:t>
      </w:r>
      <w:proofErr w:type="spellStart"/>
      <w:r>
        <w:rPr>
          <w:i/>
          <w:iCs/>
        </w:rPr>
        <w:t>Skrmetti</w:t>
      </w:r>
      <w:proofErr w:type="spellEnd"/>
      <w:r>
        <w:t xml:space="preserve"> all the more telling as a </w:t>
      </w:r>
      <w:r>
        <w:lastRenderedPageBreak/>
        <w:t>case study in how pervasive groupthink is.</w:t>
      </w:r>
      <w:r>
        <w:rPr>
          <w:rStyle w:val="FootnoteReference"/>
          <w:color w:val="000000" w:themeColor="text1"/>
        </w:rPr>
        <w:footnoteReference w:id="18"/>
      </w:r>
      <w:r>
        <w:t xml:space="preserve"> It is troubling that groupthink led a team like </w:t>
      </w:r>
      <w:proofErr w:type="spellStart"/>
      <w:r>
        <w:t>Strangio’s</w:t>
      </w:r>
      <w:proofErr w:type="spellEnd"/>
      <w:r>
        <w:t xml:space="preserve"> to neglect internal dissent. More troubling still is that our modern legal system, stripped of the mechanisms that once compelled advocates to test their claims, does so little to demand it. </w:t>
      </w:r>
    </w:p>
    <w:p w14:paraId="31C31B69" w14:textId="77777777" w:rsidR="00D879FE" w:rsidRDefault="00000000">
      <w:pPr>
        <w:pStyle w:val="BodyTextFirstIndent"/>
        <w:spacing w:line="480" w:lineRule="auto"/>
        <w:jc w:val="both"/>
      </w:pPr>
      <w:r>
        <w:t>The substance of this case implicates a contested area of law and policy.</w:t>
      </w:r>
      <w:r>
        <w:rPr>
          <w:rStyle w:val="FootnoteReference"/>
          <w:color w:val="000000" w:themeColor="text1"/>
        </w:rPr>
        <w:footnoteReference w:id="19"/>
      </w:r>
      <w:r>
        <w:t xml:space="preserve"> The analytical focus is </w:t>
      </w:r>
      <w:r>
        <w:rPr>
          <w:i/>
        </w:rPr>
        <w:t>not</w:t>
      </w:r>
      <w:r>
        <w:t xml:space="preserve"> on any policies advanced in litigation, but rather on a narrower institutional question: whether the claims would have been externalized had they been subjected to rigorous internal scrutiny. Any criticisms in this section relate </w:t>
      </w:r>
      <w:r>
        <w:rPr>
          <w:i/>
        </w:rPr>
        <w:t>solely</w:t>
      </w:r>
      <w:r>
        <w:t xml:space="preserve"> to that narrow institutional focus, and readers should not take them for a critique of the plaintiffs or their cause.</w:t>
      </w:r>
    </w:p>
    <w:p w14:paraId="24FF4D15" w14:textId="77777777" w:rsidR="00C97DF2" w:rsidRPr="00A9375B" w:rsidRDefault="00C97DF2" w:rsidP="003D74D8">
      <w:pPr>
        <w:pStyle w:val="BodyTextFirstIndent"/>
        <w:spacing w:line="480" w:lineRule="auto"/>
        <w:jc w:val="both"/>
      </w:pPr>
      <w:r>
        <w:t>Consider first how the case unfolded. In March 2023, Tennessee enacted S.B. 1, prohibiting healthcare providers from prescribing puberty blockers or hormones or performing surgeries to help minors transition to a gender different from their biological sex.</w:t>
      </w:r>
      <w:r>
        <w:rPr>
          <w:rStyle w:val="FootnoteReference"/>
          <w:color w:val="000000" w:themeColor="text1"/>
        </w:rPr>
        <w:footnoteReference w:id="20"/>
      </w:r>
      <w:r>
        <w:t xml:space="preserve"> The law’s preamble recited detailed legislative findings on health risks, evidentiary gaps, and irreversible harm associated with such treatments.</w:t>
      </w:r>
      <w:r>
        <w:rPr>
          <w:rStyle w:val="FootnoteReference"/>
          <w:color w:val="000000" w:themeColor="text1"/>
        </w:rPr>
        <w:footnoteReference w:id="21"/>
      </w:r>
      <w:r>
        <w:t xml:space="preserve"> S.B. 1 joined roughly a dozen similar state laws then in force, including Alabama’s, which had been challenged by the same LGBTQ legal organizations and the United </w:t>
      </w:r>
      <w:r>
        <w:lastRenderedPageBreak/>
        <w:t xml:space="preserve">States that later appeared in </w:t>
      </w:r>
      <w:proofErr w:type="spellStart"/>
      <w:r>
        <w:rPr>
          <w:i/>
          <w:iCs/>
        </w:rPr>
        <w:t>Skrmetti</w:t>
      </w:r>
      <w:proofErr w:type="spellEnd"/>
      <w:r>
        <w:t>.</w:t>
      </w:r>
      <w:r>
        <w:rPr>
          <w:rStyle w:val="FootnoteReference"/>
          <w:color w:val="000000" w:themeColor="text1"/>
        </w:rPr>
        <w:footnoteReference w:id="22"/>
      </w:r>
      <w:r>
        <w:t xml:space="preserve"> The Plaintiffs in </w:t>
      </w:r>
      <w:proofErr w:type="spellStart"/>
      <w:r>
        <w:rPr>
          <w:i/>
          <w:iCs/>
        </w:rPr>
        <w:t>Eknes</w:t>
      </w:r>
      <w:proofErr w:type="spellEnd"/>
      <w:r>
        <w:rPr>
          <w:i/>
          <w:iCs/>
        </w:rPr>
        <w:t>-Tucker v. Marshall</w:t>
      </w:r>
      <w:r>
        <w:t xml:space="preserve"> ultimately dismissed their own case after court-ordered discovery revealed documents that one </w:t>
      </w:r>
      <w:r>
        <w:rPr>
          <w:i/>
          <w:iCs/>
        </w:rPr>
        <w:t>New York Times</w:t>
      </w:r>
      <w:r>
        <w:t xml:space="preserve"> commentator said “would shock you.”</w:t>
      </w:r>
      <w:r>
        <w:rPr>
          <w:rStyle w:val="FootnoteReference"/>
          <w:color w:val="000000" w:themeColor="text1"/>
        </w:rPr>
        <w:footnoteReference w:id="23"/>
      </w:r>
      <w:r>
        <w:t xml:space="preserve"> Indeed they did.  </w:t>
      </w:r>
    </w:p>
    <w:p w14:paraId="713CF279" w14:textId="080ECB6C" w:rsidR="001D4FB2" w:rsidRPr="00A9375B" w:rsidRDefault="00113623" w:rsidP="003D74D8">
      <w:pPr>
        <w:pStyle w:val="BodyTextFirstIndent"/>
        <w:spacing w:line="480" w:lineRule="auto"/>
        <w:jc w:val="both"/>
      </w:pPr>
      <w:r>
        <w:t xml:space="preserve">The documents unearthed in </w:t>
      </w:r>
      <w:r>
        <w:rPr>
          <w:i/>
          <w:iCs/>
        </w:rPr>
        <w:t xml:space="preserve">Marshall </w:t>
      </w:r>
      <w:r>
        <w:t xml:space="preserve">involved the World Professional Association for Transgender Health (WPATH), the organization whose standards of care the advocates in the Alabama litigation invoked as an expert consensus, and whose latest version, SOC-8, the </w:t>
      </w:r>
      <w:proofErr w:type="spellStart"/>
      <w:r>
        <w:rPr>
          <w:i/>
          <w:iCs/>
        </w:rPr>
        <w:t>Skrmetti</w:t>
      </w:r>
      <w:proofErr w:type="spellEnd"/>
      <w:r>
        <w:t xml:space="preserve"> Plaintiffs later urged courts to credit.</w:t>
      </w:r>
      <w:r>
        <w:rPr>
          <w:rStyle w:val="FootnoteReference"/>
          <w:color w:val="000000" w:themeColor="text1"/>
        </w:rPr>
        <w:footnoteReference w:id="24"/>
      </w:r>
      <w:r>
        <w:t xml:space="preserve"> The standards specified the available treatments, which varied by the patient’s developmental stage.</w:t>
      </w:r>
      <w:r>
        <w:rPr>
          <w:rStyle w:val="FootnoteReference"/>
          <w:color w:val="000000" w:themeColor="text1"/>
        </w:rPr>
        <w:footnoteReference w:id="25"/>
      </w:r>
      <w:r>
        <w:t xml:space="preserve"> In </w:t>
      </w:r>
      <w:r>
        <w:rPr>
          <w:i/>
          <w:iCs/>
        </w:rPr>
        <w:t>Marshall</w:t>
      </w:r>
      <w:r>
        <w:t xml:space="preserve">, the Plaintiffs claimed that WPATH </w:t>
      </w:r>
      <w:r>
        <w:lastRenderedPageBreak/>
        <w:t>“developed the standard of care, which represents an expert consensus based on the best available science, on transgender healthcare,” and that transition “is the only safe and effective treatment for gender dysphoria” and “has been endorsed by the mainstream medical community in the United States.”</w:t>
      </w:r>
      <w:r>
        <w:rPr>
          <w:rStyle w:val="FootnoteReference"/>
          <w:color w:val="000000" w:themeColor="text1"/>
        </w:rPr>
        <w:footnoteReference w:id="26"/>
      </w:r>
      <w:r>
        <w:t xml:space="preserve"> Yet WPATH’s own members undermined these claims</w:t>
      </w:r>
      <w:r w:rsidR="004A775A">
        <w:t xml:space="preserve"> as </w:t>
      </w:r>
      <w:r>
        <w:t>internal communications revealed that the standards arose from “an ideological activist-driven process and not a scientific-driven process.”</w:t>
      </w:r>
      <w:r>
        <w:rPr>
          <w:rStyle w:val="FootnoteReference"/>
          <w:color w:val="000000" w:themeColor="text1"/>
        </w:rPr>
        <w:footnoteReference w:id="27"/>
      </w:r>
    </w:p>
    <w:p w14:paraId="4A2EEF9D" w14:textId="77777777" w:rsidR="002161F5" w:rsidRPr="00A9375B" w:rsidRDefault="00527ADC" w:rsidP="003D74D8">
      <w:pPr>
        <w:pStyle w:val="BodyTextFirstIndent"/>
        <w:spacing w:line="480" w:lineRule="auto"/>
        <w:jc w:val="both"/>
      </w:pPr>
      <w:r>
        <w:t>Neither the selection of SOC-8’s authors nor the process by which they wrote it was scientific. One hundred nineteen current WPATH members authored the guidelines. Dr. Marci Bowers testified that it was “important” for each author to be an advocate for transitioning treatments before the guidelines were created.</w:t>
      </w:r>
      <w:r>
        <w:rPr>
          <w:rStyle w:val="FootnoteReference"/>
          <w:color w:val="000000" w:themeColor="text1"/>
        </w:rPr>
        <w:footnoteReference w:id="28"/>
      </w:r>
      <w:r>
        <w:t xml:space="preserve"> Many of these authors regularly served as expert witnesses, advocating in court for the procedures those standards endorsed.</w:t>
      </w:r>
      <w:r>
        <w:rPr>
          <w:rStyle w:val="FootnoteReference"/>
          <w:color w:val="000000" w:themeColor="text1"/>
        </w:rPr>
        <w:footnoteReference w:id="29"/>
      </w:r>
      <w:r>
        <w:t xml:space="preserve"> Dr. Eli Coleman, the chair of WPATH’s SOC-8 guideline committee, testified that he thought it was “ethically justifiable” for </w:t>
      </w:r>
      <w:r>
        <w:lastRenderedPageBreak/>
        <w:t>the authors to “advocate for language changes [in SOC-8] to strengthen [their] position in court.”</w:t>
      </w:r>
      <w:r>
        <w:rPr>
          <w:rStyle w:val="FootnoteReference"/>
          <w:color w:val="000000" w:themeColor="text1"/>
        </w:rPr>
        <w:footnoteReference w:id="30"/>
      </w:r>
      <w:r>
        <w:t xml:space="preserve"> Another team member wrote, “[m]y hope with these SoC is that they land in such a way as to have serious effect in the law and policy settings.”</w:t>
      </w:r>
      <w:r>
        <w:rPr>
          <w:rStyle w:val="FootnoteReference"/>
          <w:color w:val="000000" w:themeColor="text1"/>
        </w:rPr>
        <w:footnoteReference w:id="31"/>
      </w:r>
      <w:r>
        <w:t xml:space="preserve"> </w:t>
      </w:r>
    </w:p>
    <w:p w14:paraId="05AB23D8" w14:textId="77777777" w:rsidR="00C0099B" w:rsidRPr="00A9375B" w:rsidRDefault="00105CBB" w:rsidP="003D74D8">
      <w:pPr>
        <w:pStyle w:val="BodyTextFirstIndent"/>
        <w:spacing w:line="480" w:lineRule="auto"/>
        <w:jc w:val="both"/>
      </w:pPr>
      <w:r>
        <w:t>Most gravely, one author wrote that his chapter was not seeking a review of the evidence because “[o]</w:t>
      </w:r>
      <w:proofErr w:type="spellStart"/>
      <w:r>
        <w:t>ur</w:t>
      </w:r>
      <w:proofErr w:type="spellEnd"/>
      <w:r>
        <w:t xml:space="preserve"> concerns, echoed by the social justice lawyers we spoke with, is that evidence-based review reveals little or no evidence and puts us in an untenable position in terms of affecting policy or winning lawsuits.”</w:t>
      </w:r>
      <w:r>
        <w:rPr>
          <w:rStyle w:val="FootnoteReference"/>
          <w:color w:val="000000" w:themeColor="text1"/>
        </w:rPr>
        <w:footnoteReference w:id="32"/>
      </w:r>
      <w:r>
        <w:t xml:space="preserve"> Admiral Rachel Levine, the Biden Administration’s Assistant Secretary for Health, met regularly with WPATH’s leaders during the drafting and received an embargoed copy of the completed draft.</w:t>
      </w:r>
      <w:r>
        <w:rPr>
          <w:rStyle w:val="FootnoteReference"/>
          <w:color w:val="000000" w:themeColor="text1"/>
        </w:rPr>
        <w:footnoteReference w:id="33"/>
      </w:r>
      <w:r>
        <w:t xml:space="preserve"> Under political pressure from her and others, WPATH acquiesced and removed the age minimums from SOC-8.</w:t>
      </w:r>
      <w:r>
        <w:rPr>
          <w:rStyle w:val="FootnoteReference"/>
          <w:color w:val="000000" w:themeColor="text1"/>
        </w:rPr>
        <w:footnoteReference w:id="34"/>
      </w:r>
      <w:r>
        <w:t xml:space="preserve"> </w:t>
      </w:r>
    </w:p>
    <w:p w14:paraId="118AC5BA" w14:textId="77777777" w:rsidR="007E3419" w:rsidRPr="00A9375B" w:rsidRDefault="00A168B3" w:rsidP="003D74D8">
      <w:pPr>
        <w:pStyle w:val="BodyTextFirstIndent"/>
        <w:spacing w:line="480" w:lineRule="auto"/>
        <w:jc w:val="both"/>
      </w:pPr>
      <w:r>
        <w:lastRenderedPageBreak/>
        <w:t xml:space="preserve">During discovery in </w:t>
      </w:r>
      <w:r>
        <w:rPr>
          <w:i/>
          <w:iCs/>
        </w:rPr>
        <w:t>Marshall</w:t>
      </w:r>
      <w:r>
        <w:t xml:space="preserve">, a legal team led by the ACLU and Lambda Legal initiated </w:t>
      </w:r>
      <w:proofErr w:type="spellStart"/>
      <w:r>
        <w:rPr>
          <w:i/>
          <w:iCs/>
        </w:rPr>
        <w:t>Skrmetti</w:t>
      </w:r>
      <w:proofErr w:type="spellEnd"/>
      <w:r>
        <w:t xml:space="preserve"> by challenging S.B. 1 in federal court.</w:t>
      </w:r>
      <w:r>
        <w:rPr>
          <w:rStyle w:val="FootnoteReference"/>
          <w:color w:val="000000" w:themeColor="text1"/>
        </w:rPr>
        <w:footnoteReference w:id="35"/>
      </w:r>
      <w:r>
        <w:t xml:space="preserve"> The </w:t>
      </w:r>
      <w:proofErr w:type="spellStart"/>
      <w:r>
        <w:rPr>
          <w:i/>
          <w:iCs/>
        </w:rPr>
        <w:t>Skrmetti</w:t>
      </w:r>
      <w:proofErr w:type="spellEnd"/>
      <w:r>
        <w:t xml:space="preserve"> Plaintiffs obtained a preliminary injunction, which the Sixth Circuit reversed on appeal.</w:t>
      </w:r>
      <w:r>
        <w:rPr>
          <w:rStyle w:val="FootnoteReference"/>
          <w:color w:val="000000" w:themeColor="text1"/>
        </w:rPr>
        <w:footnoteReference w:id="36"/>
      </w:r>
      <w:r>
        <w:t xml:space="preserve"> Writing for the appeals court, Chief Judge Sutton acknowledged that “[n]o one in these consolidated cases debates the existence of gender dysphoria or the distress caused by it. And no one doubts the value of providing psychological and related care to children facing it.”</w:t>
      </w:r>
      <w:r>
        <w:rPr>
          <w:rStyle w:val="FootnoteReference"/>
          <w:color w:val="000000" w:themeColor="text1"/>
        </w:rPr>
        <w:footnoteReference w:id="37"/>
      </w:r>
      <w:r>
        <w:t xml:space="preserve"> Nevertheless, the court found no sex discrimination because “the laws regulate sex-transition treatments for all minors, regardless of sex.”</w:t>
      </w:r>
      <w:r>
        <w:rPr>
          <w:rStyle w:val="FootnoteReference"/>
          <w:color w:val="000000" w:themeColor="text1"/>
        </w:rPr>
        <w:footnoteReference w:id="38"/>
      </w:r>
      <w:r>
        <w:t xml:space="preserve"> The United States petitioned for certiorari, and the Court granted review.</w:t>
      </w:r>
      <w:r>
        <w:rPr>
          <w:rStyle w:val="FootnoteReference"/>
          <w:color w:val="000000" w:themeColor="text1"/>
        </w:rPr>
        <w:footnoteReference w:id="39"/>
      </w:r>
      <w:r>
        <w:t xml:space="preserve"> Despite the damaging disclosures from </w:t>
      </w:r>
      <w:r>
        <w:rPr>
          <w:i/>
          <w:iCs/>
        </w:rPr>
        <w:t>Marshall</w:t>
      </w:r>
      <w:r>
        <w:t>, the United States continued to assert in its Supreme Court briefing that gender-affirming care remained supported by “the Nation’s major medical organizations,” and dismissed the disclosures as “out-of-context excerpts from the unadjudicated summary-judgment record in a different case.”</w:t>
      </w:r>
      <w:r>
        <w:rPr>
          <w:rStyle w:val="FootnoteReference"/>
          <w:color w:val="000000" w:themeColor="text1"/>
        </w:rPr>
        <w:footnoteReference w:id="40"/>
      </w:r>
      <w:r>
        <w:t xml:space="preserve"> </w:t>
      </w:r>
    </w:p>
    <w:p w14:paraId="13D02326" w14:textId="77777777" w:rsidR="00F5008C" w:rsidRPr="00A9375B" w:rsidRDefault="006B2A16" w:rsidP="003D74D8">
      <w:pPr>
        <w:pStyle w:val="BodyTextFirstIndent"/>
        <w:spacing w:line="480" w:lineRule="auto"/>
        <w:jc w:val="both"/>
      </w:pPr>
      <w:r>
        <w:t xml:space="preserve">Beyond these evidentiary deficiencies, the legal theories in </w:t>
      </w:r>
      <w:proofErr w:type="spellStart"/>
      <w:r>
        <w:rPr>
          <w:i/>
          <w:iCs/>
        </w:rPr>
        <w:t>Skrmetti</w:t>
      </w:r>
      <w:proofErr w:type="spellEnd"/>
      <w:r>
        <w:t xml:space="preserve"> were unpersuasive. Even before the Supreme Court heard oral argument, commentators across the ideological spectrum—especially liberal commentators one would expect to find in the Plaintiffs’ camp—questioned why </w:t>
      </w:r>
      <w:r>
        <w:lastRenderedPageBreak/>
        <w:t>anyone would have appealed the Sixth Circuit’s ruling.</w:t>
      </w:r>
      <w:r>
        <w:rPr>
          <w:rStyle w:val="FootnoteReference"/>
          <w:color w:val="000000" w:themeColor="text1"/>
        </w:rPr>
        <w:footnoteReference w:id="41"/>
      </w:r>
      <w:r>
        <w:t xml:space="preserve"> The Plaintiffs’ counsel wrote the </w:t>
      </w:r>
      <w:proofErr w:type="spellStart"/>
      <w:r>
        <w:rPr>
          <w:i/>
          <w:iCs/>
        </w:rPr>
        <w:t>Skrmetti</w:t>
      </w:r>
      <w:proofErr w:type="spellEnd"/>
      <w:r>
        <w:t xml:space="preserve"> briefs hoping the Court would extend the reasoning of </w:t>
      </w:r>
      <w:r>
        <w:rPr>
          <w:i/>
          <w:iCs/>
        </w:rPr>
        <w:t>Bostock v. Clayton County</w:t>
      </w:r>
      <w:r>
        <w:t xml:space="preserve"> to this case.</w:t>
      </w:r>
      <w:r>
        <w:rPr>
          <w:rStyle w:val="FootnoteReference"/>
          <w:color w:val="000000" w:themeColor="text1"/>
        </w:rPr>
        <w:footnoteReference w:id="42"/>
      </w:r>
      <w:r>
        <w:t xml:space="preserve"> </w:t>
      </w:r>
    </w:p>
    <w:p w14:paraId="32E13396" w14:textId="77777777" w:rsidR="00EF33CF" w:rsidRPr="00A9375B" w:rsidRDefault="00105CBB" w:rsidP="003D74D8">
      <w:pPr>
        <w:pStyle w:val="BodyTextFirstIndent"/>
        <w:spacing w:line="480" w:lineRule="auto"/>
        <w:jc w:val="both"/>
      </w:pPr>
      <w:r>
        <w:rPr>
          <w:i/>
          <w:iCs/>
        </w:rPr>
        <w:t>Bostock</w:t>
      </w:r>
      <w:r>
        <w:t xml:space="preserve"> involved workplace discrimination claims by transgender and gay employees under Title VII, which prohibits adverse employment actions “because of” sex.</w:t>
      </w:r>
      <w:r>
        <w:rPr>
          <w:rStyle w:val="FootnoteReference"/>
          <w:color w:val="000000" w:themeColor="text1"/>
        </w:rPr>
        <w:footnoteReference w:id="43"/>
      </w:r>
      <w:r>
        <w:t xml:space="preserve"> Bostock’s counsel crafted their case for a textualist and conservative Court, and emphasized in their reply brief that they were not seeking “a new meaning of what ‘sex’ is . . . rather, it is for a new application . . . the Court has already held that new applications of the text of Title VII are appropriate even when Congress did not envision them.”</w:t>
      </w:r>
      <w:r>
        <w:rPr>
          <w:rStyle w:val="FootnoteReference"/>
          <w:color w:val="000000" w:themeColor="text1"/>
        </w:rPr>
        <w:footnoteReference w:id="44"/>
      </w:r>
      <w:r>
        <w:t xml:space="preserve"> During oral argument, they continued this approach by urging the Court to “read the words of the statute.”</w:t>
      </w:r>
      <w:r>
        <w:rPr>
          <w:rStyle w:val="FootnoteReference"/>
          <w:color w:val="000000" w:themeColor="text1"/>
        </w:rPr>
        <w:footnoteReference w:id="45"/>
      </w:r>
      <w:r>
        <w:t xml:space="preserve"> Writing for the Court, Justice Gorsuch adopted precisely the reasoning they had urged, asserting that “[w]hen the express terms of a statute give us one answer and extratextual considerations suggest another, it’s no contest. Only the written word is the law, and all persons are entitled to its benefit.”</w:t>
      </w:r>
      <w:r>
        <w:rPr>
          <w:rStyle w:val="FootnoteReference"/>
          <w:color w:val="000000" w:themeColor="text1"/>
        </w:rPr>
        <w:footnoteReference w:id="46"/>
      </w:r>
    </w:p>
    <w:p w14:paraId="0484BF9D" w14:textId="77777777" w:rsidR="00E2020C" w:rsidRPr="00A9375B" w:rsidRDefault="00000000" w:rsidP="003D74D8">
      <w:pPr>
        <w:pStyle w:val="BodyTextFirstIndent"/>
        <w:spacing w:line="480" w:lineRule="auto"/>
        <w:jc w:val="both"/>
      </w:pPr>
      <w:r>
        <w:t xml:space="preserve">Returning to </w:t>
      </w:r>
      <w:proofErr w:type="spellStart"/>
      <w:r>
        <w:rPr>
          <w:i/>
          <w:iCs/>
        </w:rPr>
        <w:t>Skrmetti</w:t>
      </w:r>
      <w:proofErr w:type="spellEnd"/>
      <w:r>
        <w:t xml:space="preserve">, the United States attempted to replicate this strategy, arguing in its reply brief that “Bostock used but-for causation the same way we do: to identify ‘sex-based rules’ that facially classify based on sex,” and that a policy facially discriminates based on sex “if changing </w:t>
      </w:r>
      <w:r>
        <w:lastRenderedPageBreak/>
        <w:t>the employee’s sex would have yielded a different choice by the employer.”</w:t>
      </w:r>
      <w:r>
        <w:rPr>
          <w:rStyle w:val="FootnoteReference"/>
          <w:color w:val="000000" w:themeColor="text1"/>
        </w:rPr>
        <w:footnoteReference w:id="47"/>
      </w:r>
      <w:r>
        <w:t xml:space="preserve"> During oral argument, the Solicitor General suggested that “this is an even easier sex classification than maybe the one the Court confronted in Bostock.”</w:t>
      </w:r>
      <w:r>
        <w:rPr>
          <w:rStyle w:val="FootnoteReference"/>
          <w:color w:val="000000" w:themeColor="text1"/>
        </w:rPr>
        <w:footnoteReference w:id="48"/>
      </w:r>
      <w:r>
        <w:t xml:space="preserve"> The Plaintiffs had also pressed a parental-rights theory, but the Court granted only the United States’ petition, which raised equal protection alone.</w:t>
      </w:r>
      <w:r>
        <w:rPr>
          <w:rStyle w:val="FootnoteReference"/>
          <w:color w:val="000000" w:themeColor="text1"/>
        </w:rPr>
        <w:footnoteReference w:id="49"/>
      </w:r>
      <w:r>
        <w:t xml:space="preserve"> Chief Justice Roberts, writing for the Court, rejected the </w:t>
      </w:r>
      <w:r>
        <w:rPr>
          <w:i/>
          <w:iCs/>
        </w:rPr>
        <w:t>Bostock</w:t>
      </w:r>
      <w:r>
        <w:t xml:space="preserve"> analogy:</w:t>
      </w:r>
    </w:p>
    <w:p w14:paraId="73B78D66" w14:textId="77777777" w:rsidR="00E2020C" w:rsidRPr="00A9375B" w:rsidRDefault="00CE67E5" w:rsidP="003D74D8">
      <w:pPr>
        <w:pStyle w:val="BodyTextFirstIndent2"/>
        <w:spacing w:line="480" w:lineRule="auto"/>
        <w:ind w:left="720" w:right="720" w:firstLine="0"/>
        <w:jc w:val="both"/>
      </w:pPr>
      <w:r>
        <w:t xml:space="preserve">Unlike the homosexual male employee [in </w:t>
      </w:r>
      <w:r>
        <w:rPr>
          <w:i/>
          <w:iCs/>
        </w:rPr>
        <w:t>Bostock</w:t>
      </w:r>
      <w:r>
        <w:t xml:space="preserve">] whose sexuality automatically switches to straight when his sex is changed from male to female, there is no reason why a female minor’s diagnosis of hirsutism automatically changes to gender dysphoria when her sex is changed from female to male. Under the logic of </w:t>
      </w:r>
      <w:r>
        <w:rPr>
          <w:i/>
          <w:iCs/>
        </w:rPr>
        <w:t>Bostock,</w:t>
      </w:r>
      <w:r>
        <w:t xml:space="preserve"> then, sex is simply not a </w:t>
      </w:r>
      <w:proofErr w:type="spellStart"/>
      <w:r>
        <w:t>but</w:t>
      </w:r>
      <w:proofErr w:type="spellEnd"/>
      <w:r>
        <w:t>-for cause of SB1’s operation.</w:t>
      </w:r>
      <w:r>
        <w:rPr>
          <w:rStyle w:val="FootnoteReference"/>
          <w:color w:val="000000" w:themeColor="text1"/>
        </w:rPr>
        <w:footnoteReference w:id="50"/>
      </w:r>
      <w:r>
        <w:t xml:space="preserve"> </w:t>
      </w:r>
    </w:p>
    <w:p w14:paraId="63B87811" w14:textId="77777777" w:rsidR="00D879FE" w:rsidRDefault="00000000">
      <w:pPr>
        <w:pStyle w:val="BodyTextFirstIndent"/>
        <w:spacing w:line="480" w:lineRule="auto"/>
        <w:jc w:val="both"/>
      </w:pPr>
      <w:r>
        <w:t>The Court rejected the equal-protection claim and devoted the rest of the opinion to rational-basis review.</w:t>
      </w:r>
      <w:r>
        <w:rPr>
          <w:rStyle w:val="FootnoteReference"/>
          <w:color w:val="000000" w:themeColor="text1"/>
        </w:rPr>
        <w:footnoteReference w:id="51"/>
      </w:r>
      <w:r>
        <w:t xml:space="preserve"> In sum, the flawed </w:t>
      </w:r>
      <w:r>
        <w:rPr>
          <w:i/>
        </w:rPr>
        <w:t>Bostock</w:t>
      </w:r>
      <w:r>
        <w:t xml:space="preserve"> analogy and ideologically compromised science predictably foundered before the Court.</w:t>
      </w:r>
      <w:r>
        <w:rPr>
          <w:rStyle w:val="FootnoteReference"/>
          <w:color w:val="000000" w:themeColor="text1"/>
        </w:rPr>
        <w:footnoteReference w:id="52"/>
      </w:r>
      <w:r>
        <w:t xml:space="preserve"> Beyond its strategic missteps, </w:t>
      </w:r>
      <w:proofErr w:type="spellStart"/>
      <w:r>
        <w:rPr>
          <w:i/>
        </w:rPr>
        <w:t>Skrmetti</w:t>
      </w:r>
      <w:proofErr w:type="spellEnd"/>
      <w:r>
        <w:t xml:space="preserve"> illustrates how groupthink can pervade even well-resourced legal organizations when a cohesive team’s cognitive biases go unchallenged. Of course, no one can know whether the presence of ideological diversity </w:t>
      </w:r>
      <w:r>
        <w:lastRenderedPageBreak/>
        <w:t xml:space="preserve">within the ACLU’s team would have altered the outcome. Nonetheless, the case demonstrates why welcoming dissenting perspectives advances clients’ best interests because, by many accounts, the ACLU’s advocacy was extremely underwhelming. Its error was not in litigating but in failing to break the echo chamber in which the strategy was developed. Transgender individuals facing discrimination are entitled to their day in court, and the ACLU was entirely right to litigate on behalf of its clients. To test a claim is to predict a tribunal, and that is not a passive art. “To be successful in any situation,” Anthony </w:t>
      </w:r>
      <w:proofErr w:type="spellStart"/>
      <w:r>
        <w:t>Kronman</w:t>
      </w:r>
      <w:proofErr w:type="spellEnd"/>
      <w:r>
        <w:t xml:space="preserve"> writes, “an advocate must understand the concerns of the person he is addressing and modify his arguments accordingly. It follows that a lawyer arguing before a judge who is responsible for maintaining the well-being of the law must himself become a master of analysis from the judicial point of view, for otherwise he will not know what to say to advance his client’s cause.”</w:t>
      </w:r>
      <w:r>
        <w:rPr>
          <w:rStyle w:val="FootnoteReference"/>
          <w:color w:val="000000" w:themeColor="text1"/>
        </w:rPr>
        <w:footnoteReference w:id="53"/>
      </w:r>
      <w:r>
        <w:t xml:space="preserve"> The best Supreme Court advocates, Richard Lazarus reports, “completely rethink a case from the way that it was litigated and argued below,” because cases can be “pitched in multiple ways.”</w:t>
      </w:r>
      <w:r>
        <w:rPr>
          <w:rStyle w:val="FootnoteReference"/>
          <w:color w:val="000000" w:themeColor="text1"/>
        </w:rPr>
        <w:footnoteReference w:id="54"/>
      </w:r>
      <w:r>
        <w:t xml:space="preserve"> A team that speaks one idiom cannot do that, and it will not notice that it cannot, for “consensus on a forecast is not necessarily an indication of its validity: a shared deficiency of reasoning will also yield consensus.”</w:t>
      </w:r>
      <w:r>
        <w:rPr>
          <w:rStyle w:val="FootnoteReference"/>
          <w:color w:val="000000" w:themeColor="text1"/>
        </w:rPr>
        <w:footnoteReference w:id="55"/>
      </w:r>
      <w:r>
        <w:t xml:space="preserve"> No other forum could have given the </w:t>
      </w:r>
      <w:proofErr w:type="spellStart"/>
      <w:r>
        <w:rPr>
          <w:i/>
        </w:rPr>
        <w:t>Skrmetti</w:t>
      </w:r>
      <w:proofErr w:type="spellEnd"/>
      <w:r>
        <w:t xml:space="preserve"> Plaintiffs full relief on their constitutional claims, and a legal team is free to pursue the fuller remedies that only courts provide. But precisely because the courtroom carries the </w:t>
      </w:r>
      <w:r>
        <w:lastRenderedPageBreak/>
        <w:t>gravest stakes, a claim should be tested before it is filed.</w:t>
      </w:r>
      <w:r>
        <w:rPr>
          <w:rStyle w:val="FootnoteReference"/>
          <w:color w:val="000000" w:themeColor="text1"/>
        </w:rPr>
        <w:footnoteReference w:id="56"/>
      </w:r>
      <w:r>
        <w:t xml:space="preserve"> I now turn to the NAACP Legal Defense Fund (LDF) as an exercise in what Charles Tilly calls an “individualizing comparison”: setting one case beside another to bring out features that would remain obscured if the first were examined in isolation.</w:t>
      </w:r>
      <w:r>
        <w:rPr>
          <w:rStyle w:val="FootnoteReference"/>
          <w:color w:val="000000" w:themeColor="text1"/>
        </w:rPr>
        <w:footnoteReference w:id="57"/>
      </w:r>
    </w:p>
    <w:p w14:paraId="36E30150" w14:textId="77777777" w:rsidR="00D879FE" w:rsidRDefault="00000000">
      <w:pPr>
        <w:pStyle w:val="ListParagraph"/>
        <w:numPr>
          <w:ilvl w:val="0"/>
          <w:numId w:val="8"/>
        </w:numPr>
        <w:spacing w:line="480" w:lineRule="auto"/>
        <w:jc w:val="both"/>
        <w:rPr>
          <w:i/>
          <w:iCs/>
          <w:color w:val="000000" w:themeColor="text1"/>
        </w:rPr>
      </w:pPr>
      <w:r>
        <w:rPr>
          <w:i/>
          <w:color w:val="000000" w:themeColor="text1"/>
        </w:rPr>
        <w:t>Contrasting Case Study: NAACP Legal Defense Fund</w:t>
      </w:r>
    </w:p>
    <w:p w14:paraId="3DB62B6F" w14:textId="77777777" w:rsidR="00D879FE" w:rsidRDefault="00000000">
      <w:pPr>
        <w:pStyle w:val="BodyTextFirstIndent"/>
        <w:spacing w:line="480" w:lineRule="auto"/>
        <w:jc w:val="both"/>
      </w:pPr>
      <w:r>
        <w:t>The LDF institutionalized adversarial self-testing during its two-decade campaign against school segregation. Charles Hamilton Houston, for example, established a tradition at Howard University Law School of presenting his facts and legal arguments to students and professors before every Supreme Court argument, with professors playing the Justices.</w:t>
      </w:r>
      <w:r>
        <w:rPr>
          <w:rStyle w:val="FootnoteReference"/>
          <w:color w:val="000000" w:themeColor="text1"/>
        </w:rPr>
        <w:footnoteReference w:id="58"/>
      </w:r>
      <w:r>
        <w:t xml:space="preserve"> Closed to the public but open to every member of the faculty, the student body, and any friendly lawyer in Washington, these sessions filled Howard’s largest meeting hall and brought a wide range of perspectives to bear on each argument.</w:t>
      </w:r>
      <w:r>
        <w:rPr>
          <w:rStyle w:val="FootnoteReference"/>
          <w:color w:val="000000" w:themeColor="text1"/>
        </w:rPr>
        <w:footnoteReference w:id="59"/>
      </w:r>
      <w:r>
        <w:t xml:space="preserve"> Jack Greenberg recalled that “[n]either I nor any LDF lawyer was ever </w:t>
      </w:r>
      <w:r>
        <w:lastRenderedPageBreak/>
        <w:t>asked a question in actual argument that had not first been asked at the dry run.”</w:t>
      </w:r>
      <w:r>
        <w:rPr>
          <w:rStyle w:val="FootnoteReference"/>
          <w:color w:val="000000" w:themeColor="text1"/>
        </w:rPr>
        <w:footnoteReference w:id="60"/>
      </w:r>
      <w:r>
        <w:t xml:space="preserve"> The testing began long before argument. Mark </w:t>
      </w:r>
      <w:proofErr w:type="spellStart"/>
      <w:r>
        <w:t>Tushnet’s</w:t>
      </w:r>
      <w:proofErr w:type="spellEnd"/>
      <w:r>
        <w:t xml:space="preserve"> study of the campaign records that the national office reviewed “all steps before they are taken” and passed on “proposed pleadings,”</w:t>
      </w:r>
      <w:r>
        <w:rPr>
          <w:rStyle w:val="FootnoteReference"/>
          <w:color w:val="000000" w:themeColor="text1"/>
        </w:rPr>
        <w:footnoteReference w:id="61"/>
      </w:r>
      <w:r>
        <w:t xml:space="preserve"> and that where it could not control “enthusiastic local attorneys,” “the </w:t>
      </w:r>
      <w:proofErr w:type="spellStart"/>
      <w:r>
        <w:t>naacp</w:t>
      </w:r>
      <w:proofErr w:type="spellEnd"/>
      <w:r>
        <w:t xml:space="preserve"> lost every graduate school lawsuit that it handled.”</w:t>
      </w:r>
      <w:r>
        <w:rPr>
          <w:rStyle w:val="FootnoteReference"/>
          <w:color w:val="000000" w:themeColor="text1"/>
        </w:rPr>
        <w:footnoteReference w:id="62"/>
      </w:r>
      <w:r>
        <w:t xml:space="preserve"> Marshall’s own rule was blunter: “you don’t run into court with a legal case overnight.”</w:t>
      </w:r>
      <w:r>
        <w:rPr>
          <w:rStyle w:val="FootnoteReference"/>
          <w:color w:val="000000" w:themeColor="text1"/>
        </w:rPr>
        <w:footnoteReference w:id="63"/>
      </w:r>
      <w:r>
        <w:t xml:space="preserve"> </w:t>
      </w:r>
    </w:p>
    <w:p w14:paraId="10AD2535" w14:textId="77777777" w:rsidR="00D879FE" w:rsidRDefault="00000000">
      <w:pPr>
        <w:pStyle w:val="BodyTextFirstIndent"/>
        <w:spacing w:line="480" w:lineRule="auto"/>
        <w:jc w:val="both"/>
      </w:pPr>
      <w:r>
        <w:t xml:space="preserve">Unlike the ACLU, whenever the NAACP sought to launch a new legal </w:t>
      </w:r>
      <w:proofErr w:type="gramStart"/>
      <w:r>
        <w:t>attack</w:t>
      </w:r>
      <w:proofErr w:type="gramEnd"/>
      <w:r>
        <w:t xml:space="preserve"> it convened a pre-filing committee in which a cognitively diverse group of lawyers stress-tested the proposed approach. Nathan </w:t>
      </w:r>
      <w:proofErr w:type="spellStart"/>
      <w:r>
        <w:t>Margold’s</w:t>
      </w:r>
      <w:proofErr w:type="spellEnd"/>
      <w:r>
        <w:t xml:space="preserve"> 1931 report, which set the campaign’s course, had already called for “differences of opinion which should be thrashed out in conference,”</w:t>
      </w:r>
      <w:r>
        <w:rPr>
          <w:rStyle w:val="FootnoteReference"/>
          <w:color w:val="000000" w:themeColor="text1"/>
        </w:rPr>
        <w:footnoteReference w:id="64"/>
      </w:r>
      <w:r>
        <w:t xml:space="preserve"> and the conference at Howard at which the direct attack on segregation was debated was convened so that its advocates could “make their case and counter the opposing sentiment.”</w:t>
      </w:r>
      <w:r>
        <w:rPr>
          <w:rStyle w:val="FootnoteReference"/>
          <w:color w:val="000000" w:themeColor="text1"/>
        </w:rPr>
        <w:footnoteReference w:id="65"/>
      </w:r>
      <w:r>
        <w:t xml:space="preserve"> As Thurgood Marshall’s legal assistant, Robert L. Carter, explained:</w:t>
      </w:r>
    </w:p>
    <w:p w14:paraId="5D791A99" w14:textId="77777777" w:rsidR="00A726E0" w:rsidRPr="00A9375B" w:rsidRDefault="00000000" w:rsidP="003D74D8">
      <w:pPr>
        <w:pStyle w:val="BodyTextFirstIndent2"/>
        <w:spacing w:line="480" w:lineRule="auto"/>
        <w:ind w:left="720" w:right="720" w:firstLine="0"/>
        <w:jc w:val="both"/>
      </w:pPr>
      <w:r>
        <w:lastRenderedPageBreak/>
        <w:t>[S]</w:t>
      </w:r>
      <w:proofErr w:type="spellStart"/>
      <w:r>
        <w:t>ome</w:t>
      </w:r>
      <w:proofErr w:type="spellEnd"/>
      <w:r>
        <w:t xml:space="preserve"> of the best legal minds in the country were willing to give time and thought to help us improve and strengthen our legal attack on racial segregation in education. The committee was composed of black and white men, law professors and those engaged in the practice of law . . . . There were no holds barred. Every idea or concept offered was subjected to close scrutiny and often to withering attack. If the proposition could not be successfully defended against attack by the committee, it was felt, it could</w:t>
      </w:r>
      <w:r>
        <w:t xml:space="preserve"> not survive court testing.</w:t>
      </w:r>
      <w:r>
        <w:rPr>
          <w:rStyle w:val="FootnoteReference"/>
        </w:rPr>
        <w:footnoteReference w:id="66"/>
      </w:r>
    </w:p>
    <w:p w14:paraId="09FE5034" w14:textId="77777777" w:rsidR="00000000" w:rsidRDefault="00A726E0" w:rsidP="003D74D8">
      <w:pPr>
        <w:pStyle w:val="BodyTextFirstIndent"/>
        <w:spacing w:line="480" w:lineRule="auto"/>
        <w:jc w:val="both"/>
      </w:pPr>
      <w:r>
        <w:t xml:space="preserve">One observer who watched Marshall argue a year after </w:t>
      </w:r>
      <w:proofErr w:type="spellStart"/>
      <w:r>
        <w:rPr>
          <w:i/>
          <w:iCs/>
        </w:rPr>
        <w:t>Sweatt</w:t>
      </w:r>
      <w:proofErr w:type="spellEnd"/>
      <w:r>
        <w:rPr>
          <w:i/>
          <w:iCs/>
        </w:rPr>
        <w:t xml:space="preserve"> v. Painter</w:t>
      </w:r>
      <w:r>
        <w:t xml:space="preserve"> described him as “like a chess grandmaster playing against Frankfurter, a good club player.” The explanation lay in his preparation: “Having faced the hardest questions at the practice rounds, Marshall was poised for the justices.”</w:t>
      </w:r>
      <w:r>
        <w:rPr>
          <w:rStyle w:val="FootnoteReference"/>
          <w:color w:val="000000" w:themeColor="text1"/>
        </w:rPr>
        <w:footnoteReference w:id="67"/>
      </w:r>
      <w:r>
        <w:t xml:space="preserve"> </w:t>
      </w:r>
    </w:p>
    <w:p w14:paraId="7C578E96" w14:textId="77777777" w:rsidR="00A726E0" w:rsidRPr="00A9375B" w:rsidRDefault="00000000" w:rsidP="001C30CC">
      <w:pPr>
        <w:pStyle w:val="BodyTextFirstIndent"/>
        <w:spacing w:line="480" w:lineRule="auto"/>
        <w:jc w:val="both"/>
      </w:pPr>
      <w:r>
        <w:t xml:space="preserve">The NAACP’s institutionalized practices enabled it to resist dogma. For example, when historical research for the </w:t>
      </w:r>
      <w:r>
        <w:rPr>
          <w:i/>
          <w:iCs/>
        </w:rPr>
        <w:t>Brown</w:t>
      </w:r>
      <w:r>
        <w:t xml:space="preserve"> </w:t>
      </w:r>
      <w:proofErr w:type="spellStart"/>
      <w:r>
        <w:t>reargument</w:t>
      </w:r>
      <w:proofErr w:type="spellEnd"/>
      <w:r>
        <w:t xml:space="preserve"> produced ambiguous findings on the Fourteenth Amendment’s framers, Marshall convened his inner circle with two outside historians for a four-day intensive re-examination of the evidence. As the historian Alfred H. Kelly recalled, “the role I was expected to play was that of devil’s advocate, of a foil to prepare them all for the main event.”</w:t>
      </w:r>
      <w:r>
        <w:rPr>
          <w:rStyle w:val="FootnoteReference"/>
          <w:color w:val="000000" w:themeColor="text1"/>
        </w:rPr>
        <w:footnoteReference w:id="68"/>
      </w:r>
      <w:r>
        <w:t xml:space="preserve"> During these strategy conferences, Marshall would “listen a lot and challenge virtually everything everyone said, often fiercely,” forcing participants to defend their positions rather than defer to institutional consensus.</w:t>
      </w:r>
      <w:r>
        <w:rPr>
          <w:rStyle w:val="FootnoteReference"/>
          <w:color w:val="000000" w:themeColor="text1"/>
        </w:rPr>
        <w:footnoteReference w:id="69"/>
      </w:r>
      <w:r>
        <w:t xml:space="preserve"> David </w:t>
      </w:r>
      <w:proofErr w:type="spellStart"/>
      <w:r>
        <w:t>Krech</w:t>
      </w:r>
      <w:proofErr w:type="spellEnd"/>
      <w:r>
        <w:t xml:space="preserve">, a social psychologist who worked with the LDF </w:t>
      </w:r>
      <w:r>
        <w:lastRenderedPageBreak/>
        <w:t xml:space="preserve">in Charleston, watched Marshall pose the questions he expected the state to ask the next day. When a staff member offered an answer, Marshall “would then lay into that staff member, spell out </w:t>
      </w:r>
      <w:proofErr w:type="gramStart"/>
      <w:r>
        <w:t>counter-arguments</w:t>
      </w:r>
      <w:proofErr w:type="gramEnd"/>
      <w:r>
        <w:t>, refer to counter-citations, and completely destroy, or so I thought, the staff member’s answer.” The exchange “went on and on—between beer and sandwiches and coffee—to Marshall’s seemingly huge amusement.”</w:t>
      </w:r>
      <w:r>
        <w:rPr>
          <w:rStyle w:val="FootnoteReference"/>
          <w:color w:val="000000" w:themeColor="text1"/>
        </w:rPr>
        <w:footnoteReference w:id="70"/>
      </w:r>
      <w:r>
        <w:t xml:space="preserve"> Now that is an adversarial room.</w:t>
      </w:r>
    </w:p>
    <w:p w14:paraId="46061D6F" w14:textId="77777777" w:rsidR="00CC616A" w:rsidRPr="00A9375B" w:rsidRDefault="00A726E0" w:rsidP="003D74D8">
      <w:pPr>
        <w:pStyle w:val="BodyTextFirstIndent"/>
        <w:spacing w:line="480" w:lineRule="auto"/>
        <w:jc w:val="both"/>
      </w:pPr>
      <w:r>
        <w:t>Marshall’s genius lay in gathering brilliant minds, letting them debate freely, and extracting the best ideas while discarding the rest.</w:t>
      </w:r>
      <w:r>
        <w:rPr>
          <w:rStyle w:val="FootnoteReference"/>
          <w:color w:val="000000" w:themeColor="text1"/>
        </w:rPr>
        <w:footnoteReference w:id="71"/>
      </w:r>
      <w:r>
        <w:t xml:space="preserve"> Whereas in many modern firms challenging the lead partner’s theory may spell trouble or ostracism, at the NAACP participants absorbed a culture of authentic dissent, and no litigator was above anyone else. As one participant put it best, Marshall “could be counted on to support whatever concept I proposed as long as I stood up to any attack leveled against it by our legal group.”</w:t>
      </w:r>
      <w:r>
        <w:rPr>
          <w:rStyle w:val="FootnoteReference"/>
          <w:color w:val="000000" w:themeColor="text1"/>
        </w:rPr>
        <w:footnoteReference w:id="72"/>
      </w:r>
      <w:r>
        <w:t xml:space="preserve"> </w:t>
      </w:r>
    </w:p>
    <w:p w14:paraId="73A3F86C" w14:textId="77777777" w:rsidR="00000000" w:rsidRDefault="00CC616A" w:rsidP="001C30CC">
      <w:pPr>
        <w:pStyle w:val="BodyTextFirstIndent"/>
        <w:spacing w:line="480" w:lineRule="auto"/>
        <w:jc w:val="both"/>
      </w:pPr>
      <w:r>
        <w:t>The NAACP’s campaign against school segregation is one of many examples this Note will discuss which demonstrate that dedicating time, energy, and resources to scrutinizing one’s claim before filing is a prerequisite for strong litigation. Such scrutiny is the cure for groupthink. It counteracts the cognitive biases that any cohesive team, however talented, will develop when united by a shared objective of zealous advocacy for its client.</w:t>
      </w:r>
      <w:r>
        <w:rPr>
          <w:rStyle w:val="FootnoteReference"/>
        </w:rPr>
        <w:footnoteReference w:id="73"/>
      </w:r>
      <w:r>
        <w:t xml:space="preserve"> </w:t>
      </w:r>
    </w:p>
    <w:p w14:paraId="747E43EA" w14:textId="77777777" w:rsidR="00D879FE" w:rsidRDefault="00000000">
      <w:pPr>
        <w:pStyle w:val="BodyTextFirstIndent"/>
        <w:spacing w:line="480" w:lineRule="auto"/>
        <w:jc w:val="both"/>
      </w:pPr>
      <w:r>
        <w:lastRenderedPageBreak/>
        <w:t xml:space="preserve">Contrast the NAACP’s team, whose members spoke a range of interpretive languages, with the </w:t>
      </w:r>
      <w:proofErr w:type="spellStart"/>
      <w:r>
        <w:t>Strangio</w:t>
      </w:r>
      <w:proofErr w:type="spellEnd"/>
      <w:r>
        <w:t>-led ACLU, which, as one commentator put it, “could have benefitted from conservative team members—not to tell them that they were wrong on the law, but to tell them why this case was nothing like Bostock and why [the] conservative justice[s] could vote one way in Bostock and be nowhere in the realm of gettable for this case.”</w:t>
      </w:r>
      <w:r>
        <w:rPr>
          <w:rStyle w:val="FootnoteReference"/>
          <w:color w:val="000000" w:themeColor="text1"/>
        </w:rPr>
        <w:footnoteReference w:id="74"/>
      </w:r>
      <w:r>
        <w:t xml:space="preserve"> This is not to say that the </w:t>
      </w:r>
      <w:proofErr w:type="spellStart"/>
      <w:r>
        <w:rPr>
          <w:i/>
        </w:rPr>
        <w:t>Skrmetti</w:t>
      </w:r>
      <w:proofErr w:type="spellEnd"/>
      <w:r>
        <w:t xml:space="preserve"> advocates should have forsaken the complete relief that only formal adjudication offers. It is to say that they owed their clients the rigor of first confirming that their theory could withstand adversarial scrutiny.</w:t>
      </w:r>
      <w:r>
        <w:rPr>
          <w:rStyle w:val="FootnoteReference"/>
          <w:color w:val="000000" w:themeColor="text1"/>
        </w:rPr>
        <w:footnoteReference w:id="75"/>
      </w:r>
      <w:r>
        <w:t xml:space="preserve"> They should have followed the playbook of the NAACP, which “avoid[ed] litigating until they had an ‘air-tight case’ [because] the issues were ‘so big that we cannot afford to omit any detail of preparation in a hasty attempt at grandstand play.’”</w:t>
      </w:r>
      <w:r>
        <w:rPr>
          <w:rStyle w:val="FootnoteReference"/>
          <w:color w:val="000000" w:themeColor="text1"/>
        </w:rPr>
        <w:footnoteReference w:id="76"/>
      </w:r>
      <w:r>
        <w:t xml:space="preserve"> The ACLU itself once kept a gate of its own. In the years of its Women’s Rights Project, Fred </w:t>
      </w:r>
      <w:proofErr w:type="spellStart"/>
      <w:r>
        <w:t>Strebeigh</w:t>
      </w:r>
      <w:proofErr w:type="spellEnd"/>
      <w:r>
        <w:t xml:space="preserve"> records, “the ACLU had an ironclad rule. Although ACLU affiliates could bring cases independently, ACLU </w:t>
      </w:r>
      <w:r>
        <w:lastRenderedPageBreak/>
        <w:t>rules forbade bringing a case to the Supreme Court without first checking with the national office.”</w:t>
      </w:r>
      <w:r>
        <w:rPr>
          <w:rStyle w:val="FootnoteReference"/>
          <w:color w:val="000000" w:themeColor="text1"/>
        </w:rPr>
        <w:footnoteReference w:id="77"/>
      </w:r>
      <w:r>
        <w:t xml:space="preserve"> Same organization, fifty years apart, with the forge and without it. </w:t>
      </w:r>
    </w:p>
    <w:p w14:paraId="2B004B70" w14:textId="77777777" w:rsidR="00D879FE" w:rsidRDefault="00000000">
      <w:pPr>
        <w:pStyle w:val="ListParagraph"/>
        <w:numPr>
          <w:ilvl w:val="0"/>
          <w:numId w:val="8"/>
        </w:numPr>
        <w:spacing w:line="480" w:lineRule="auto"/>
        <w:jc w:val="both"/>
        <w:rPr>
          <w:i/>
          <w:iCs/>
          <w:color w:val="000000" w:themeColor="text1"/>
        </w:rPr>
      </w:pPr>
      <w:r>
        <w:rPr>
          <w:i/>
          <w:color w:val="000000" w:themeColor="text1"/>
        </w:rPr>
        <w:t>Roadmap</w:t>
      </w:r>
    </w:p>
    <w:p w14:paraId="11C05D09" w14:textId="164FF0CE" w:rsidR="001B687B" w:rsidRPr="00347D77" w:rsidRDefault="001B687B" w:rsidP="001B687B">
      <w:pPr>
        <w:pStyle w:val="BodyTextFirstIndent"/>
        <w:spacing w:line="480" w:lineRule="auto"/>
        <w:jc w:val="both"/>
        <w:rPr>
          <w:highlight w:val="yellow"/>
        </w:rPr>
      </w:pPr>
      <w:del w:id="100013" w:author="Claude" w:date="2026-09-26T12:00:00Z">
        <w:r>
          <w:rPr>
            <w:highlight w:val="yellow"/>
          </w:rPr>
          <w:delText xml:space="preserve">In this note, I argue that throughout human history—whether in Ancient Near Eastern, Classical Greek, Ancient Roman, Traditional Chinese, and Medieval English—institutional features that attached profound personal consequences to the act of formal litigation (what I term Quality Control Mechanisms (QCMs)), compelled would-be litigants to scrutinize the strength of their claims.  When that scrutiny revealed a grievance’s deficiencies, a claimant could go back to the drawing board, as the NACCP did in this chapter’s case study, to prepare for formal adjudication.</w:delText>
        </w:r>
      </w:del>
      <w:ins w:id="100014" w:author="Claude" w:date="2026-09-26T12:00:00Z">
        <w:r>
          <w:t>In this Note I maintain that throughout human history—in the Ancient Near East, in Classical Greece and Rome, in Traditional China, and in Medieval England—the act of formal litigation carried profound personal consequences, and that these consequences, which I call Quality Control Mechanisms (QCMs), compelled anyone who wished to litigate to test the strength of his claim before he brought it. When the test revealed a grievance’s deficiencies, the claimant could go back to the drawing board, as the NAACP did in this Section’s case study, and prepare the claim for formal adjudication.</w:t>
        </w:r>
      </w:ins>
    </w:p>
    <w:p w14:paraId="5BD2DC0E" w14:textId="7EE06F6F" w:rsidR="001B687B" w:rsidRPr="00347D77" w:rsidRDefault="00015937" w:rsidP="00015937">
      <w:pPr>
        <w:pStyle w:val="BodyTextFirstIndent"/>
        <w:spacing w:line="480" w:lineRule="auto"/>
        <w:jc w:val="both"/>
        <w:rPr>
          <w:highlight w:val="yellow"/>
        </w:rPr>
      </w:pPr>
      <w:proofErr w:type="spellStart"/>
      <w:proofErr w:type="spellEnd"/>
      <w:proofErr w:type="spellStart"/>
      <w:proofErr w:type="spellEnd"/>
      <w:del w:id="100015" w:author="Claude" w:date="2026-09-26T12:00:00Z">
        <w:r>
          <w:rPr>
            <w:highlight w:val="yellow"/>
          </w:rPr>
          <w:delText>Alternatively, Disputants could Resolve their case through what were the conceptual analogs to today’s negotiation, mediation, and arbitration. Whether this forum was the elders’ councils of the Ancient Near East, the compromissum of Imperial Rome, or the church meetings of colonial Puritan communities,</w:delText>
        </w:r>
      </w:del>
      <w:ins w:id="100016" w:author="Claude" w:date="2026-09-26T12:00:00Z">
        <w:r>
          <w:t xml:space="preserve">Or he could resolve the dispute in one of the conceptual analogs of today’s negotiation, mediation, and arbitration. Whether the forum was the elders’ council of the Ancient Near East, the </w:t>
        </w:r>
        <w:r>
          <w:rPr>
            <w:i/>
          </w:rPr>
          <w:t>compromissum</w:t>
        </w:r>
        <w:r>
          <w:t xml:space="preserve"> of Imperial Rome, or the church meeting of a colonial Puritan community,</w:t>
        </w:r>
      </w:ins>
      <w:r>
        <w:rPr>
          <w:rStyle w:val="FootnoteReference"/>
          <w:color w:val="000000" w:themeColor="text1"/>
          <w:highlight w:val="yellow"/>
        </w:rPr>
        <w:footnoteReference w:id="78"/>
      </w:r>
      <w:del w:id="100017" w:author="Claude" w:date="2026-09-26T12:00:00Z">
        <w:r>
          <w:rPr>
            <w:highlight w:val="yellow"/>
          </w:rPr>
          <w:delText xml:space="preserve"> these alternative forums served as a second route for weaker claims that did not necessarily necessitate the fuller relief from the formal dispute resolution system (ie were not constitutional claims.)</w:delText>
        </w:r>
      </w:del>
      <w:ins w:id="100018" w:author="Claude" w:date="2026-09-26T12:00:00Z">
        <w:r>
          <w:t xml:space="preserve"> these alternative forums were a second route for the weaker claim that did not require the fuller relief of the formal system—which is to say, for the claim that was not a constitutional one.</w:t>
        </w:r>
      </w:ins>
    </w:p>
    <w:p w14:paraId="0621662D" w14:textId="7C782039" w:rsidR="00550D19" w:rsidRPr="00347D77" w:rsidRDefault="00550D19" w:rsidP="00015937">
      <w:pPr>
        <w:pStyle w:val="BodyTextFirstIndent"/>
        <w:spacing w:line="480" w:lineRule="auto"/>
        <w:jc w:val="both"/>
        <w:rPr>
          <w:highlight w:val="yellow"/>
        </w:rPr>
      </w:pPr>
      <w:proofErr w:type="spellStart"/>
      <w:proofErr w:type="spellEnd"/>
      <w:proofErr w:type="spellStart"/>
      <w:proofErr w:type="spellEnd"/>
      <w:proofErr w:type="spellStart"/>
      <w:proofErr w:type="spellEnd"/>
      <w:proofErr w:type="spellStart"/>
      <w:proofErr w:type="spellEnd"/>
      <w:proofErr w:type="spellStart"/>
      <w:proofErr w:type="spellEnd"/>
      <w:del w:id="100019" w:author="Claude" w:date="2026-09-26T12:00:00Z">
        <w:r>
          <w:rPr>
            <w:highlight w:val="yellow"/>
          </w:rPr>
          <w:delText>This reconceptuialization is not such a dramatic overhaul as it may seem at first when one looks at history. In Ancient Athens, because “a litigant’s conduct over the course of his entire life was deemed relevant 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point in their lives.</w:delText>
        </w:r>
      </w:del>
      <w:ins w:id="100020" w:author="Claude" w:date="2026-09-26T12:00:00Z">
        <w:r>
          <w:t>This is not as dramatic a reconceptualization as it may seem. One has only to look at the history. In Athens a litigant’s whole life was evidence, and a man who advanced a baseless claim had to find witnesses willing to put themselves at risk to support it.</w:t>
        </w:r>
      </w:ins>
      <w:r>
        <w:rPr>
          <w:rStyle w:val="FootnoteReference"/>
          <w:color w:val="000000" w:themeColor="text1"/>
          <w:highlight w:val="yellow"/>
        </w:rPr>
        <w:footnoteReference w:id="79"/>
      </w:r>
      <w:del w:id="100021" w:author="Claude" w:date="2026-09-26T12:00:00Z">
        <w:r>
          <w:rPr>
            <w:highlight w:val="yellow"/>
          </w:rPr>
          <w:delText xml:space="preserve"> This system “gave litigants incentives to investigate their opponents and uncover any past violations of statutory or extrastatutory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delText>
        </w:r>
      </w:del>
      <w:ins w:id="100022" w:author="Claude" w:date="2026-09-26T12:00:00Z">
        <w:r>
          <w:t xml:space="preserve"> To litigate was to present one’s case, and one’s character, to hundreds of one’s fellow citizens, and to lose their vote “must have been extremely humbling.”</w:t>
        </w:r>
      </w:ins>
      <w:r>
        <w:rPr>
          <w:rStyle w:val="FootnoteReference"/>
          <w:color w:val="000000" w:themeColor="text1"/>
          <w:highlight w:val="yellow"/>
        </w:rPr>
        <w:footnoteReference w:id="80"/>
      </w:r>
      <w:del w:id="100023" w:author="Claude" w:date="2026-09-26T12:00:00Z">
        <w:r>
          <w:rPr>
            <w:highlight w:val="yellow"/>
          </w:rPr>
          <w:delText xml:space="preserve"> For example, Phrynion, upon a “realisation that his claims that she was his slave were weak,” “drop[ped] that case in favour of arbitration”—deterred by the formal tier’s binary structure that precluded compromise, oaths that risked branding him a perjurer, and financial penalties designed to “make someone hesitate” before obstructing justice.</w:delText>
        </w:r>
      </w:del>
      <w:ins w:id="100024" w:author="Claude" w:date="2026-09-26T12:00:00Z">
        <w:r>
          <w:t xml:space="preserve"> So Phrynion, once he realized that his claim was weak, dropped it and went to arbitration.</w:t>
        </w:r>
      </w:ins>
      <w:r>
        <w:rPr>
          <w:rStyle w:val="FootnoteReference"/>
          <w:color w:val="000000" w:themeColor="text1"/>
          <w:highlight w:val="yellow"/>
        </w:rPr>
        <w:footnoteReference w:id="81"/>
      </w:r>
      <w:del w:id="100025" w:author="Claude" w:date="2026-09-26T12:00:00Z">
        <w:r>
          <w:rPr>
            <w:highlight w:val="yellow"/>
          </w:rPr>
          <w:delText xml:space="preserve"> </w:delText>
        </w:r>
      </w:del>
      <w:ins w:id="100026" w:author="Claude" w:date="2026-09-26T12:00:00Z">
        <w:r>
          <w:t xml:space="preserve"> Section IV describes that case, and others like it.</w:t>
        </w:r>
      </w:ins>
    </w:p>
    <w:p w14:paraId="455AE306" w14:textId="4F362DB7" w:rsidR="00D879FE" w:rsidRPr="00347D77" w:rsidRDefault="00015937" w:rsidP="00581B37">
      <w:pPr>
        <w:pStyle w:val="BodyTextFirstIndent"/>
        <w:spacing w:line="480" w:lineRule="auto"/>
        <w:jc w:val="both"/>
        <w:rPr>
          <w:highlight w:val="yellow"/>
        </w:rPr>
      </w:pPr>
      <w:proofErr w:type="gramStart"/>
      <w:proofErr w:type="gramEnd"/>
      <w:proofErr w:type="spellStart"/>
      <w:proofErr w:type="spellEnd"/>
      <w:del w:id="100027" w:author="Claude" w:date="2026-09-26T12:00:00Z">
        <w:r>
          <w:rPr>
            <w:highlight w:val="yellow"/>
          </w:rPr>
          <w:delText>This two track system, catalyzed by QCMs was more than an efficient filter of claims. By compelling individual claimants to test the strength of their claims before externalizing, QCMs imposed the adversarial testing of assumptions that acts as the chief safeguard against groupthink. The historical model put the burden of filtering strong and weak claims on the disputant. The American model puts it on courts and administrations. That experiment, I argue, has failed, and the ADR forums it built collapsed onto the same track as trial. Such a collapse has not merely leave left the formal docket full of baseless claims but by removing pre-filing scrutiny from the disputant’s workflow, it eliminated the only institutional check on which a Deliberative Body’s assumptions face the pre-filing testing that prevents weak cases from coming into court. Because my thesis involves several moving parts and defined terms, I have presented it in the following figure.</w:delText>
        </w:r>
      </w:del>
      <w:ins w:id="100028" w:author="Claude" w:date="2026-09-26T12:00:00Z">
        <w:r>
          <w:t>This two-track system, driven by QCMs, was more than an efficient filter of claims. (The team of advocates that develops a claim I shall call a “Deliberative Body,”</w:t>
        </w:r>
        <w:r>
          <w:rPr>
            <w:rStyle w:val="FootnoteReference"/>
          </w:rPr>
          <w:footnoteReference w:id="750"/>
        </w:r>
        <w:r>
          <w:t xml:space="preserve"> and the carrying of the claim out of its own chambers and into the adversarial arena “Externalization.”</w:t>
        </w:r>
        <w:r>
          <w:rPr>
            <w:rStyle w:val="FootnoteReference"/>
          </w:rPr>
          <w:footnoteReference w:id="751"/>
        </w:r>
        <w:r>
          <w:t>) By compelling the individual claimant to test the strength of his claim before Externalizing it, the QCM imposed the adversarial testing of assumptions that is the chief safeguard against groupthink. The historical model put the burden of sorting strong claims from weak ones on the disputant. The American model puts it on courts and agencies. That experiment, I think, has failed, and the ADR forums it built have collapsed onto the same track as trial. The collapse did not merely leave the formal docket full of baseless claims. By taking pre-filing scrutiny away from the disputant, it eliminated the only institutional occasion on which a Deliberative Body’s assumptions were tested before the courtroom tested them. To give some concrete form to an argument that has several parts and several defined terms, I have set it forth in the following figure.</w:t>
        </w:r>
      </w:ins>
    </w:p>
    <w:p w14:paraId="4AC44721" w14:textId="77777777" w:rsidR="00E60807" w:rsidRPr="00347D77" w:rsidRDefault="00B166F7" w:rsidP="003D74D8">
      <w:pPr>
        <w:jc w:val="both"/>
        <w:rPr>
          <w:color w:val="000000" w:themeColor="text1"/>
          <w:highlight w:val="yellow"/>
        </w:rPr>
      </w:pPr>
      <w:r w:rsidRPr="00347D77">
        <w:rPr>
          <w:noProof/>
          <w:color w:val="000000" w:themeColor="text1"/>
          <w:highlight w:val="yellow"/>
          <w14:ligatures w14:val="standardContextual"/>
        </w:rPr>
        <w:lastRenderedPageBreak/>
        <w:drawing>
          <wp:inline distT="0" distB="0" distL="0" distR="0" wp14:anchorId="59335A39" wp14:editId="221919B2">
            <wp:extent cx="5943600" cy="2175934"/>
            <wp:effectExtent l="0" t="0" r="0" b="0"/>
            <wp:docPr id="1831582832" name="Picture 2" descr="A screenshot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2831" name="Picture 2" descr="A screenshot of a diagram  Description automatically generated"/>
                    <pic:cNvPicPr/>
                  </pic:nvPicPr>
                  <pic:blipFill rotWithShape="1">
                    <a:blip r:embed="rId8" cstate="print">
                      <a:extLst>
                        <a:ext uri="{28A0092B-C50C-407E-A947-70E740481C1C}">
                          <a14:useLocalDpi xmlns:a14="http://schemas.microsoft.com/office/drawing/2010/main" val="0"/>
                        </a:ext>
                      </a:extLst>
                    </a:blip>
                    <a:srcRect b="31357"/>
                    <a:stretch/>
                  </pic:blipFill>
                  <pic:spPr bwMode="auto">
                    <a:xfrm>
                      <a:off x="0" y="0"/>
                      <a:ext cx="5943600" cy="2175934"/>
                    </a:xfrm>
                    <a:prstGeom prst="rect">
                      <a:avLst/>
                    </a:prstGeom>
                    <a:ln>
                      <a:noFill/>
                    </a:ln>
                    <a:extLst>
                      <a:ext uri="{53640926-AAD7-44D8-BBD7-CCE9431645EC}">
                        <a14:shadowObscured xmlns:a14="http://schemas.microsoft.com/office/drawing/2010/main"/>
                      </a:ext>
                    </a:extLst>
                  </pic:spPr>
                </pic:pic>
              </a:graphicData>
            </a:graphic>
          </wp:inline>
        </w:drawing>
      </w:r>
      <w:r w:rsidRPr="00347D77">
        <w:rPr>
          <w:noProof/>
          <w:color w:val="000000" w:themeColor="text1"/>
          <w:highlight w:val="yellow"/>
          <w14:ligatures w14:val="standardContextual"/>
        </w:rPr>
        <w:drawing>
          <wp:inline distT="0" distB="0" distL="0" distR="0" wp14:anchorId="37FB851A" wp14:editId="472DFC34">
            <wp:extent cx="5943600" cy="2015066"/>
            <wp:effectExtent l="0" t="0" r="0" b="4445"/>
            <wp:docPr id="1831582833"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1443" name="Picture 3" descr="A screenshot of a computer  Description automatically generated"/>
                    <pic:cNvPicPr/>
                  </pic:nvPicPr>
                  <pic:blipFill rotWithShape="1">
                    <a:blip r:embed="rId9" cstate="print">
                      <a:extLst>
                        <a:ext uri="{28A0092B-C50C-407E-A947-70E740481C1C}">
                          <a14:useLocalDpi xmlns:a14="http://schemas.microsoft.com/office/drawing/2010/main" val="0"/>
                        </a:ext>
                      </a:extLst>
                    </a:blip>
                    <a:srcRect b="36431"/>
                    <a:stretch/>
                  </pic:blipFill>
                  <pic:spPr bwMode="auto">
                    <a:xfrm>
                      <a:off x="0" y="0"/>
                      <a:ext cx="5943600" cy="2015066"/>
                    </a:xfrm>
                    <a:prstGeom prst="rect">
                      <a:avLst/>
                    </a:prstGeom>
                    <a:ln>
                      <a:noFill/>
                    </a:ln>
                    <a:extLst>
                      <a:ext uri="{53640926-AAD7-44D8-BBD7-CCE9431645EC}">
                        <a14:shadowObscured xmlns:a14="http://schemas.microsoft.com/office/drawing/2010/main"/>
                      </a:ext>
                    </a:extLst>
                  </pic:spPr>
                </pic:pic>
              </a:graphicData>
            </a:graphic>
          </wp:inline>
        </w:drawing>
      </w:r>
    </w:p>
    <w:p w14:paraId="33C394C9" w14:textId="54C4F07F" w:rsidR="00550D19" w:rsidRDefault="00550D19" w:rsidP="00550D19">
      <w:pPr>
        <w:pStyle w:val="BodyTextFirstIndent"/>
        <w:spacing w:line="480" w:lineRule="auto"/>
        <w:jc w:val="both"/>
      </w:pPr>
      <w:proofErr w:type="gramStart"/>
      <w:proofErr w:type="gramEnd"/>
      <w:bookmarkStart w:id="2" w:name="_Ref217223724"/>
      <w:bookmarkEnd w:id="2"/>
      <w:proofErr w:type="spellStart"/>
      <w:proofErr w:type="spellEnd"/>
      <w:bookmarkStart w:id="3" w:name="_Ref222160954"/>
      <w:bookmarkEnd w:id="3"/>
      <w:r>
        <w:rPr>
          <w:highlight w:val="yellow"/>
        </w:rPr>
        <w:t xml:space="preserve">Why do I turn to history when I could </w:t>
      </w:r>
      <w:del w:id="100029" w:author="Claude" w:date="2026-09-26T12:00:00Z">
        <w:r>
          <w:rPr>
            <w:highlight w:val="yellow"/>
          </w:rPr>
          <w:delText>instead</w:delText>
        </w:r>
      </w:del>
      <w:ins w:id="100030" w:author="Claude" w:date="2026-09-26T12:00:00Z">
        <w:r>
          <w:t>put</w:t>
        </w:r>
      </w:ins>
      <w:r>
        <w:rPr>
          <w:highlight w:val="yellow"/>
        </w:rPr>
        <w:t xml:space="preserve"> </w:t>
      </w:r>
      <w:del w:id="100031" w:author="Claude" w:date="2026-09-26T12:00:00Z">
        <w:r>
          <w:rPr>
            <w:highlight w:val="yellow"/>
          </w:rPr>
          <w:delText>focus</w:delText>
        </w:r>
      </w:del>
      <w:ins w:id="100032" w:author="Claude" w:date="2026-09-26T12:00:00Z">
        <w:r>
          <w:t>it</w:t>
        </w:r>
      </w:ins>
      <w:r>
        <w:rPr>
          <w:highlight w:val="yellow"/>
        </w:rPr>
        <w:t xml:space="preserve"> </w:t>
      </w:r>
      <w:del w:id="100033" w:author="Claude" w:date="2026-09-26T12:00:00Z">
        <w:r>
          <w:rPr>
            <w:highlight w:val="yellow"/>
          </w:rPr>
          <w:delText>this</w:delText>
        </w:r>
      </w:del>
      <w:ins w:id="100034" w:author="Claude" w:date="2026-09-26T12:00:00Z">
        <w:r>
          <w:t>to</w:t>
        </w:r>
      </w:ins>
      <w:r>
        <w:rPr>
          <w:highlight w:val="yellow"/>
        </w:rPr>
        <w:t xml:space="preserve"> </w:t>
      </w:r>
      <w:del w:id="100035" w:author="Claude" w:date="2026-09-26T12:00:00Z">
        <w:r>
          <w:rPr>
            <w:highlight w:val="yellow"/>
          </w:rPr>
          <w:delText>Note</w:delText>
        </w:r>
      </w:del>
      <w:ins w:id="100036" w:author="Claude" w:date="2026-09-26T12:00:00Z">
        <w:r>
          <w:t>one</w:t>
        </w:r>
      </w:ins>
      <w:r>
        <w:rPr>
          <w:highlight w:val="yellow"/>
        </w:rPr>
        <w:t xml:space="preserve"> </w:t>
      </w:r>
      <w:del w:id="100037" w:author="Claude" w:date="2026-09-26T12:00:00Z">
        <w:r>
          <w:rPr>
            <w:highlight w:val="yellow"/>
          </w:rPr>
          <w:delText>entirely</w:delText>
        </w:r>
      </w:del>
      <w:ins w:id="100038" w:author="Claude" w:date="2026-09-26T12:00:00Z">
        <w:r>
          <w:t>side</w:t>
        </w:r>
      </w:ins>
      <w:r>
        <w:rPr>
          <w:highlight w:val="yellow"/>
        </w:rPr>
        <w:t xml:space="preserve"> </w:t>
      </w:r>
      <w:del w:id="100039" w:author="Claude" w:date="2026-09-26T12:00:00Z">
        <w:r>
          <w:rPr>
            <w:highlight w:val="yellow"/>
          </w:rPr>
          <w:delText>on</w:delText>
        </w:r>
      </w:del>
      <w:ins w:id="100040" w:author="Claude" w:date="2026-09-26T12:00:00Z">
        <w:r>
          <w:t>and address only</w:t>
        </w:r>
      </w:ins>
      <w:r>
        <w:rPr>
          <w:highlight w:val="yellow"/>
        </w:rPr>
        <w:t xml:space="preserve"> the present? The </w:t>
      </w:r>
      <w:del w:id="100041" w:author="Claude" w:date="2026-09-26T12:00:00Z">
        <w:r>
          <w:rPr>
            <w:highlight w:val="yellow"/>
          </w:rPr>
          <w:delText xml:space="preserve">short </w:delText>
        </w:r>
      </w:del>
      <w:r>
        <w:rPr>
          <w:highlight w:val="yellow"/>
        </w:rPr>
        <w:t>answer is persuasiveness</w:t>
      </w:r>
      <w:ins w:id="100042" w:author="Claude" w:date="2026-09-26T12:00:00Z">
        <w:r>
          <w:t>—or</w:t>
        </w:r>
      </w:ins>
      <w:r>
        <w:rPr>
          <w:highlight w:val="yellow"/>
        </w:rPr>
        <w:t xml:space="preserve">, </w:t>
      </w:r>
      <w:del w:id="100043" w:author="Claude" w:date="2026-09-26T12:00:00Z">
        <w:r>
          <w:rPr>
            <w:highlight w:val="yellow"/>
          </w:rPr>
          <w:delText>but</w:delText>
        </w:r>
      </w:del>
      <w:ins w:id="100044" w:author="Claude" w:date="2026-09-26T12:00:00Z">
        <w:r>
          <w:t>more</w:t>
        </w:r>
      </w:ins>
      <w:r>
        <w:rPr>
          <w:highlight w:val="yellow"/>
        </w:rPr>
        <w:t xml:space="preserve"> </w:t>
      </w:r>
      <w:del w:id="100045" w:author="Claude" w:date="2026-09-26T12:00:00Z">
        <w:r>
          <w:rPr>
            <w:highlight w:val="yellow"/>
          </w:rPr>
          <w:delText>the longer answer is that</w:delText>
        </w:r>
      </w:del>
      <w:ins w:id="100046" w:author="Claude" w:date="2026-09-26T12:00:00Z">
        <w:r>
          <w:t>specifically,</w:t>
        </w:r>
      </w:ins>
      <w:r>
        <w:rPr>
          <w:highlight w:val="yellow"/>
        </w:rPr>
        <w:t xml:space="preserve"> a particular kind of persuasiveness</w:t>
      </w:r>
      <w:del w:id="100047" w:author="Claude" w:date="2026-09-26T12:00:00Z">
        <w:r>
          <w:rPr>
            <w:highlight w:val="yellow"/>
          </w:rPr>
          <w:delText xml:space="preserve"> is required.</w:delText>
        </w:r>
      </w:del>
      <w:r>
        <w:rPr>
          <w:highlight w:val="yellow"/>
        </w:rPr>
        <w:t xml:space="preserve">. To convince modern Deliberative Bodies that they should </w:t>
      </w:r>
      <w:del w:id="100048" w:author="Claude" w:date="2026-09-26T12:00:00Z">
        <w:r>
          <w:rPr>
            <w:highlight w:val="yellow"/>
          </w:rPr>
          <w:delText>change</w:delText>
        </w:r>
      </w:del>
      <w:ins w:id="100049" w:author="Claude" w:date="2026-09-26T12:00:00Z">
        <w:r>
          <w:t>stop</w:t>
        </w:r>
      </w:ins>
      <w:r>
        <w:rPr>
          <w:highlight w:val="yellow"/>
        </w:rPr>
        <w:t xml:space="preserve"> </w:t>
      </w:r>
      <w:del w:id="100050" w:author="Claude" w:date="2026-09-26T12:00:00Z">
        <w:r>
          <w:rPr>
            <w:highlight w:val="yellow"/>
          </w:rPr>
          <w:delText>the</w:delText>
        </w:r>
      </w:del>
      <w:ins w:id="100051" w:author="Claude" w:date="2026-09-26T12:00:00Z">
        <w:r>
          <w:t>conceiving</w:t>
        </w:r>
      </w:ins>
      <w:r>
        <w:rPr>
          <w:highlight w:val="yellow"/>
        </w:rPr>
        <w:t xml:space="preserve"> </w:t>
      </w:r>
      <w:del w:id="100052" w:author="Claude" w:date="2026-09-26T12:00:00Z">
        <w:r>
          <w:rPr>
            <w:highlight w:val="yellow"/>
          </w:rPr>
          <w:delText>manner</w:delText>
        </w:r>
      </w:del>
      <w:ins w:id="100053" w:author="Claude" w:date="2026-09-26T12:00:00Z">
        <w:r>
          <w:t>of</w:t>
        </w:r>
      </w:ins>
      <w:r>
        <w:rPr>
          <w:highlight w:val="yellow"/>
        </w:rPr>
        <w:t xml:space="preserve"> </w:t>
      </w:r>
      <w:del w:id="100054" w:author="Claude" w:date="2026-09-26T12:00:00Z">
        <w:r>
          <w:rPr>
            <w:highlight w:val="yellow"/>
          </w:rPr>
          <w:delText>in</w:delText>
        </w:r>
      </w:del>
      <w:ins w:id="100055" w:author="Claude" w:date="2026-09-26T12:00:00Z">
        <w:r>
          <w:t>a</w:t>
        </w:r>
      </w:ins>
      <w:r>
        <w:rPr>
          <w:highlight w:val="yellow"/>
        </w:rPr>
        <w:t xml:space="preserve"> </w:t>
      </w:r>
      <w:del w:id="100056" w:author="Claude" w:date="2026-09-26T12:00:00Z">
        <w:r>
          <w:rPr>
            <w:highlight w:val="yellow"/>
          </w:rPr>
          <w:delText>which they conceptualize disputes</w:delText>
        </w:r>
      </w:del>
      <w:ins w:id="100057" w:author="Claude" w:date="2026-09-26T12:00:00Z">
        <w:r>
          <w:t>dispute</w:t>
        </w:r>
      </w:ins>
      <w:r>
        <w:rPr>
          <w:highlight w:val="yellow"/>
        </w:rPr>
        <w:t xml:space="preserve"> as a process of looking outward, </w:t>
      </w:r>
      <w:ins w:id="100058" w:author="Claude" w:date="2026-09-26T12:00:00Z">
        <w:r>
          <w:t xml:space="preserve">to the forums, </w:t>
        </w:r>
      </w:ins>
      <w:r>
        <w:rPr>
          <w:highlight w:val="yellow"/>
        </w:rPr>
        <w:t xml:space="preserve">I cannot usefully cite </w:t>
      </w:r>
      <w:ins w:id="100059" w:author="Claude" w:date="2026-09-26T12:00:00Z">
        <w:r>
          <w:t xml:space="preserve">the </w:t>
        </w:r>
      </w:ins>
      <w:r>
        <w:rPr>
          <w:highlight w:val="yellow"/>
        </w:rPr>
        <w:t>scholarship and</w:t>
      </w:r>
      <w:ins w:id="100060" w:author="Claude" w:date="2026-09-26T12:00:00Z">
        <w:r>
          <w:t xml:space="preserve"> the</w:t>
        </w:r>
      </w:ins>
      <w:r>
        <w:rPr>
          <w:highlight w:val="yellow"/>
        </w:rPr>
        <w:t xml:space="preserve"> empirical studies that</w:t>
      </w:r>
      <w:del w:id="100061" w:author="Claude" w:date="2026-09-26T12:00:00Z">
        <w:r>
          <w:rPr>
            <w:highlight w:val="yellow"/>
          </w:rPr>
          <w:delText xml:space="preserve"> conclusively</w:delText>
        </w:r>
      </w:del>
      <w:r>
        <w:rPr>
          <w:highlight w:val="yellow"/>
        </w:rPr>
        <w:t xml:space="preserve"> establish the benefits of testing one’s claim before filing it, for these studies, sound as they are, speak only in the </w:t>
      </w:r>
      <w:del w:id="100062" w:author="Claude" w:date="2026-09-26T12:00:00Z">
        <w:r>
          <w:rPr>
            <w:highlight w:val="yellow"/>
          </w:rPr>
          <w:delText>idiom</w:delText>
        </w:r>
      </w:del>
      <w:ins w:id="100063" w:author="Claude" w:date="2026-09-26T12:00:00Z">
        <w:r>
          <w:t>terms</w:t>
        </w:r>
      </w:ins>
      <w:r>
        <w:rPr>
          <w:highlight w:val="yellow"/>
        </w:rPr>
        <w:t xml:space="preserve"> of the system that produced the deficiency. </w:t>
      </w:r>
      <w:del w:id="100064" w:author="Claude" w:date="2026-09-26T12:00:00Z">
        <w:r>
          <w:rPr>
            <w:highlight w:val="yellow"/>
          </w:rPr>
          <w:delText>Instead, my</w:delText>
        </w:r>
      </w:del>
      <w:ins w:id="100065" w:author="Claude" w:date="2026-09-26T12:00:00Z">
        <w:r>
          <w:t>My</w:t>
        </w:r>
      </w:ins>
      <w:r>
        <w:rPr>
          <w:highlight w:val="yellow"/>
        </w:rPr>
        <w:t xml:space="preserve"> task in writing was</w:t>
      </w:r>
      <w:ins w:id="100066" w:author="Claude" w:date="2026-09-26T12:00:00Z">
        <w:r>
          <w:t xml:space="preserve"> instead</w:t>
        </w:r>
      </w:ins>
      <w:r>
        <w:rPr>
          <w:highlight w:val="yellow"/>
        </w:rPr>
        <w:t xml:space="preserve"> to demonstrate that the practice I advocate is not an academic novelty but the recovery of something so embedded in human dispute resolution that its absence, and not its presence, is the historical anomaly requiring explanation. </w:t>
      </w:r>
      <w:del w:id="100067" w:author="Claude" w:date="2026-09-26T12:00:00Z">
        <w:r>
          <w:rPr>
            <w:highlight w:val="yellow"/>
          </w:rPr>
          <w:delText>In</w:delText>
        </w:r>
      </w:del>
      <w:ins w:id="100068" w:author="Claude" w:date="2026-09-26T12:00:00Z">
        <w:r>
          <w:t>I</w:t>
        </w:r>
      </w:ins>
      <w:r>
        <w:rPr>
          <w:highlight w:val="yellow"/>
        </w:rPr>
        <w:t xml:space="preserve"> </w:t>
      </w:r>
      <w:del w:id="100069" w:author="Claude" w:date="2026-09-26T12:00:00Z">
        <w:r>
          <w:rPr>
            <w:highlight w:val="yellow"/>
          </w:rPr>
          <w:delText>undertaking this approach, I</w:delText>
        </w:r>
      </w:del>
      <w:ins w:id="100070" w:author="Claude" w:date="2026-09-26T12:00:00Z">
        <w:r>
          <w:t>therefore</w:t>
        </w:r>
      </w:ins>
      <w:r>
        <w:rPr>
          <w:highlight w:val="yellow"/>
        </w:rPr>
        <w:t xml:space="preserve"> reject the “dominant supposition” that law review notes must merely “prescribe more law” or “address the world in the terms and categories constructed by the official legal apparatus.”</w:t>
      </w:r>
      <w:r>
        <w:rPr>
          <w:rStyle w:val="FootnoteReference"/>
          <w:color w:val="000000" w:themeColor="text1"/>
          <w:highlight w:val="yellow"/>
        </w:rPr>
        <w:footnoteReference w:id="82"/>
      </w:r>
      <w:del w:id="100071" w:author="Claude" w:date="2026-09-26T12:00:00Z">
        <w:r>
          <w:rPr>
            <w:highlight w:val="yellow"/>
          </w:rPr>
          <w:delText xml:space="preserve"> Rather,</w:delText>
        </w:r>
      </w:del>
      <w:r>
        <w:rPr>
          <w:highlight w:val="yellow"/>
        </w:rPr>
        <w:t xml:space="preserve"> I </w:t>
      </w:r>
      <w:del w:id="100072" w:author="Claude" w:date="2026-09-26T12:00:00Z">
        <w:r>
          <w:rPr>
            <w:highlight w:val="yellow"/>
          </w:rPr>
          <w:delText>submit</w:delText>
        </w:r>
      </w:del>
      <w:ins w:id="100073" w:author="Claude" w:date="2026-09-26T12:00:00Z">
        <w:r>
          <w:t>suggest, rather,</w:t>
        </w:r>
      </w:ins>
      <w:r>
        <w:rPr>
          <w:highlight w:val="yellow"/>
        </w:rPr>
        <w:t xml:space="preserve"> that groupthink (the cause of poor litigation strategy) can be avoided only if Deliberative Bodies cultivate the ideological diversity required to question those terms before filing. My approach also adheres to current Supreme Court jurisprudence</w:t>
      </w:r>
      <w:del w:id="100074" w:author="Claude" w:date="2026-09-26T12:00:00Z">
        <w:r>
          <w:rPr>
            <w:highlight w:val="yellow"/>
          </w:rPr>
          <w:delText xml:space="preserve"> </w:delText>
        </w:r>
      </w:del>
      <w:r>
        <w:rPr>
          <w:highlight w:val="yellow"/>
        </w:rPr>
        <w:t>, which asks whether a modern practice is “relevantly similar” to what tradition permits, “apply[ing] faithfully the balance struck by the founding generation to modern circumstances.”</w:t>
      </w:r>
      <w:r>
        <w:rPr>
          <w:rStyle w:val="FootnoteReference"/>
          <w:color w:val="000000" w:themeColor="text1"/>
          <w:highlight w:val="yellow"/>
        </w:rPr>
        <w:footnoteReference w:id="83"/>
      </w:r>
      <w:r>
        <w:rPr>
          <w:highlight w:val="yellow"/>
        </w:rPr>
        <w:t xml:space="preserve"> </w:t>
      </w:r>
      <w:del w:id="100075" w:author="Claude" w:date="2026-09-26T12:00:00Z">
        <w:r>
          <w:rPr>
            <w:highlight w:val="yellow"/>
          </w:rPr>
          <w:delText>I</w:delText>
        </w:r>
      </w:del>
      <w:ins w:id="100076" w:author="Claude" w:date="2026-09-26T12:00:00Z">
        <w:r>
          <w:t>Let</w:t>
        </w:r>
      </w:ins>
      <w:r>
        <w:rPr>
          <w:highlight w:val="yellow"/>
        </w:rPr>
        <w:t xml:space="preserve"> </w:t>
      </w:r>
      <w:del w:id="100077" w:author="Claude" w:date="2026-09-26T12:00:00Z">
        <w:r>
          <w:rPr>
            <w:highlight w:val="yellow"/>
          </w:rPr>
          <w:delText>encourage readers</w:delText>
        </w:r>
      </w:del>
      <w:ins w:id="100078" w:author="Claude" w:date="2026-09-26T12:00:00Z">
        <w:r>
          <w:t>us</w:t>
        </w:r>
      </w:ins>
      <w:r>
        <w:rPr>
          <w:highlight w:val="yellow"/>
        </w:rPr>
        <w:t xml:space="preserve"> not</w:t>
      </w:r>
      <w:del w:id="100079" w:author="Claude" w:date="2026-09-26T12:00:00Z">
        <w:r>
          <w:rPr>
            <w:highlight w:val="yellow"/>
          </w:rPr>
          <w:delText xml:space="preserve"> to</w:delText>
        </w:r>
      </w:del>
      <w:r>
        <w:rPr>
          <w:highlight w:val="yellow"/>
        </w:rPr>
        <w:t xml:space="preserve"> dismiss ancient dispute practices as irrelevant to modern legal organizations, for what we know and think about conflict resolution “is not a new fountain gushing fresh from the barren rock of the unknown at the stroke of the rod of our own intellect; it is a stream which flows by us and through us, fed by the far-off rivulets of long ago.”</w:t>
      </w:r>
      <w:r>
        <w:rPr>
          <w:rStyle w:val="FootnoteReference"/>
          <w:color w:val="000000" w:themeColor="text1"/>
          <w:highlight w:val="yellow"/>
        </w:rPr>
        <w:footnoteReference w:id="84"/>
      </w:r>
    </w:p>
    <w:p w14:paraId="66E990AE" w14:textId="2DC32DDF" w:rsidR="00000000" w:rsidRDefault="00581B37" w:rsidP="001971D1">
      <w:pPr>
        <w:pStyle w:val="BodyTextFirstIndent"/>
        <w:spacing w:line="480" w:lineRule="auto"/>
        <w:jc w:val="both"/>
      </w:pPr>
      <w:r>
        <w:t xml:space="preserve">From here, my note proceeds as follows. </w:t>
      </w:r>
      <w:r w:rsidR="00000000">
        <w:t xml:space="preserve">Section II explains why capable legal teams fall into this trap. Drawing on psychologist Irving Janis’s work on groupthink, it shows that the more like-minded a team becomes, the more zealous its advocacy seems to its own members. This fallacious thinking starts in law school, where “[t]he ideological imbalance that pervades legal academia not only fosters groupthink, </w:t>
      </w:r>
      <w:proofErr w:type="gramStart"/>
      <w:r w:rsidR="00000000">
        <w:t>it</w:t>
      </w:r>
      <w:proofErr w:type="gramEnd"/>
      <w:r w:rsidR="00000000">
        <w:t xml:space="preserve"> undermines the ability of law schools to train effective legal advocates.”</w:t>
      </w:r>
      <w:r w:rsidR="00000000">
        <w:rPr>
          <w:rStyle w:val="FootnoteReference"/>
          <w:rFonts w:eastAsiaTheme="majorEastAsia"/>
        </w:rPr>
        <w:footnoteReference w:id="85"/>
      </w:r>
      <w:r w:rsidR="00000000">
        <w:t xml:space="preserve"> And as the ACLU’s experience shows, when “legal professionals only engage with </w:t>
      </w:r>
      <w:r w:rsidR="00000000">
        <w:lastRenderedPageBreak/>
        <w:t>like-minded colleagues, they may fail to anticipate and truly understand opposing arguments, to the detriment of client interests.”</w:t>
      </w:r>
      <w:r w:rsidR="00000000">
        <w:rPr>
          <w:rStyle w:val="FootnoteReference"/>
          <w:rFonts w:eastAsiaTheme="majorEastAsia"/>
        </w:rPr>
        <w:footnoteReference w:id="86"/>
      </w:r>
    </w:p>
    <w:p w14:paraId="29605F4B" w14:textId="77777777" w:rsidR="00000000" w:rsidRDefault="00000000" w:rsidP="00B16CD7">
      <w:pPr>
        <w:pStyle w:val="BodyTextFirstIndent"/>
        <w:spacing w:line="480" w:lineRule="auto"/>
        <w:jc w:val="both"/>
      </w:pPr>
      <w:r>
        <w:t xml:space="preserve">Section III turns to the </w:t>
      </w:r>
      <w:r>
        <w:t>Constitutional Convention of 1787, which demonstrates that deliberate institutional design can prevent insular advocacy. The framers, whose client was the new nation,</w:t>
      </w:r>
      <w:r>
        <w:rPr>
          <w:rStyle w:val="FootnoteReference"/>
          <w:rFonts w:eastAsiaTheme="majorEastAsia"/>
        </w:rPr>
        <w:footnoteReference w:id="87"/>
      </w:r>
      <w:r>
        <w:t xml:space="preserve"> spent months testing their own claim—that the nation needed a new Constitution—under rules “devised to free the delegates to float new ideas, change their minds, alter course, and flexibly respond to new arguments, evidence, and proposals without fear of recrimination.”</w:t>
      </w:r>
      <w:r>
        <w:rPr>
          <w:rStyle w:val="FootnoteReference"/>
          <w:rFonts w:eastAsiaTheme="majorEastAsia"/>
        </w:rPr>
        <w:footnoteReference w:id="88"/>
      </w:r>
      <w:r>
        <w:t xml:space="preserve"> Benjamin Franklin captured the spirit of those rules in his closing speech: “I have experienced many Instances of being </w:t>
      </w:r>
      <w:proofErr w:type="spellStart"/>
      <w:r>
        <w:t>oblig’d</w:t>
      </w:r>
      <w:proofErr w:type="spellEnd"/>
      <w:r>
        <w:t>, by better Information or fuller Consideration, to change Opinions even on important Subjects, which I once thought right, but found to be otherwise.”</w:t>
      </w:r>
      <w:r>
        <w:rPr>
          <w:rStyle w:val="FootnoteReference"/>
          <w:rFonts w:eastAsiaTheme="majorEastAsia"/>
        </w:rPr>
        <w:footnoteReference w:id="89"/>
      </w:r>
    </w:p>
    <w:p w14:paraId="7134924A" w14:textId="77777777" w:rsidR="00000000" w:rsidRDefault="00000000" w:rsidP="00B16CD7">
      <w:pPr>
        <w:pStyle w:val="BodyTextFirstIndent"/>
        <w:spacing w:line="480" w:lineRule="auto"/>
        <w:jc w:val="both"/>
      </w:pPr>
      <w:r>
        <w:t xml:space="preserve">Section IV traces the 4,000-year history of pre-filing dispute resolution across Ancient Near Eastern, Classical Greek, Roman, Traditional Chinese, Indigenous, and Medieval English societies. Each society attached profound personal consequences to formal litigation—consequences this Note calls Quality Control Mechanisms (QCMs)—which compelled would-be litigants to test their claims before filing. For example, a Roman advocate had to swear that “he </w:t>
      </w:r>
      <w:r>
        <w:lastRenderedPageBreak/>
        <w:t>would not present any case that he considered desperate, groundless, or based on untruths,”</w:t>
      </w:r>
      <w:r>
        <w:rPr>
          <w:rStyle w:val="FootnoteReference"/>
          <w:rFonts w:eastAsiaTheme="majorEastAsia"/>
        </w:rPr>
        <w:footnoteReference w:id="90"/>
      </w:r>
      <w:r>
        <w:t xml:space="preserve"> while Confucian teaching held that before bringing a claim to court, “the correct attitude would be that of self-scrutiny.”</w:t>
      </w:r>
      <w:r>
        <w:rPr>
          <w:rStyle w:val="FootnoteReference"/>
          <w:rFonts w:eastAsiaTheme="majorEastAsia"/>
        </w:rPr>
        <w:footnoteReference w:id="91"/>
      </w:r>
    </w:p>
    <w:p w14:paraId="49B50702" w14:textId="77777777" w:rsidR="00D50550" w:rsidRDefault="00000000" w:rsidP="00B16CD7">
      <w:pPr>
        <w:pStyle w:val="BodyTextFirstIndent"/>
        <w:spacing w:line="480" w:lineRule="auto"/>
        <w:jc w:val="both"/>
      </w:pPr>
      <w:r>
        <w:t xml:space="preserve">Section V examines the history of American law and explains why the previous section’s practices are categorically distinct from American advocacy today. There, I argue that three historical developments eroded the practice of pre-filing scrutiny. First, the profession chose the zealous advocate over the objective case assessor, adopting George </w:t>
      </w:r>
      <w:proofErr w:type="spellStart"/>
      <w:r>
        <w:t>Sharswood’s</w:t>
      </w:r>
      <w:proofErr w:type="spellEnd"/>
      <w:r>
        <w:t xml:space="preserve"> view that “the lawyer, who refuses his professional assistance because in his judgment the case is unjust and indefensible, usurps the functions of both judge and jury.”</w:t>
      </w:r>
      <w:r>
        <w:rPr>
          <w:rStyle w:val="FootnoteReference"/>
          <w:rFonts w:eastAsiaTheme="majorEastAsia"/>
        </w:rPr>
        <w:footnoteReference w:id="92"/>
      </w:r>
      <w:r>
        <w:t xml:space="preserve"> Second, the legal system’s expanding capacity for disputes let lawyers capture the informal forums that had once absorbed weak claims. Third, hourly billing and the American Rule on attorneys’ fees shielded lawyers and clients alike from the cost of pursuing weak claims.</w:t>
      </w:r>
      <w:r w:rsidR="00D50550">
        <w:t xml:space="preserve"> </w:t>
      </w:r>
    </w:p>
    <w:p w14:paraId="08DD1D1E" w14:textId="0A81FDF5" w:rsidR="00000000" w:rsidRDefault="00D50550" w:rsidP="00B16CD7">
      <w:pPr>
        <w:pStyle w:val="BodyTextFirstIndent"/>
        <w:spacing w:line="480" w:lineRule="auto"/>
        <w:jc w:val="both"/>
      </w:pPr>
      <w:r>
        <w:t xml:space="preserve">These three reasons culminated in a break from historical practice when </w:t>
      </w:r>
      <w:r>
        <w:t xml:space="preserve">“Frank Sander delivered his famous </w:t>
      </w:r>
      <w:proofErr w:type="gramStart"/>
      <w:r>
        <w:t>remarks</w:t>
      </w:r>
      <w:proofErr w:type="gramEnd"/>
      <w:r>
        <w:t xml:space="preserve"> [and] the modern dispute resolution movement was born.”</w:t>
      </w:r>
      <w:r>
        <w:rPr>
          <w:rStyle w:val="FootnoteReference"/>
          <w:color w:val="000000" w:themeColor="text1"/>
        </w:rPr>
        <w:footnoteReference w:id="93"/>
      </w:r>
      <w:r>
        <w:t>. Sanders ‘famous remarks’ was his illusion t</w:t>
      </w:r>
      <w:r>
        <w:t xml:space="preserve">hat “one might envision by the year 2000 not simply a courthouse but a Dispute Resolution Center, where the grievant would first be channeled through </w:t>
      </w:r>
      <w:r>
        <w:lastRenderedPageBreak/>
        <w:t>a screening clerk.”</w:t>
      </w:r>
      <w:r>
        <w:rPr>
          <w:rStyle w:val="FootnoteReference"/>
        </w:rPr>
        <w:footnoteReference w:id="94"/>
      </w:r>
      <w:r>
        <w:t xml:space="preserve"> This romanticized vision of bureaucratic triage—sorting already Externalized grievances among forums of mediation, arbitration, fact-finding, and trial—has captivated a generation of practitioners and “is often considered to be the point of origin for contemporary dispute resolution.”</w:t>
      </w:r>
    </w:p>
    <w:p w14:paraId="25B2C185" w14:textId="77777777" w:rsidR="00000000" w:rsidRDefault="00000000" w:rsidP="00B16CD7">
      <w:pPr>
        <w:pStyle w:val="BodyTextFirstIndent"/>
        <w:spacing w:line="480" w:lineRule="auto"/>
        <w:jc w:val="both"/>
      </w:pPr>
      <w:r>
        <w:t>Section VI explores, in psychology and practice, why modern legal teams no longer test their claims and how they can start again. “A law firm might press a doomed litigation strategy,” Cass Sunstein and Reid Hastie observe, in part because a young lawyer who warns the firm’s senior members “that their current litigation strategy is way off course” may “risk her own position inside the firm.”</w:t>
      </w:r>
      <w:r>
        <w:rPr>
          <w:rStyle w:val="FootnoteReference"/>
          <w:color w:val="000000" w:themeColor="text1"/>
        </w:rPr>
        <w:footnoteReference w:id="95"/>
      </w:r>
      <w:r>
        <w:t xml:space="preserve"> Even when an organization’s top litigators are on the case, and even when they prepare through moots and other traditional practices, they can still produce poor advocacy if everyone around them thinks alike or if they do not deliberately seek out cognitively diverse perspectives. </w:t>
      </w:r>
    </w:p>
    <w:p w14:paraId="55B6D8F1" w14:textId="77777777" w:rsidR="00000000" w:rsidRDefault="00000000">
      <w:pPr>
        <w:pStyle w:val="BodyTextFirstIndent"/>
        <w:spacing w:line="480" w:lineRule="auto"/>
        <w:jc w:val="both"/>
      </w:pPr>
      <w:r>
        <w:t xml:space="preserve">Section VII moves from theory to practice. It draws on interviews I conducted with some of the country’s top Supreme Court advocates, such as Carter Phillips and Michael Huston, who told me how much of that theory translates into their work. It closes with the Note’s final case study: Theodore Olson and David </w:t>
      </w:r>
      <w:proofErr w:type="spellStart"/>
      <w:r>
        <w:t>Boies’s</w:t>
      </w:r>
      <w:proofErr w:type="spellEnd"/>
      <w:r>
        <w:t xml:space="preserve"> challenge to California’s Proposition 8. Mindful of his own conservative reputation, Olson recruited his former </w:t>
      </w:r>
      <w:r>
        <w:rPr>
          <w:i/>
          <w:iCs/>
        </w:rPr>
        <w:t>Bush v. Gore</w:t>
      </w:r>
      <w:r>
        <w:t xml:space="preserve"> adversary to ensure that any legal attack would be attacked from ideologically diverse perspectives. As Olson later wrote, “[w]e all </w:t>
      </w:r>
      <w:r>
        <w:lastRenderedPageBreak/>
        <w:t>too often consult only with people who give us the answer we want to hear or the answer that they think we want to hear.”</w:t>
      </w:r>
      <w:r>
        <w:rPr>
          <w:rStyle w:val="FootnoteReference"/>
          <w:color w:val="000000" w:themeColor="text1"/>
        </w:rPr>
        <w:footnoteReference w:id="96"/>
      </w:r>
    </w:p>
    <w:p w14:paraId="62AD7648" w14:textId="77777777" w:rsidR="00000000" w:rsidRDefault="00000000" w:rsidP="00B16CD7">
      <w:pPr>
        <w:pStyle w:val="BodyTextFirstIndent"/>
        <w:spacing w:line="480" w:lineRule="auto"/>
        <w:jc w:val="both"/>
      </w:pPr>
      <w:r>
        <w:t>Finally, Section VIII concludes with my thoughts on the future of advocacy. For most of recorded history, personal consequences forced disputants to test their claims before they went to court. Today, almost nothing does, so the discipline must come from advocates themselves. Curiously, despite having every incentive under the norms of zealous advocacy and hourly billing to implement my methods, the ACLUs of the world are much more pervasive than the NAACPs. Those methods, as the Note shows, are a prerequis</w:t>
      </w:r>
      <w:r>
        <w:t xml:space="preserve">ite for remarkable advocacy. We once tested our claims before filing them. We should do so again. </w:t>
      </w:r>
    </w:p>
    <w:bookmarkEnd w:id="0"/>
    <w:bookmarkEnd w:id="1"/>
    <w:p w14:paraId="1B4BD042" w14:textId="280271F1" w:rsidR="00B41952" w:rsidRPr="00D50550" w:rsidRDefault="003275AD" w:rsidP="00D50550">
      <w:pPr>
        <w:pStyle w:val="ListParagraph"/>
        <w:numPr>
          <w:ilvl w:val="0"/>
          <w:numId w:val="31"/>
        </w:numPr>
        <w:spacing w:line="480" w:lineRule="auto"/>
        <w:jc w:val="center"/>
        <w:rPr>
          <w:smallCaps/>
          <w:color w:val="000000" w:themeColor="text1"/>
        </w:rPr>
      </w:pPr>
      <w:r>
        <w:rPr>
          <w:smallCaps/>
          <w:color w:val="000000" w:themeColor="text1"/>
        </w:rPr>
        <w:t>Groupthink in the Legal Profession</w:t>
      </w:r>
    </w:p>
    <w:p w14:paraId="46812ECC" w14:textId="768F66FD" w:rsidR="00FB2DD6" w:rsidRPr="00A9375B" w:rsidRDefault="002045E0" w:rsidP="003D74D8">
      <w:pPr>
        <w:pStyle w:val="BodyTextFirstIndent"/>
        <w:spacing w:line="480" w:lineRule="auto"/>
        <w:jc w:val="both"/>
      </w:pPr>
      <w:bookmarkStart w:id="4" w:name="_Ref214111358"/>
      <w:bookmarkEnd w:id="4"/>
      <w:r>
        <w:t>When Deliberative Bodies orient all strategic development toward externalizing claims without pre-filing case scrutiny, their cognitive biases operate freely—biases that formal courts, as a cost of entry, once counteracted by compelling the disputant to check them. Cardozo saw it half a century before Janis. “The spirit of the age, as it is revealed to each of us,” he wrote in 1921, “is too often only the spirit of the group in which the accidents of birth or education or occupation or fellowship have given us a place.”</w:t>
      </w:r>
      <w:r>
        <w:rPr>
          <w:rStyle w:val="FootnoteReference"/>
          <w:color w:val="000000" w:themeColor="text1"/>
        </w:rPr>
        <w:footnoteReference w:id="97"/>
      </w:r>
      <w:r>
        <w:t xml:space="preserve"> Psychologist Irving Janis coined “Groupthink” (the primary cause of deficient litigation strategy) in 1972 to denote a degradation of collective judgment in which the drive for agreement within a cohesive group supplants the realistic appraisal of alternative courses of action.</w:t>
      </w:r>
      <w:r>
        <w:rPr>
          <w:rStyle w:val="FootnoteReference"/>
          <w:color w:val="000000" w:themeColor="text1"/>
        </w:rPr>
        <w:footnoteReference w:id="98"/>
      </w:r>
      <w:r>
        <w:t xml:space="preserve"> Janis traced groupthink to three antecedent conditions: (1) group </w:t>
      </w:r>
      <w:r>
        <w:lastRenderedPageBreak/>
        <w:t>cohesiveness, (2) institutional faults, and (3) stressful circumstances.</w:t>
      </w:r>
      <w:r>
        <w:rPr>
          <w:rStyle w:val="FootnoteReference"/>
          <w:color w:val="000000" w:themeColor="text1"/>
        </w:rPr>
        <w:footnoteReference w:id="99"/>
      </w:r>
      <w:r>
        <w:t xml:space="preserve"> These conditions make defective decision-making more likely—from gross omissions in surveying a group’s objectives and alternatives to failing to examine some major costs and risks of the preferred choice.</w:t>
      </w:r>
      <w:r>
        <w:rPr>
          <w:rStyle w:val="FootnoteReference"/>
          <w:color w:val="000000" w:themeColor="text1"/>
        </w:rPr>
        <w:footnoteReference w:id="100"/>
      </w:r>
      <w:r>
        <w:t xml:space="preserve"> Yet, as this section illustrates, the severity of groupthink’s consequences correlates with that of the three conditions.</w:t>
      </w:r>
      <w:r>
        <w:rPr>
          <w:rStyle w:val="FootnoteReference"/>
          <w:color w:val="000000" w:themeColor="text1"/>
        </w:rPr>
        <w:footnoteReference w:id="101"/>
      </w:r>
      <w:r>
        <w:t xml:space="preserve"> I would place </w:t>
      </w:r>
      <w:proofErr w:type="spellStart"/>
      <w:r>
        <w:rPr>
          <w:i/>
          <w:iCs/>
        </w:rPr>
        <w:t>Skrmetti</w:t>
      </w:r>
      <w:proofErr w:type="spellEnd"/>
      <w:r>
        <w:t xml:space="preserve"> on the “good faith” side of the groupthink spectrum because the ACLU operated within the bounds of professional conduct and committed no wrongdoing solely by litigating a long-shot claim.</w:t>
      </w:r>
      <w:r>
        <w:rPr>
          <w:rStyle w:val="FootnoteReference"/>
          <w:color w:val="000000" w:themeColor="text1"/>
        </w:rPr>
        <w:footnoteReference w:id="102"/>
      </w:r>
      <w:r>
        <w:t xml:space="preserve"> Their “light” satisfaction of these conditions produced only mild consequences, but readers should contrast </w:t>
      </w:r>
      <w:proofErr w:type="spellStart"/>
      <w:r>
        <w:rPr>
          <w:i/>
          <w:iCs/>
        </w:rPr>
        <w:t>Skrmetti</w:t>
      </w:r>
      <w:proofErr w:type="spellEnd"/>
      <w:r>
        <w:t xml:space="preserve"> with additional examples throughout this section where the conditions were more acute. The first generation of Conservative Public Interest Law Firms (PILFs) provides an illuminating starting point for observing the three conditions in action. </w:t>
      </w:r>
    </w:p>
    <w:p w14:paraId="64ED1223" w14:textId="77777777" w:rsidR="00702CFA" w:rsidRPr="00A9375B" w:rsidRDefault="00702CFA" w:rsidP="003D74D8">
      <w:pPr>
        <w:pStyle w:val="BodyTextFirstIndent"/>
        <w:spacing w:line="480" w:lineRule="auto"/>
        <w:jc w:val="both"/>
      </w:pPr>
    </w:p>
    <w:p w14:paraId="75DDB43C" w14:textId="77777777" w:rsidR="0083115A" w:rsidRPr="00A9375B" w:rsidRDefault="00FB6C11" w:rsidP="003D74D8">
      <w:pPr>
        <w:pStyle w:val="ListParagraph"/>
        <w:numPr>
          <w:ilvl w:val="0"/>
          <w:numId w:val="7"/>
        </w:numPr>
        <w:spacing w:line="480" w:lineRule="auto"/>
        <w:jc w:val="both"/>
        <w:rPr>
          <w:i/>
          <w:iCs/>
          <w:color w:val="000000" w:themeColor="text1"/>
        </w:rPr>
      </w:pPr>
      <w:r>
        <w:rPr>
          <w:i/>
          <w:iCs/>
          <w:color w:val="000000" w:themeColor="text1"/>
        </w:rPr>
        <w:t xml:space="preserve">Three Antecedent Conditions of Groupthink: First Generation </w:t>
      </w:r>
      <w:r>
        <w:rPr>
          <w:color w:val="000000" w:themeColor="text1"/>
        </w:rPr>
        <w:t>Conservative PILFs</w:t>
      </w:r>
    </w:p>
    <w:p w14:paraId="555854BC" w14:textId="77777777" w:rsidR="00B41952" w:rsidRPr="00A9375B" w:rsidRDefault="00B41952" w:rsidP="003D74D8">
      <w:pPr>
        <w:pStyle w:val="ListParagraph"/>
        <w:spacing w:line="480" w:lineRule="auto"/>
        <w:jc w:val="both"/>
        <w:rPr>
          <w:color w:val="000000" w:themeColor="text1"/>
        </w:rPr>
      </w:pPr>
    </w:p>
    <w:p w14:paraId="38B7A290" w14:textId="77777777" w:rsidR="00CF3193" w:rsidRPr="00A9375B" w:rsidRDefault="001A1421" w:rsidP="003D74D8">
      <w:pPr>
        <w:pStyle w:val="BodyTextFirstIndent"/>
        <w:spacing w:line="480" w:lineRule="auto"/>
        <w:jc w:val="both"/>
      </w:pPr>
      <w:r>
        <w:t xml:space="preserve">The first-generation conservative PILFs exhibited all three antecedent conditions: (1) high cohesion stemming from a shared sense of crisis, (2) structural deficiencies that insulated them from critical feedback, and (3) operation within a provocative situational milieu that undermined </w:t>
      </w:r>
      <w:r>
        <w:lastRenderedPageBreak/>
        <w:t>their self-esteem. Movement figures voiced a shared conviction of a two-front war: an ideological one, in which liberal activists had seized an unlimited license to define the public interest; and a practical one, marked by liberal legal victories on core issues like abortion, racial preferences, and environmental regulations, which prompted conservatives to mobilize and seek to roll back these precedents.</w:t>
      </w:r>
      <w:bookmarkStart w:id="5" w:name="_Ref214111210"/>
      <w:r>
        <w:rPr>
          <w:rStyle w:val="FootnoteReference"/>
          <w:color w:val="000000"/>
        </w:rPr>
        <w:footnoteReference w:id="103"/>
      </w:r>
      <w:bookmarkEnd w:id="5"/>
      <w:r>
        <w:t xml:space="preserve"> Business donors, the movement’s most active voice, coalesced around an existential belief that legal liberalism threatened their success.</w:t>
      </w:r>
      <w:bookmarkStart w:id="6" w:name="_Ref214111291"/>
      <w:r>
        <w:rPr>
          <w:rStyle w:val="FootnoteReference"/>
          <w:color w:val="000000"/>
        </w:rPr>
        <w:footnoteReference w:id="104"/>
      </w:r>
      <w:bookmarkEnd w:id="6"/>
      <w:r>
        <w:rPr>
          <w:rStyle w:val="FootnoteReference"/>
          <w:color w:val="000000"/>
        </w:rPr>
        <w:t xml:space="preserve"> </w:t>
      </w:r>
      <w:r>
        <w:t>They compelled PILFs to adopt positions inconsistent with their anti-statist principles, leaving business-driven litigation to be fought against opponents who pursued principled ideological objectives.</w:t>
      </w:r>
      <w:r>
        <w:rPr>
          <w:rStyle w:val="FootnoteReference"/>
          <w:color w:val="000000"/>
        </w:rPr>
        <w:footnoteReference w:id="105"/>
      </w:r>
      <w:r>
        <w:t xml:space="preserve"> At the same time, their business patrons sought only to limit short-term losses.</w:t>
      </w:r>
      <w:bookmarkStart w:id="7" w:name="OLE_LINK7"/>
      <w:bookmarkStart w:id="8" w:name="OLE_LINK8"/>
      <w:r>
        <w:rPr>
          <w:rStyle w:val="FootnoteReference"/>
          <w:color w:val="000000"/>
        </w:rPr>
        <w:footnoteReference w:id="106"/>
      </w:r>
      <w:bookmarkEnd w:id="7"/>
      <w:bookmarkEnd w:id="8"/>
      <w:r>
        <w:t xml:space="preserve"> The movement lacked any pre-filing scrutiny, and its case selection was, by the movement’s own later assessment, “an ad hoc, uncoordinated approach to case and tactics selection, guided generally by conservative principles, but rarely as part of a comprehensive, philosophically consistent long range strategy.”</w:t>
      </w:r>
      <w:r>
        <w:rPr>
          <w:rStyle w:val="FootnoteReference"/>
        </w:rPr>
        <w:footnoteReference w:id="107"/>
      </w:r>
    </w:p>
    <w:p w14:paraId="77E44839" w14:textId="77777777" w:rsidR="00CF3193" w:rsidRPr="00A9375B" w:rsidRDefault="000927E5" w:rsidP="003D74D8">
      <w:pPr>
        <w:pStyle w:val="BodyTextFirstIndent"/>
        <w:spacing w:line="480" w:lineRule="auto"/>
        <w:jc w:val="both"/>
      </w:pPr>
      <w:r>
        <w:lastRenderedPageBreak/>
        <w:t>The lack of any direction on case-filing strategy was especially striking, given the movement’s failure to adopt the blueprint for success that its liberal counterparts had laid out for free.</w:t>
      </w:r>
      <w:r>
        <w:rPr>
          <w:rStyle w:val="FootnoteReference"/>
          <w:color w:val="000000"/>
        </w:rPr>
        <w:footnoteReference w:id="108"/>
      </w:r>
      <w:r>
        <w:t xml:space="preserve"> Their geographic fragmentation and business-only networks insulated the group, leaving it vulnerable to donor influence.</w:t>
      </w:r>
      <w:r>
        <w:rPr>
          <w:rStyle w:val="FootnoteReference"/>
          <w:color w:val="000000"/>
        </w:rPr>
        <w:footnoteReference w:id="109"/>
      </w:r>
      <w:r>
        <w:t xml:space="preserve"> Meanwhile, the movement, lacking methodical case-selection procedures, developed an amicus-brief addiction.</w:t>
      </w:r>
      <w:r>
        <w:rPr>
          <w:rStyle w:val="FootnoteReference"/>
          <w:color w:val="000000"/>
        </w:rPr>
        <w:footnoteReference w:id="110"/>
      </w:r>
      <w:r>
        <w:t xml:space="preserve"> An identity crisis stemming from the fusionist alliance between economic libertarians and social traditionalists created inherent philosophical volatility, as libertarian individualism, which portrayed society as an aggregate of individuals pursuing self-interest, contradicted social traditionalism’s vision of society as a web of values and institutions that transcend and bind individuals together.</w:t>
      </w:r>
      <w:r>
        <w:rPr>
          <w:rStyle w:val="FootnoteReference"/>
          <w:color w:val="000000"/>
        </w:rPr>
        <w:footnoteReference w:id="111"/>
      </w:r>
      <w:r>
        <w:t xml:space="preserve"> This tension diluted the group’s strategy, as the PILFs failed to appreciate that the battle over public-interest law was an intellectual contest requiring context-appropriate networks of university-based legal scholars and an infrastructure for recruiting and credentialing elite legal talent, such as law review editors and former judicial clerks.</w:t>
      </w:r>
      <w:r>
        <w:rPr>
          <w:rStyle w:val="FootnoteReference"/>
          <w:color w:val="000000"/>
        </w:rPr>
        <w:footnoteReference w:id="112"/>
      </w:r>
      <w:r>
        <w:t xml:space="preserve"> Compounding this, high-profile losses, such as Capital Legal Foundation’s defeat in </w:t>
      </w:r>
      <w:r>
        <w:rPr>
          <w:i/>
          <w:iCs/>
        </w:rPr>
        <w:t>Westmoreland v. CBS</w:t>
      </w:r>
      <w:r>
        <w:t>, left the Foundation $400,000 in debt and its reputation damaged by the widespread perception that the case had been mishandled.</w:t>
      </w:r>
      <w:r>
        <w:rPr>
          <w:rStyle w:val="FootnoteReference"/>
          <w:color w:val="000000"/>
        </w:rPr>
        <w:footnoteReference w:id="113"/>
      </w:r>
      <w:r>
        <w:t xml:space="preserve"> </w:t>
      </w:r>
    </w:p>
    <w:p w14:paraId="0BB3B1B7" w14:textId="766EE9B9" w:rsidR="00CF3193" w:rsidRPr="00A9375B" w:rsidRDefault="00F2639C" w:rsidP="003D74D8">
      <w:pPr>
        <w:pStyle w:val="BodyTextFirstIndent"/>
        <w:spacing w:line="480" w:lineRule="auto"/>
        <w:jc w:val="both"/>
        <w:rPr>
          <w:color w:val="000000" w:themeColor="text1"/>
        </w:rPr>
      </w:pPr>
      <w:r>
        <w:t xml:space="preserve">A movement not suffering from groupthink might have recalibrated internally. Yet only years of failed efforts and withering critiques from within the movement itself forced conservative PILFs </w:t>
      </w:r>
      <w:r>
        <w:lastRenderedPageBreak/>
        <w:t>into a strategic reevaluation.</w:t>
      </w:r>
      <w:r>
        <w:rPr>
          <w:rStyle w:val="FootnoteReference"/>
          <w:color w:val="000000"/>
        </w:rPr>
        <w:footnoteReference w:id="114"/>
      </w:r>
      <w:r>
        <w:t xml:space="preserve"> Eventually, the second generation of firms adopted the disciplined, strategic case selection the first had lacked.</w:t>
      </w:r>
      <w:r>
        <w:rPr>
          <w:rStyle w:val="FootnoteReference"/>
        </w:rPr>
        <w:footnoteReference w:id="115"/>
      </w:r>
      <w:r>
        <w:t xml:space="preserve"> Although these institutional changes, combined with the Federalist Society’s response to these failures, have been successful (in terms of placing judges on the bench and the proliferation of originalism),</w:t>
      </w:r>
      <w:r>
        <w:rPr>
          <w:rStyle w:val="FootnoteReference"/>
          <w:color w:val="000000"/>
        </w:rPr>
        <w:footnoteReference w:id="116"/>
      </w:r>
      <w:r>
        <w:t xml:space="preserve"> Deliberative Bodies should not wait for failure to impose the discipline that QCMs once supplied as a matter of course, for the biases that produced the PILFs’ defeats operate on any cohesive group that externalizes without first testing its claim.</w:t>
      </w:r>
      <w:r>
        <w:rPr>
          <w:rStyle w:val="FootnoteReference"/>
          <w:color w:val="000000"/>
        </w:rPr>
        <w:footnoteReference w:id="117"/>
      </w:r>
      <w:r>
        <w:t xml:space="preserve"> Instead, as Section VI explains, Deliberative Bodies must impose that discipline themselves.</w:t>
      </w:r>
      <w:r>
        <w:rPr>
          <w:rStyle w:val="FootnoteReference"/>
          <w:color w:val="000000"/>
        </w:rPr>
        <w:footnoteReference w:id="118"/>
      </w:r>
      <w:r>
        <w:t xml:space="preserve"> The next subsection explains why, in the absence of pre-filing scrutiny, all levels of practice are vulnerable</w:t>
      </w:r>
      <w:r>
        <w:rPr>
          <w:color w:val="000000" w:themeColor="text1"/>
        </w:rPr>
        <w:t xml:space="preserve"> to groupthink due to inherent features of the legal system and the law itself.</w:t>
      </w:r>
      <w:r>
        <w:rPr>
          <w:rStyle w:val="FootnoteReference"/>
          <w:color w:val="000000" w:themeColor="text1"/>
        </w:rPr>
        <w:footnoteReference w:id="119"/>
      </w:r>
    </w:p>
    <w:p w14:paraId="07B56877" w14:textId="77777777" w:rsidR="00075271" w:rsidRPr="00A9375B" w:rsidRDefault="00075271" w:rsidP="003D74D8">
      <w:pPr>
        <w:pStyle w:val="BodyTextFirstIndent"/>
        <w:spacing w:line="480" w:lineRule="auto"/>
        <w:jc w:val="both"/>
        <w:rPr>
          <w:color w:val="000000" w:themeColor="text1"/>
        </w:rPr>
      </w:pPr>
    </w:p>
    <w:p w14:paraId="55754C6F" w14:textId="77777777" w:rsidR="003275AD" w:rsidRPr="00A9375B" w:rsidRDefault="003275AD" w:rsidP="003D74D8">
      <w:pPr>
        <w:pStyle w:val="ListParagraph"/>
        <w:numPr>
          <w:ilvl w:val="0"/>
          <w:numId w:val="7"/>
        </w:numPr>
        <w:spacing w:line="480" w:lineRule="auto"/>
        <w:jc w:val="both"/>
        <w:rPr>
          <w:i/>
          <w:iCs/>
          <w:color w:val="000000" w:themeColor="text1"/>
        </w:rPr>
      </w:pPr>
      <w:r>
        <w:rPr>
          <w:i/>
          <w:iCs/>
          <w:color w:val="000000" w:themeColor="text1"/>
        </w:rPr>
        <w:t>Law School as an Incubator of Groupthink</w:t>
      </w:r>
    </w:p>
    <w:p w14:paraId="100228CD" w14:textId="77777777" w:rsidR="00B41952" w:rsidRPr="00A9375B" w:rsidRDefault="00B41952" w:rsidP="003D74D8">
      <w:pPr>
        <w:pStyle w:val="ListParagraph"/>
        <w:spacing w:line="480" w:lineRule="auto"/>
        <w:jc w:val="both"/>
        <w:rPr>
          <w:color w:val="000000" w:themeColor="text1"/>
        </w:rPr>
      </w:pPr>
    </w:p>
    <w:p w14:paraId="3DE3F838" w14:textId="77777777" w:rsidR="006911B8" w:rsidRPr="00A9375B" w:rsidRDefault="006911B8" w:rsidP="003D74D8">
      <w:pPr>
        <w:pStyle w:val="BodyTextFirstIndent"/>
        <w:spacing w:line="480" w:lineRule="auto"/>
        <w:jc w:val="both"/>
      </w:pPr>
      <w:r>
        <w:t>Chris Guthrie and others have examined how cognitive bias operates on the bench, but far less scholarship has addressed how group-level pathologies like groupthink manifest in practice.</w:t>
      </w:r>
      <w:r>
        <w:rPr>
          <w:rStyle w:val="FootnoteReference"/>
          <w:color w:val="000000" w:themeColor="text1"/>
        </w:rPr>
        <w:footnoteReference w:id="120"/>
      </w:r>
      <w:r>
        <w:t xml:space="preserve"> The legal field is especially vulnerable to the three groupthink preconditions because (1) law school cultivates strong cohesion among young lawyers through its hidden norms, which persist well into practice, (2) the profession creates a high degree of homogeneity within the legal community, and (3) practicing law is highly stressful for a substantial share of the bar.</w:t>
      </w:r>
      <w:r>
        <w:rPr>
          <w:rStyle w:val="FootnoteReference"/>
          <w:color w:val="000000" w:themeColor="text1"/>
        </w:rPr>
        <w:footnoteReference w:id="121"/>
      </w:r>
      <w:r>
        <w:t xml:space="preserve">  </w:t>
      </w:r>
    </w:p>
    <w:p w14:paraId="6DB65B93" w14:textId="77777777" w:rsidR="00CE6F3A" w:rsidRPr="00A9375B" w:rsidRDefault="00B24820" w:rsidP="003D74D8">
      <w:pPr>
        <w:pStyle w:val="BodyTextFirstIndent"/>
        <w:spacing w:line="480" w:lineRule="auto"/>
        <w:jc w:val="both"/>
      </w:pPr>
      <w:r>
        <w:lastRenderedPageBreak/>
        <w:t>Although diversity in law schools is at an all-time high, the schools remain predominantly homogeneous, subjecting students from day one to unspoken cultural expectations.</w:t>
      </w:r>
      <w:bookmarkStart w:id="9" w:name="_Ref214112456"/>
      <w:r>
        <w:rPr>
          <w:rStyle w:val="FootnoteReference"/>
          <w:color w:val="000000" w:themeColor="text1"/>
        </w:rPr>
        <w:footnoteReference w:id="122"/>
      </w:r>
      <w:bookmarkEnd w:id="9"/>
      <w:r>
        <w:t xml:space="preserve"> Melissa H. </w:t>
      </w:r>
      <w:proofErr w:type="spellStart"/>
      <w:r>
        <w:t>Weresh</w:t>
      </w:r>
      <w:proofErr w:type="spellEnd"/>
      <w:r>
        <w:t xml:space="preserve"> collects the scholarly definitions of these hidden norms, which describe them as implicit messages, unwritten rules, and unofficial behavioral expectations embedded in the dominant culture of legal education.</w:t>
      </w:r>
      <w:r>
        <w:rPr>
          <w:rStyle w:val="FootnoteReference"/>
          <w:color w:val="000000" w:themeColor="text1"/>
        </w:rPr>
        <w:footnoteReference w:id="123"/>
      </w:r>
      <w:r>
        <w:t xml:space="preserve"> As </w:t>
      </w:r>
      <w:proofErr w:type="spellStart"/>
      <w:r>
        <w:t>Weresh</w:t>
      </w:r>
      <w:proofErr w:type="spellEnd"/>
      <w:r>
        <w:t xml:space="preserve"> and others observe, uniform schedules and standardized evaluation methods give first-year students collective experiences: attending identical meetings, participating in the same recruitment processes, and competing for limited positions on journals and clerkships.</w:t>
      </w:r>
      <w:r>
        <w:rPr>
          <w:rStyle w:val="FootnoteReference"/>
          <w:color w:val="000000" w:themeColor="text1"/>
        </w:rPr>
        <w:footnoteReference w:id="124"/>
      </w:r>
      <w:r>
        <w:t xml:space="preserve"> Sheldon and Krieger found that these shared experiences erode students’ intrinsic motivation and their community service values, and lead the highest-performing students to shift toward lucrative, higher-stress careers and away from service-oriented ones.</w:t>
      </w:r>
      <w:r>
        <w:rPr>
          <w:rStyle w:val="FootnoteReference"/>
          <w:color w:val="000000" w:themeColor="text1"/>
        </w:rPr>
        <w:footnoteReference w:id="125"/>
      </w:r>
      <w:r>
        <w:t xml:space="preserve"> Likewise, </w:t>
      </w:r>
      <w:r>
        <w:lastRenderedPageBreak/>
        <w:t>law students describe a cohort whose social pressure leaves the “learning experience . . . kind of dictated by the terms of . . . the group,” producing what one student called “a lot of groupthink.”</w:t>
      </w:r>
      <w:r>
        <w:rPr>
          <w:rStyle w:val="FootnoteReference"/>
          <w:color w:val="000000" w:themeColor="text1"/>
        </w:rPr>
        <w:footnoteReference w:id="126"/>
      </w:r>
    </w:p>
    <w:p w14:paraId="07E41170" w14:textId="77777777" w:rsidR="00CF45E4" w:rsidRPr="00A9375B" w:rsidRDefault="00A362F4" w:rsidP="00FD6FD6">
      <w:pPr>
        <w:pStyle w:val="BodyTextFirstIndent"/>
        <w:spacing w:line="480" w:lineRule="auto"/>
        <w:jc w:val="both"/>
      </w:pPr>
      <w:proofErr w:type="spellStart"/>
      <w:r>
        <w:t>Weresh</w:t>
      </w:r>
      <w:proofErr w:type="spellEnd"/>
      <w:r>
        <w:t xml:space="preserve"> also argues that the lack of diversity among law school faculty reinforces these hidden norms.</w:t>
      </w:r>
      <w:r>
        <w:rPr>
          <w:rStyle w:val="FootnoteReference"/>
          <w:color w:val="000000" w:themeColor="text1"/>
        </w:rPr>
        <w:footnoteReference w:id="127"/>
      </w:r>
      <w:r>
        <w:t xml:space="preserve"> Michael Conklin has documented a significant ideological imbalance in legal academia, with Democrats vastly outnumbering Republicans among law professors.</w:t>
      </w:r>
      <w:r>
        <w:rPr>
          <w:rStyle w:val="FootnoteReference"/>
          <w:color w:val="000000" w:themeColor="text1"/>
        </w:rPr>
        <w:footnoteReference w:id="128"/>
      </w:r>
      <w:r>
        <w:t xml:space="preserve"> At most major law schools, conservative and libertarian scholars are markedly underrepresented, and the percentage is lower still at many leading schools.</w:t>
      </w:r>
      <w:r>
        <w:rPr>
          <w:rStyle w:val="FootnoteReference"/>
          <w:color w:val="000000" w:themeColor="text1"/>
        </w:rPr>
        <w:footnoteReference w:id="129"/>
      </w:r>
      <w:r>
        <w:t xml:space="preserve"> The imbalance has consequences. As Professor Jonathan Adler notes, “[t]he ideological imbalance that pervades legal academia not only fosters groupthink, it undermines the ability of law schools to train effective legal advocates.”</w:t>
      </w:r>
      <w:r>
        <w:rPr>
          <w:rStyle w:val="FootnoteReference"/>
          <w:color w:val="000000" w:themeColor="text1"/>
        </w:rPr>
        <w:footnoteReference w:id="130"/>
      </w:r>
      <w:r>
        <w:t xml:space="preserve"> Even if a lawyer does not advocate in a federal court, where nearly half of all federal judges, and more than half of federal appellate judges, are Republican appointees, “if legal professionals only engage with like-minded </w:t>
      </w:r>
      <w:r>
        <w:lastRenderedPageBreak/>
        <w:t>colleagues, they may fail to anticipate and truly understand opposing arguments, to the detriment of client interests.”</w:t>
      </w:r>
      <w:r>
        <w:rPr>
          <w:rStyle w:val="FootnoteReference"/>
          <w:color w:val="000000" w:themeColor="text1"/>
        </w:rPr>
        <w:footnoteReference w:id="131"/>
      </w:r>
      <w:r>
        <w:t xml:space="preserve"> </w:t>
      </w:r>
    </w:p>
    <w:p w14:paraId="537DB2E7" w14:textId="77777777" w:rsidR="0087149D" w:rsidRPr="00A9375B" w:rsidRDefault="0087149D" w:rsidP="003D74D8">
      <w:pPr>
        <w:spacing w:line="480" w:lineRule="auto"/>
        <w:jc w:val="both"/>
        <w:rPr>
          <w:color w:val="000000" w:themeColor="text1"/>
        </w:rPr>
      </w:pPr>
    </w:p>
    <w:p w14:paraId="1845311F" w14:textId="77777777" w:rsidR="0087149D" w:rsidRPr="00A9375B" w:rsidRDefault="0087149D" w:rsidP="003D74D8">
      <w:pPr>
        <w:pStyle w:val="ListParagraph"/>
        <w:numPr>
          <w:ilvl w:val="0"/>
          <w:numId w:val="7"/>
        </w:numPr>
        <w:spacing w:line="480" w:lineRule="auto"/>
        <w:jc w:val="both"/>
        <w:rPr>
          <w:i/>
          <w:iCs/>
          <w:color w:val="000000" w:themeColor="text1"/>
        </w:rPr>
      </w:pPr>
      <w:r>
        <w:rPr>
          <w:i/>
          <w:iCs/>
          <w:color w:val="000000" w:themeColor="text1"/>
        </w:rPr>
        <w:t>Outside of Law School and Legal Contexts</w:t>
      </w:r>
    </w:p>
    <w:p w14:paraId="317A26A3" w14:textId="77777777" w:rsidR="0087149D" w:rsidRPr="00A9375B" w:rsidRDefault="0087149D" w:rsidP="003D74D8">
      <w:pPr>
        <w:spacing w:line="480" w:lineRule="auto"/>
        <w:ind w:left="360"/>
        <w:jc w:val="both"/>
        <w:rPr>
          <w:i/>
          <w:iCs/>
          <w:color w:val="000000" w:themeColor="text1"/>
        </w:rPr>
      </w:pPr>
    </w:p>
    <w:p w14:paraId="362913C8" w14:textId="77777777" w:rsidR="00562AD0" w:rsidRPr="00A9375B" w:rsidRDefault="00827487" w:rsidP="003D74D8">
      <w:pPr>
        <w:pStyle w:val="BodyTextFirstIndent"/>
        <w:spacing w:line="480" w:lineRule="auto"/>
        <w:jc w:val="both"/>
      </w:pPr>
      <w:r>
        <w:t>Outside of law school, the institutional void left by the disappearance of QCMs allows groupthink to pervade all levels of practice, from small to large firms and from advocates in local courts to the Supreme Court.</w:t>
      </w:r>
      <w:r>
        <w:rPr>
          <w:rStyle w:val="FootnoteReference"/>
          <w:color w:val="000000" w:themeColor="text1"/>
        </w:rPr>
        <w:footnoteReference w:id="132"/>
      </w:r>
      <w:r>
        <w:t xml:space="preserve"> Groupthink surfaces in family court, where some lawyers’ zealous advocacy is compromised, in part because the system relies on repeat players.</w:t>
      </w:r>
      <w:r>
        <w:rPr>
          <w:rStyle w:val="FootnoteReference"/>
          <w:color w:val="000000" w:themeColor="text1"/>
        </w:rPr>
        <w:footnoteReference w:id="133"/>
      </w:r>
      <w:r>
        <w:t xml:space="preserve"> With familiar faces present day in and day out, these attorneys dilute zealous advocacy by resisting disruptions to established group relationships.</w:t>
      </w:r>
      <w:r>
        <w:rPr>
          <w:rStyle w:val="FootnoteReference"/>
          <w:color w:val="000000" w:themeColor="text1"/>
        </w:rPr>
        <w:footnoteReference w:id="134"/>
      </w:r>
      <w:r>
        <w:t xml:space="preserve"> For similar reasons in criminal law, defense attorneys may adopt risk-averse strategies, compromising client interests by conforming to the informal norms </w:t>
      </w:r>
      <w:r>
        <w:lastRenderedPageBreak/>
        <w:t>that judges, prosecutors, and other court actors enforce.</w:t>
      </w:r>
      <w:r>
        <w:rPr>
          <w:rStyle w:val="FootnoteReference"/>
          <w:color w:val="000000" w:themeColor="text1"/>
        </w:rPr>
        <w:footnoteReference w:id="135"/>
      </w:r>
      <w:r>
        <w:t xml:space="preserve"> Within law firms, social conformity pressures, obedience to authority, and a diffusion of responsibility cause junior attorneys to defer to prevailing norms of externalizing without challenge.</w:t>
      </w:r>
      <w:r>
        <w:rPr>
          <w:rStyle w:val="FootnoteReference"/>
          <w:color w:val="000000" w:themeColor="text1"/>
        </w:rPr>
        <w:footnoteReference w:id="136"/>
      </w:r>
      <w:r>
        <w:t xml:space="preserve"> Firms reinforce this conformity by hiring for homogeneous characteristics, a strategy they justify by the ostensible benefits of a stable culture and less need for explicit monitoring.</w:t>
      </w:r>
      <w:r>
        <w:rPr>
          <w:rStyle w:val="FootnoteReference"/>
          <w:color w:val="000000" w:themeColor="text1"/>
        </w:rPr>
        <w:footnoteReference w:id="137"/>
      </w:r>
      <w:r>
        <w:t xml:space="preserve"> As a result, debiasing strategies such as seeking second opinions “will not always be effective,” and no QCM compels attorneys to attempt them in any event.</w:t>
      </w:r>
      <w:r>
        <w:rPr>
          <w:rStyle w:val="FootnoteReference"/>
          <w:color w:val="000000" w:themeColor="text1"/>
        </w:rPr>
        <w:footnoteReference w:id="138"/>
      </w:r>
    </w:p>
    <w:p w14:paraId="60E8ADF4" w14:textId="77777777" w:rsidR="002914DE" w:rsidRPr="00A9375B" w:rsidRDefault="00143D39" w:rsidP="003D74D8">
      <w:pPr>
        <w:pStyle w:val="BodyTextFirstIndent"/>
        <w:spacing w:line="480" w:lineRule="auto"/>
        <w:jc w:val="both"/>
        <w:rPr>
          <w:del w:id="200019" w:author="Claude" w:date="2026-09-27T12:00:00Z"/>
        </w:rPr>
      </w:pPr>
      <w:del w:id="200003" w:author="Claude" w:date="2026-09-27T12:00:00Z">
        <w:r>
          <w:delText>Unsurprisingly, with today’s generous pleading standards, modern Deliberative Bodies can circumvent any assessment of their cases’ legal and factual merit and instead focus on efficiently pursuing “settlement through mobilizing the court process.”</w:delText>
        </w:r>
      </w:del>
      <w:del w:id="200004" w:author="Claude" w:date="2026-09-27T12:00:00Z">
        <w:r>
          <w:rPr>
            <w:rStyle w:val="FootnoteReference"/>
          </w:rPr>
          <w:footnoteReference w:id="139"/>
        </w:r>
      </w:del>
      <w:del w:id="200005" w:author="Claude" w:date="2026-09-27T12:00:00Z">
        <w:r>
          <w:delText xml:space="preserve"> When Deliberative Bodies orient themselves around this goal, the trouble follows. In big law firms, the practice of delegating </w:delText>
        </w:r>
      </w:del>
      <w:del w:id="200006" w:author="Claude" w:date="2026-09-27T12:00:00Z">
        <w:r>
          <w:lastRenderedPageBreak/>
          <w:delText>casework to inexperienced associates—who lack the judgment to recognize what matters and the incentive to report bad facts—means decision-making partners often decide a case is ripe for externalization based on information that was never tested to begin with.</w:delText>
        </w:r>
      </w:del>
      <w:del w:id="200007" w:author="Claude" w:date="2026-09-27T12:00:00Z">
        <w:r>
          <w:rPr>
            <w:rStyle w:val="FootnoteReference"/>
          </w:rPr>
          <w:footnoteReference w:id="140"/>
        </w:r>
      </w:del>
      <w:del w:id="200008" w:author="Claude" w:date="2026-09-27T12:00:00Z">
        <w:r>
          <w:delText xml:space="preserve"> This bureaucratic division is further exacerbated by a legal culture in which attorneys specialize in a narrow area of law, whose members experience their shared beliefs as objective fact and attribute bias only to outsider</w:delText>
        </w:r>
      </w:del>
      <w:del w:id="200009" w:author="Claude" w:date="2026-09-27T12:00:00Z">
        <w:r>
          <w:rPr>
            <w:color w:val="000000" w:themeColor="text1"/>
          </w:rPr>
          <w:delText>s.</w:delText>
        </w:r>
      </w:del>
      <w:del w:id="200010" w:author="Claude" w:date="2026-09-27T12:00:00Z">
        <w:r>
          <w:rPr>
            <w:rStyle w:val="FootnoteReference"/>
            <w:color w:val="000000" w:themeColor="text1"/>
          </w:rPr>
          <w:footnoteReference w:id="141"/>
        </w:r>
      </w:del>
      <w:del w:id="200011" w:author="Claude" w:date="2026-09-27T12:00:00Z">
        <w:r>
          <w:rPr>
            <w:color w:val="000000" w:themeColor="text1"/>
          </w:rPr>
          <w:delText xml:space="preserve"> </w:delText>
        </w:r>
      </w:del>
      <w:del w:id="200012" w:author="Claude" w:date="2026-09-27T12:00:00Z">
        <w:r>
          <w:delText>Within specialized practice groups, most firms experience insufficient employee voice, particularly regarding decisions employees perceive as unwise.</w:delText>
        </w:r>
      </w:del>
      <w:del w:id="200013" w:author="Claude" w:date="2026-09-27T12:00:00Z">
        <w:r>
          <w:rPr>
            <w:rStyle w:val="FootnoteReference"/>
          </w:rPr>
          <w:footnoteReference w:id="142"/>
        </w:r>
      </w:del>
      <w:del w:id="200014" w:author="Claude" w:date="2026-09-27T12:00:00Z">
        <w:r>
          <w:delText xml:space="preserve"> Most importantly, unlike accounting or medicine, law firms often lack rigorous peer-review policies, relying instead on highly subjective professional judgment and deference to individual attorneys.</w:delText>
        </w:r>
      </w:del>
      <w:del w:id="200015" w:author="Claude" w:date="2026-09-27T12:00:00Z">
        <w:r>
          <w:rPr>
            <w:rStyle w:val="FootnoteReference"/>
          </w:rPr>
          <w:footnoteReference w:id="143"/>
        </w:r>
      </w:del>
      <w:del w:id="200016" w:author="Claude" w:date="2026-09-27T12:00:00Z">
        <w:r>
          <w:delText xml:space="preserve"> Especially regarding leadership, most leaders neither seek nor receive honest feedback, and most law firms fail to institutionalize assessments from subordinates.</w:delText>
        </w:r>
      </w:del>
      <w:del w:id="200017" w:author="Claude" w:date="2026-09-27T12:00:00Z">
        <w:r>
          <w:rPr>
            <w:rStyle w:val="FootnoteReference"/>
          </w:rPr>
          <w:footnoteReference w:id="144"/>
        </w:r>
      </w:del>
      <w:del w:id="200018" w:author="Claude" w:date="2026-09-27T12:00:00Z">
        <w:r>
          <w:delText xml:space="preserve"> </w:delText>
        </w:r>
      </w:del>
    </w:p>
    <w:p w14:paraId="596662B9" w14:textId="77777777" w:rsidR="0032068A" w:rsidRPr="00A9375B" w:rsidRDefault="00000000" w:rsidP="003D74D8">
      <w:pPr>
        <w:pStyle w:val="BodyTextFirstIndent"/>
        <w:spacing w:line="480" w:lineRule="auto"/>
        <w:jc w:val="both"/>
      </w:pPr>
      <w:r>
        <w:lastRenderedPageBreak/>
        <w:t xml:space="preserve">Institutional faults within Deliberative Bodies further compound the antecedent conditions of groupthink. For example, accountability dissolves when a case is the joint creation of multiple attorneys: responsibility for the firm’s ethical infrastructure is diffuse, and, as Ted </w:t>
      </w:r>
      <w:proofErr w:type="spellStart"/>
      <w:r>
        <w:t>Schneyer</w:t>
      </w:r>
      <w:proofErr w:type="spellEnd"/>
      <w:r>
        <w:t xml:space="preserve"> observes, disciplinary authorities are reluctant to single out individuals for “sins potentially shared by others in their firm.”</w:t>
      </w:r>
      <w:r>
        <w:rPr>
          <w:rStyle w:val="FootnoteReference"/>
        </w:rPr>
        <w:footnoteReference w:id="145"/>
      </w:r>
      <w:r>
        <w:t xml:space="preserve"> The ethical rules compound that diffusion: by prohibiting assistance only when the lawyer has actual knowledge of wrongdoing, they incentivize willful blindness.</w:t>
      </w:r>
      <w:r>
        <w:rPr>
          <w:rStyle w:val="FootnoteReference"/>
        </w:rPr>
        <w:footnoteReference w:id="146"/>
      </w:r>
      <w:r>
        <w:t xml:space="preserve"> Kevin Michels locates another fault in the law’s emphasis on client loyalty,</w:t>
      </w:r>
      <w:r>
        <w:rPr>
          <w:rStyle w:val="FootnoteReference"/>
          <w:color w:val="000000" w:themeColor="text1"/>
        </w:rPr>
        <w:footnoteReference w:id="147"/>
      </w:r>
      <w:r>
        <w:t xml:space="preserve"> since an attorney who understands herself principally as the agent of the client’s objectives can transmute that understanding into “a desire to find a way to say yes,” even to tenuous legal theories or dubious factual predicates—a pull that can operate “below the level of cognition.”</w:t>
      </w:r>
      <w:r>
        <w:rPr>
          <w:rStyle w:val="FootnoteReference"/>
        </w:rPr>
        <w:footnoteReference w:id="148"/>
      </w:r>
      <w:r>
        <w:t xml:space="preserve"> The Office of Legal Counsel—the office that advises the President on the legality of executive actions—supplies a timely example of detrimental client loyalty, where “[s]</w:t>
      </w:r>
      <w:proofErr w:type="spellStart"/>
      <w:r>
        <w:t>ome</w:t>
      </w:r>
      <w:proofErr w:type="spellEnd"/>
      <w:r>
        <w:t xml:space="preserve"> important opinions have contained highly aggressive—and sometimes spurious—advice” and “seem more interested in pleasing the executive than in rigorously analyzing the relevant law.”</w:t>
      </w:r>
      <w:r>
        <w:rPr>
          <w:rStyle w:val="FootnoteReference"/>
        </w:rPr>
        <w:footnoteReference w:id="149"/>
      </w:r>
      <w:r>
        <w:t xml:space="preserve"> </w:t>
      </w:r>
    </w:p>
    <w:p w14:paraId="47E6416D" w14:textId="77777777" w:rsidR="0032068A" w:rsidRPr="00A9375B" w:rsidRDefault="00E25B9C" w:rsidP="003D74D8">
      <w:pPr>
        <w:pStyle w:val="BodyTextFirstIndent"/>
        <w:spacing w:line="480" w:lineRule="auto"/>
        <w:jc w:val="both"/>
      </w:pPr>
      <w:r>
        <w:t xml:space="preserve">Groupthink operates at the highest levels of public and private practice. On the transactional side, in a notorious concatenation of errors, a Mayer Brown paralegal, unfamiliar with the </w:t>
      </w:r>
      <w:r>
        <w:lastRenderedPageBreak/>
        <w:t>transaction or the purpose of the request, mistakenly included the financing statement for a $1.5 billion loan among documents prepared to release an unrelated $300 million synthetic lease.</w:t>
      </w:r>
      <w:r>
        <w:rPr>
          <w:rStyle w:val="FootnoteReference"/>
          <w:color w:val="000000" w:themeColor="text1"/>
        </w:rPr>
        <w:footnoteReference w:id="150"/>
      </w:r>
      <w:r>
        <w:t xml:space="preserve"> This error terminated JPMorgan’s security interest in the larger loan.</w:t>
      </w:r>
      <w:r>
        <w:rPr>
          <w:rStyle w:val="FootnoteReference"/>
          <w:color w:val="000000" w:themeColor="text1"/>
        </w:rPr>
        <w:footnoteReference w:id="151"/>
      </w:r>
      <w:r>
        <w:t xml:space="preserve"> A Mayer Brown partner had assigned and supervised the work; the firm circulated the closing checklist and draft termination statements to individuals at General Motors, to a JPMorgan Managing Director who supervised the payoff, and to JPMorgan’s counsel at Simpson </w:t>
      </w:r>
      <w:proofErr w:type="spellStart"/>
      <w:r>
        <w:t>Thacher</w:t>
      </w:r>
      <w:proofErr w:type="spellEnd"/>
      <w:r>
        <w:t>.</w:t>
      </w:r>
      <w:r>
        <w:rPr>
          <w:rStyle w:val="FootnoteReference"/>
          <w:color w:val="000000" w:themeColor="text1"/>
        </w:rPr>
        <w:footnoteReference w:id="152"/>
      </w:r>
      <w:r>
        <w:t xml:space="preserve"> None caught the error.</w:t>
      </w:r>
      <w:r>
        <w:rPr>
          <w:rStyle w:val="FootnoteReference"/>
          <w:color w:val="000000" w:themeColor="text1"/>
        </w:rPr>
        <w:footnoteReference w:id="153"/>
      </w:r>
      <w:r>
        <w:t xml:space="preserve"> In corporate governance, where lawyers often sit on boards, the antecedent condition of cohesion is overwhelming: directors share common social backgrounds and professional identities.</w:t>
      </w:r>
      <w:bookmarkStart w:id="10" w:name="_Ref214115202"/>
      <w:r>
        <w:rPr>
          <w:rStyle w:val="FootnoteReference"/>
          <w:color w:val="000000" w:themeColor="text1"/>
        </w:rPr>
        <w:footnoteReference w:id="154"/>
      </w:r>
      <w:bookmarkEnd w:id="10"/>
      <w:r>
        <w:t xml:space="preserve"> These boards often reach decisions without external input, prioritizing collegiality over rigorous deliberation.</w:t>
      </w:r>
      <w:r>
        <w:rPr>
          <w:rStyle w:val="FootnoteReference"/>
          <w:color w:val="000000" w:themeColor="text1"/>
        </w:rPr>
        <w:footnoteReference w:id="155"/>
      </w:r>
      <w:r>
        <w:t xml:space="preserve"> Enron exemplifies this dynamic.</w:t>
      </w:r>
      <w:r>
        <w:rPr>
          <w:rStyle w:val="FootnoteReference"/>
          <w:color w:val="000000" w:themeColor="text1"/>
        </w:rPr>
        <w:footnoteReference w:id="156"/>
      </w:r>
      <w:r>
        <w:t xml:space="preserve"> There, lawyers averted their gaze from poor </w:t>
      </w:r>
      <w:r>
        <w:lastRenderedPageBreak/>
        <w:t>decisions “to preserve internal solidarity.”</w:t>
      </w:r>
      <w:r>
        <w:rPr>
          <w:rStyle w:val="FootnoteReference"/>
          <w:color w:val="000000" w:themeColor="text1"/>
        </w:rPr>
        <w:footnoteReference w:id="157"/>
      </w:r>
      <w:r>
        <w:t xml:space="preserve"> The groupthink did not stop with Enron. Congress’s response to Enron (the 2002 Sarbanes-Oxley Act) was itself a product of groupthink: legislators rushed through sweeping mandates as emergency legislation, without even cursorily addressing the empirical literature, which suggested that the mandates “will not provide much in the way of benefit to investors.”</w:t>
      </w:r>
      <w:r>
        <w:rPr>
          <w:rStyle w:val="FootnoteReference"/>
          <w:color w:val="000000" w:themeColor="text1"/>
        </w:rPr>
        <w:footnoteReference w:id="158"/>
      </w:r>
      <w:r>
        <w:t xml:space="preserve"> Commentators reach the same diagnosis of the 2008 financial crisis: although the analysis “lacks an abundance of direct evidence,” the “indirect evidence suggests groupthink played a significant role in Citigroup’s poor and high-risk business decisions.”</w:t>
      </w:r>
      <w:bookmarkStart w:id="11" w:name="_Ref214115161"/>
      <w:r>
        <w:rPr>
          <w:rStyle w:val="FootnoteReference"/>
          <w:color w:val="000000" w:themeColor="text1"/>
        </w:rPr>
        <w:footnoteReference w:id="159"/>
      </w:r>
      <w:bookmarkEnd w:id="11"/>
      <w:r>
        <w:t xml:space="preserve"> Citigroup lacked a psychologically safe environment—the prerequisite for authentic dissent—and punished the dissenters who emerged.</w:t>
      </w:r>
      <w:r>
        <w:rPr>
          <w:rStyle w:val="FootnoteReference"/>
          <w:color w:val="000000" w:themeColor="text1"/>
        </w:rPr>
        <w:footnoteReference w:id="160"/>
      </w:r>
      <w:r>
        <w:t xml:space="preserve"> Learning from both Enron and the Great Recession, some corporations have reformed their boards of directors through diversity initiatives.</w:t>
      </w:r>
      <w:r>
        <w:rPr>
          <w:rStyle w:val="FootnoteReference"/>
          <w:color w:val="000000" w:themeColor="text1"/>
        </w:rPr>
        <w:footnoteReference w:id="161"/>
      </w:r>
      <w:r>
        <w:t xml:space="preserve"> </w:t>
      </w:r>
    </w:p>
    <w:p w14:paraId="6768D3DA" w14:textId="77777777" w:rsidR="00E25B9C" w:rsidRPr="00A9375B" w:rsidRDefault="00094C56" w:rsidP="003D74D8">
      <w:pPr>
        <w:pStyle w:val="BodyTextFirstIndent"/>
        <w:spacing w:line="480" w:lineRule="auto"/>
        <w:jc w:val="both"/>
      </w:pPr>
      <w:r>
        <w:t xml:space="preserve">On the litigation side, the Plaintiffs’ counsel in </w:t>
      </w:r>
      <w:r>
        <w:rPr>
          <w:i/>
          <w:iCs/>
        </w:rPr>
        <w:t>Gonzales v. Carhart</w:t>
      </w:r>
      <w:r>
        <w:t xml:space="preserve"> inexplicably omitted Commerce Clause challenges to the federal Partial-Birth Abortion Ban Act, even though Justice </w:t>
      </w:r>
      <w:r>
        <w:lastRenderedPageBreak/>
        <w:t>Thomas noted in concurrence that the Commerce Clause question “is not before the Court” because “[t]he parties did not raise or brief that issue,” and Keith Alexander identifies him as the most likely fifth vote against federal abortion restrictions on Commerce Clause grounds.</w:t>
      </w:r>
      <w:bookmarkStart w:id="12" w:name="_Ref214113360"/>
      <w:r>
        <w:rPr>
          <w:rStyle w:val="FootnoteReference"/>
          <w:color w:val="000000" w:themeColor="text1"/>
        </w:rPr>
        <w:footnoteReference w:id="162"/>
      </w:r>
      <w:bookmarkEnd w:id="12"/>
      <w:r>
        <w:t xml:space="preserve"> Given Thomas’s consistent opposition to expansive federal laws, regardless of his policy preferences, this omission represented what Alexander called a forfeited opportunity to gain support from a new swing vote in federal abortion cases.</w:t>
      </w:r>
      <w:r>
        <w:rPr>
          <w:rStyle w:val="FootnoteReference"/>
          <w:color w:val="000000" w:themeColor="text1"/>
        </w:rPr>
        <w:footnoteReference w:id="163"/>
      </w:r>
      <w:r>
        <w:t xml:space="preserve"> Why did the university’s counsel in </w:t>
      </w:r>
      <w:r>
        <w:rPr>
          <w:i/>
          <w:iCs/>
        </w:rPr>
        <w:t>Students for Fair Admissions v. Harvard</w:t>
      </w:r>
      <w:r>
        <w:t xml:space="preserve"> not support its argument that diversity was a compelling justification for affirmative action by citing Justice Powell’s footnote from </w:t>
      </w:r>
      <w:r>
        <w:rPr>
          <w:i/>
          <w:iCs/>
        </w:rPr>
        <w:t>Bakke</w:t>
      </w:r>
      <w:r>
        <w:t>?</w:t>
      </w:r>
      <w:r>
        <w:rPr>
          <w:rStyle w:val="FootnoteReference"/>
          <w:color w:val="000000" w:themeColor="text1"/>
        </w:rPr>
        <w:footnoteReference w:id="164"/>
      </w:r>
      <w:r>
        <w:t xml:space="preserve"> </w:t>
      </w:r>
    </w:p>
    <w:p w14:paraId="3B94498F" w14:textId="77777777" w:rsidR="0087149D" w:rsidRPr="00A9375B" w:rsidRDefault="00E30BA7" w:rsidP="003D74D8">
      <w:pPr>
        <w:pStyle w:val="BodyTextFirstIndent"/>
        <w:spacing w:line="480" w:lineRule="auto"/>
        <w:jc w:val="both"/>
      </w:pPr>
      <w:r>
        <w:t>The legal team representing Donald Trump in his efforts to contest the 2020 election supplies an extreme example of a deficient litigation strategy.</w:t>
      </w:r>
      <w:r>
        <w:rPr>
          <w:rStyle w:val="FootnoteReference"/>
          <w:color w:val="000000" w:themeColor="text1"/>
        </w:rPr>
        <w:footnoteReference w:id="165"/>
      </w:r>
      <w:r>
        <w:t xml:space="preserve"> Trump’s senior adviser wrote to him that “our research and campaign legal team can’t back up any of the claims made by our Elite Strike Force Legal Team,” yet the lawyers pressed on, though “[n]one of them were campaign operatives set to lose their jobs, or otherwise suffer professional setbacks, had Trump accepted that he lost </w:t>
      </w:r>
      <w:r>
        <w:lastRenderedPageBreak/>
        <w:t>the election.”</w:t>
      </w:r>
      <w:r>
        <w:rPr>
          <w:rStyle w:val="FootnoteReference"/>
          <w:color w:val="000000" w:themeColor="text1"/>
        </w:rPr>
        <w:footnoteReference w:id="166"/>
      </w:r>
      <w:r>
        <w:t xml:space="preserve"> The team was also drawn from a narrow professional pool: not Big Law lawyers, but state attorneys general and “well-known conservative legal movement insiders,” most of them at mid- to very small-sized firms.</w:t>
      </w:r>
      <w:r>
        <w:rPr>
          <w:rStyle w:val="FootnoteReference"/>
          <w:color w:val="000000"/>
        </w:rPr>
        <w:footnoteReference w:id="167"/>
      </w:r>
      <w:r>
        <w:t xml:space="preserve"> Operating under tremendous stress—tight deadlines and a client who insisted that the defense argue he had actually won the election—the team satisfied every condition Janis identified.</w:t>
      </w:r>
      <w:r>
        <w:rPr>
          <w:rStyle w:val="FootnoteReference"/>
          <w:color w:val="000000"/>
        </w:rPr>
        <w:footnoteReference w:id="168"/>
      </w:r>
      <w:r>
        <w:t xml:space="preserve"> The consequences were ruinous: uniformly unsuccessful litigation across sixty cases, at least twenty-two lawyers facing sanctions, criminal prosecution, or bar discipline, Giuliani disbarred in New York and the District of Columbia, and what one federal judge called a “historic and profound abuse of the judicial process.” Each of these baseless claims entered the adversarial arena without having passed through the forge of pre-filing scrutiny that historical QCMs once demanded.</w:t>
      </w:r>
      <w:r>
        <w:rPr>
          <w:rStyle w:val="FootnoteReference"/>
          <w:color w:val="000000"/>
        </w:rPr>
        <w:footnoteReference w:id="169"/>
      </w:r>
      <w:r>
        <w:t xml:space="preserve"> </w:t>
      </w:r>
    </w:p>
    <w:p w14:paraId="42D6B3FD" w14:textId="77777777" w:rsidR="000E6581" w:rsidRPr="00A9375B" w:rsidRDefault="000E6581" w:rsidP="003D74D8">
      <w:pPr>
        <w:pStyle w:val="BodyTextFirstIndent"/>
        <w:spacing w:line="480" w:lineRule="auto"/>
        <w:jc w:val="both"/>
      </w:pPr>
    </w:p>
    <w:p w14:paraId="41C3BDDD" w14:textId="77777777" w:rsidR="008772A4" w:rsidRPr="00A9375B" w:rsidRDefault="00B41952" w:rsidP="003D74D8">
      <w:pPr>
        <w:pStyle w:val="ListParagraph"/>
        <w:numPr>
          <w:ilvl w:val="0"/>
          <w:numId w:val="31"/>
        </w:numPr>
        <w:spacing w:line="480" w:lineRule="auto"/>
        <w:jc w:val="center"/>
        <w:rPr>
          <w:smallCaps/>
          <w:color w:val="000000" w:themeColor="text1"/>
        </w:rPr>
      </w:pPr>
      <w:r>
        <w:rPr>
          <w:smallCaps/>
          <w:color w:val="000000" w:themeColor="text1"/>
        </w:rPr>
        <w:t>The Constitutional Convention: Preventing Groupthink Despite Overwhelming Odds</w:t>
      </w:r>
    </w:p>
    <w:p w14:paraId="0D578FAB" w14:textId="77777777" w:rsidR="00B41952" w:rsidRPr="00A9375B" w:rsidRDefault="00B41952" w:rsidP="003D74D8">
      <w:pPr>
        <w:pStyle w:val="ListParagraph"/>
        <w:spacing w:line="480" w:lineRule="auto"/>
        <w:ind w:left="1080"/>
        <w:jc w:val="both"/>
        <w:rPr>
          <w:color w:val="000000" w:themeColor="text1"/>
        </w:rPr>
      </w:pPr>
    </w:p>
    <w:p w14:paraId="732F586D" w14:textId="77777777" w:rsidR="00065BD0" w:rsidRPr="00A9375B" w:rsidRDefault="007417E4" w:rsidP="003D74D8">
      <w:pPr>
        <w:pStyle w:val="BodyTextFirstIndent"/>
        <w:spacing w:line="480" w:lineRule="auto"/>
        <w:jc w:val="both"/>
      </w:pPr>
      <w:r>
        <w:t>Having shown how groupthink’s antecedent conditions pervade modern legal practice, I now turn to the 1787 Constitutional Convention, which illustrates that preventing groupthink is possible even in high-stress, cohesive groups with institutional faults. The framers grasped what historical dispute-resolution practices had long built into institutions—that the quality of a Deliberative Body’s output depends not on the wisdom of any single member but on rules that guarantee competing perspectives a hearing before the group commits its position to the public arena.</w:t>
      </w:r>
      <w:r>
        <w:rPr>
          <w:rStyle w:val="FootnoteReference"/>
          <w:color w:val="000000" w:themeColor="text1"/>
        </w:rPr>
        <w:footnoteReference w:id="170"/>
      </w:r>
      <w:r>
        <w:t xml:space="preserve"> They honored those practices by scrutinizing their claim—that a new constitution was necessary—through months of internal testing before presenting it to the public.</w:t>
      </w:r>
      <w:r>
        <w:rPr>
          <w:rStyle w:val="FootnoteReference"/>
          <w:color w:val="000000" w:themeColor="text1"/>
        </w:rPr>
        <w:footnoteReference w:id="171"/>
      </w:r>
      <w:r>
        <w:t xml:space="preserve"> Their procedures cultivated ideological diversity, devil’s advocacy, alternative proposals, and continuous opportunities to </w:t>
      </w:r>
      <w:r>
        <w:lastRenderedPageBreak/>
        <w:t>reconsider decisions. Without these efforts, I cannot say what document, if any, would have emerged from Independence Hall.</w:t>
      </w:r>
      <w:bookmarkStart w:id="13" w:name="_Ref217238397"/>
      <w:r>
        <w:rPr>
          <w:rStyle w:val="FootnoteReference"/>
          <w:color w:val="000000" w:themeColor="text1"/>
        </w:rPr>
        <w:footnoteReference w:id="172"/>
      </w:r>
      <w:bookmarkEnd w:id="13"/>
    </w:p>
    <w:p w14:paraId="7A604E79" w14:textId="77777777" w:rsidR="000D2CC9" w:rsidRPr="00A9375B" w:rsidRDefault="000D2CC9" w:rsidP="003D74D8">
      <w:pPr>
        <w:pStyle w:val="BodyTextFirstIndent"/>
        <w:spacing w:line="480" w:lineRule="auto"/>
        <w:jc w:val="both"/>
      </w:pPr>
    </w:p>
    <w:p w14:paraId="5BAF61FB" w14:textId="77777777" w:rsidR="00B536F0" w:rsidRPr="00A9375B" w:rsidRDefault="00B536F0" w:rsidP="003D74D8">
      <w:pPr>
        <w:pStyle w:val="ListParagraph"/>
        <w:numPr>
          <w:ilvl w:val="0"/>
          <w:numId w:val="9"/>
        </w:numPr>
        <w:spacing w:line="480" w:lineRule="auto"/>
        <w:jc w:val="both"/>
        <w:rPr>
          <w:i/>
          <w:iCs/>
          <w:color w:val="000000" w:themeColor="text1"/>
        </w:rPr>
      </w:pPr>
      <w:r>
        <w:rPr>
          <w:i/>
          <w:iCs/>
          <w:color w:val="000000" w:themeColor="text1"/>
        </w:rPr>
        <w:t>All Three of Janis’ Antecedent Conditions Were Present</w:t>
      </w:r>
    </w:p>
    <w:p w14:paraId="724EB4EB" w14:textId="77777777" w:rsidR="00B41952" w:rsidRPr="00A9375B" w:rsidRDefault="00B41952" w:rsidP="003D74D8">
      <w:pPr>
        <w:spacing w:line="480" w:lineRule="auto"/>
        <w:jc w:val="both"/>
        <w:rPr>
          <w:color w:val="000000" w:themeColor="text1"/>
        </w:rPr>
      </w:pPr>
    </w:p>
    <w:p w14:paraId="507F9A4D" w14:textId="77777777" w:rsidR="00E25A3F" w:rsidRPr="00A9375B" w:rsidRDefault="00E25A3F" w:rsidP="003D74D8">
      <w:pPr>
        <w:pStyle w:val="BodyTextFirstIndent"/>
        <w:spacing w:line="480" w:lineRule="auto"/>
        <w:jc w:val="both"/>
      </w:pPr>
      <w:r>
        <w:t>First, cohesiveness: all but two or three of the fifty-five delegates had prior government experience.</w:t>
      </w:r>
      <w:bookmarkStart w:id="14" w:name="_Ref214115536"/>
      <w:r>
        <w:rPr>
          <w:rStyle w:val="FootnoteReference"/>
          <w:color w:val="000000" w:themeColor="text1"/>
        </w:rPr>
        <w:footnoteReference w:id="173"/>
      </w:r>
      <w:bookmarkEnd w:id="14"/>
      <w:r>
        <w:t xml:space="preserve"> Twenty-nine had studied law, though only thirteen practiced it as their principal livelihood, and the group was generally well-educated.</w:t>
      </w:r>
      <w:r>
        <w:rPr>
          <w:rStyle w:val="FootnoteReference"/>
          <w:color w:val="000000" w:themeColor="text1"/>
        </w:rPr>
        <w:footnoteReference w:id="174"/>
      </w:r>
      <w:r>
        <w:t xml:space="preserve"> Years of shared service in the Continental Congress had already made the delegates, in Fred </w:t>
      </w:r>
      <w:proofErr w:type="spellStart"/>
      <w:r>
        <w:t>Barbash’s</w:t>
      </w:r>
      <w:proofErr w:type="spellEnd"/>
      <w:r>
        <w:t xml:space="preserve"> phrase, “a kind of brotherhood”—a cohesion that, without the Convention’s procedures, would have </w:t>
      </w:r>
      <w:bookmarkStart w:id="15" w:name="OLE_LINK15"/>
      <w:bookmarkStart w:id="16" w:name="OLE_LINK16"/>
      <w:r>
        <w:t xml:space="preserve">bred </w:t>
      </w:r>
      <w:bookmarkEnd w:id="15"/>
      <w:bookmarkEnd w:id="16"/>
      <w:r>
        <w:t>precisely the biases they were designed to counteract.</w:t>
      </w:r>
      <w:bookmarkStart w:id="17" w:name="_Ref214115628"/>
      <w:r>
        <w:rPr>
          <w:rStyle w:val="FootnoteReference"/>
          <w:color w:val="000000" w:themeColor="text1"/>
        </w:rPr>
        <w:footnoteReference w:id="175"/>
      </w:r>
      <w:bookmarkEnd w:id="17"/>
      <w:r>
        <w:t> Second, on paper, the Convention presented one of Janis’ most notable institutional faults—insulation from outside voices.</w:t>
      </w:r>
      <w:r>
        <w:rPr>
          <w:rStyle w:val="FootnoteReference"/>
          <w:color w:val="000000" w:themeColor="text1"/>
        </w:rPr>
        <w:footnoteReference w:id="176"/>
      </w:r>
      <w:r>
        <w:t xml:space="preserve"> The delegates established a strict rule of secrecy and, for the most part, observed it throughout their </w:t>
      </w:r>
      <w:r>
        <w:lastRenderedPageBreak/>
        <w:t>deliberations.</w:t>
      </w:r>
      <w:bookmarkStart w:id="18" w:name="_Ref214115813"/>
      <w:r>
        <w:rPr>
          <w:rStyle w:val="FootnoteReference"/>
          <w:color w:val="000000" w:themeColor="text1"/>
        </w:rPr>
        <w:footnoteReference w:id="177"/>
      </w:r>
      <w:bookmarkEnd w:id="18"/>
      <w:r>
        <w:t xml:space="preserve"> Third, they faced acute situational stress.</w:t>
      </w:r>
      <w:r>
        <w:rPr>
          <w:rStyle w:val="FootnoteReference"/>
          <w:color w:val="000000" w:themeColor="text1"/>
        </w:rPr>
        <w:footnoteReference w:id="178"/>
      </w:r>
      <w:r>
        <w:t xml:space="preserve"> The delegates knew the consequences should they fail to emerge from behind closed doors with a remedy.</w:t>
      </w:r>
      <w:bookmarkStart w:id="19" w:name="_Ref217238243"/>
      <w:r>
        <w:rPr>
          <w:rStyle w:val="FootnoteReference"/>
          <w:color w:val="000000" w:themeColor="text1"/>
        </w:rPr>
        <w:footnoteReference w:id="179"/>
      </w:r>
      <w:bookmarkEnd w:id="19"/>
      <w:r>
        <w:t xml:space="preserve"> The events preceding the Convention confirmed their fears, including the economic depression of the 1780s and Shays’ Rebellion.</w:t>
      </w:r>
      <w:bookmarkStart w:id="20" w:name="_Ref217238974"/>
      <w:r>
        <w:rPr>
          <w:rStyle w:val="FootnoteReference"/>
          <w:color w:val="000000" w:themeColor="text1"/>
        </w:rPr>
        <w:footnoteReference w:id="180"/>
      </w:r>
      <w:bookmarkEnd w:id="20"/>
      <w:r>
        <w:t xml:space="preserve"> Within the walls of Independence Hall, mid-90s heat beat down upon the delegates as they deliberated for six hours on end without breaks.</w:t>
      </w:r>
      <w:bookmarkStart w:id="21" w:name="_Ref214115696"/>
      <w:r>
        <w:rPr>
          <w:rStyle w:val="FootnoteReference"/>
          <w:color w:val="000000" w:themeColor="text1"/>
        </w:rPr>
        <w:footnoteReference w:id="181"/>
      </w:r>
      <w:bookmarkEnd w:id="21"/>
      <w:r>
        <w:t xml:space="preserve"> After months away from their families, homes, and businesses, the delegates were so weary by the Convention’s end that they may have rejected a motion to prepare a Bill of Rights rather than stay in Philadelphia another day.</w:t>
      </w:r>
      <w:r>
        <w:rPr>
          <w:rStyle w:val="FootnoteReference"/>
          <w:color w:val="000000" w:themeColor="text1"/>
        </w:rPr>
        <w:footnoteReference w:id="182"/>
      </w:r>
    </w:p>
    <w:p w14:paraId="4A4F4A46" w14:textId="77777777" w:rsidR="00892E03" w:rsidRPr="00A9375B" w:rsidRDefault="00892E03" w:rsidP="003D74D8">
      <w:pPr>
        <w:pStyle w:val="BodyTextFirstIndent"/>
        <w:spacing w:line="480" w:lineRule="auto"/>
        <w:jc w:val="both"/>
      </w:pPr>
    </w:p>
    <w:p w14:paraId="5EE13226" w14:textId="77777777" w:rsidR="00E25A3F" w:rsidRPr="00A9375B" w:rsidRDefault="00E25A3F" w:rsidP="003D74D8">
      <w:pPr>
        <w:pStyle w:val="ListParagraph"/>
        <w:numPr>
          <w:ilvl w:val="0"/>
          <w:numId w:val="9"/>
        </w:numPr>
        <w:spacing w:line="480" w:lineRule="auto"/>
        <w:jc w:val="both"/>
        <w:rPr>
          <w:i/>
          <w:iCs/>
          <w:color w:val="000000" w:themeColor="text1"/>
        </w:rPr>
      </w:pPr>
      <w:r>
        <w:rPr>
          <w:i/>
          <w:iCs/>
          <w:color w:val="000000" w:themeColor="text1"/>
        </w:rPr>
        <w:t>How the Convention Prevented Groupthink Before Presenting Its Claim to the Public</w:t>
      </w:r>
    </w:p>
    <w:p w14:paraId="004DCA07" w14:textId="77777777" w:rsidR="00E25A3F" w:rsidRPr="00A9375B" w:rsidRDefault="00E25A3F" w:rsidP="003D74D8">
      <w:pPr>
        <w:pStyle w:val="ListParagraph"/>
        <w:spacing w:line="480" w:lineRule="auto"/>
        <w:jc w:val="both"/>
        <w:rPr>
          <w:color w:val="000000" w:themeColor="text1"/>
        </w:rPr>
      </w:pPr>
    </w:p>
    <w:p w14:paraId="434C2970" w14:textId="77777777" w:rsidR="00E25A3F" w:rsidRPr="00A9375B" w:rsidRDefault="006352C4" w:rsidP="003D74D8">
      <w:pPr>
        <w:pStyle w:val="BodyTextFirstIndent"/>
        <w:spacing w:line="480" w:lineRule="auto"/>
        <w:jc w:val="both"/>
      </w:pPr>
      <w:r>
        <w:t>The Convention established the Committee of the Whole as one of its first acts.</w:t>
      </w:r>
      <w:r>
        <w:rPr>
          <w:rStyle w:val="FootnoteReference"/>
          <w:color w:val="000000" w:themeColor="text1"/>
        </w:rPr>
        <w:footnoteReference w:id="183"/>
      </w:r>
      <w:r>
        <w:t xml:space="preserve"> As the name suggests, the committee comprised all delegates and opened early debate on a wide range of </w:t>
      </w:r>
      <w:r>
        <w:lastRenderedPageBreak/>
        <w:t>foundational issues.</w:t>
      </w:r>
      <w:bookmarkStart w:id="22" w:name="_Ref217238785"/>
      <w:r>
        <w:rPr>
          <w:rStyle w:val="FootnoteReference"/>
          <w:color w:val="000000" w:themeColor="text1"/>
        </w:rPr>
        <w:footnoteReference w:id="184"/>
      </w:r>
      <w:bookmarkEnd w:id="22"/>
      <w:r>
        <w:t xml:space="preserve"> The Convention’s rules treated all delegates as equals in debate, allowing any member to call another to order and barring anyone from speaking twice on a question until every member who wished to speak had been heard.</w:t>
      </w:r>
      <w:r>
        <w:rPr>
          <w:rStyle w:val="FootnoteReference"/>
          <w:color w:val="000000" w:themeColor="text1"/>
        </w:rPr>
        <w:footnoteReference w:id="185"/>
      </w:r>
      <w:r>
        <w:t xml:space="preserve"> In practice, because the Committee relied on nonbinding votes, delegates consulted one another and stayed open to persuasion rather than adhering to entrenched positions.</w:t>
      </w:r>
      <w:bookmarkStart w:id="23" w:name="_Ref217238532"/>
      <w:r>
        <w:rPr>
          <w:rStyle w:val="FootnoteReference"/>
          <w:color w:val="000000" w:themeColor="text1"/>
        </w:rPr>
        <w:footnoteReference w:id="186"/>
      </w:r>
      <w:bookmarkEnd w:id="23"/>
      <w:r>
        <w:t xml:space="preserve"> The Committee took straw votes on particular matters rather than binding delegates to a position before they had heard all perspectives.</w:t>
      </w:r>
      <w:r>
        <w:rPr>
          <w:rStyle w:val="FootnoteReference"/>
          <w:color w:val="000000" w:themeColor="text1"/>
        </w:rPr>
        <w:footnoteReference w:id="187"/>
      </w:r>
      <w:r>
        <w:t xml:space="preserve"> Dana Lansky argues that the choice shows the “delegates realized the importance of being able to brainstorm, to flesh things out, and to show preferences, without having to commit.”</w:t>
      </w:r>
      <w:r>
        <w:rPr>
          <w:rStyle w:val="FootnoteReference"/>
          <w:color w:val="000000" w:themeColor="text1"/>
        </w:rPr>
        <w:footnoteReference w:id="188"/>
      </w:r>
      <w:r>
        <w:t xml:space="preserve"> The Committee also let a member move to revisit an issue, with a day’s notice.</w:t>
      </w:r>
      <w:r>
        <w:rPr>
          <w:rStyle w:val="FootnoteReference"/>
          <w:color w:val="000000" w:themeColor="text1"/>
        </w:rPr>
        <w:footnoteReference w:id="189"/>
      </w:r>
      <w:r>
        <w:t xml:space="preserve"> Throughout the summer and even in the </w:t>
      </w:r>
      <w:r>
        <w:lastRenderedPageBreak/>
        <w:t>days before the Convention’s scheduled end, delegates revisited matters such as the scope of the executive and the principles of federalism, offering strong dissents that challenged a seemingly finished product.</w:t>
      </w:r>
      <w:r>
        <w:rPr>
          <w:rStyle w:val="FootnoteReference"/>
          <w:color w:val="000000" w:themeColor="text1"/>
        </w:rPr>
        <w:footnoteReference w:id="190"/>
      </w:r>
    </w:p>
    <w:p w14:paraId="5BDE7EAF" w14:textId="77777777" w:rsidR="00E25A3F" w:rsidRPr="00A9375B" w:rsidRDefault="00E25A3F" w:rsidP="003D74D8">
      <w:pPr>
        <w:pStyle w:val="BodyTextFirstIndent"/>
        <w:spacing w:line="480" w:lineRule="auto"/>
        <w:jc w:val="both"/>
      </w:pPr>
      <w:r>
        <w:t>During these open Committee of the Whole deliberations, the rule of secrecy ensured that delegates felt psychologically safe discussing any topic about which they might have had reservations had the debates been public.</w:t>
      </w:r>
      <w:bookmarkStart w:id="24" w:name="_Ref217239048"/>
      <w:r>
        <w:rPr>
          <w:rStyle w:val="FootnoteReference"/>
          <w:color w:val="000000" w:themeColor="text1"/>
        </w:rPr>
        <w:footnoteReference w:id="191"/>
      </w:r>
      <w:bookmarkEnd w:id="24"/>
      <w:r>
        <w:t xml:space="preserve"> Most delegates—prominent statesmen, politicians, and merchants—could not have risked their reputations in a public setting.</w:t>
      </w:r>
      <w:r>
        <w:rPr>
          <w:rStyle w:val="FootnoteReference"/>
          <w:color w:val="000000" w:themeColor="text1"/>
        </w:rPr>
        <w:footnoteReference w:id="192"/>
      </w:r>
      <w:r>
        <w:t xml:space="preserve"> Several delegates, such as Gouverneur Morris and George Mason, took positions that appeared to diverge from their pre-Convention identities.</w:t>
      </w:r>
      <w:r>
        <w:rPr>
          <w:rStyle w:val="FootnoteReference"/>
          <w:color w:val="000000" w:themeColor="text1"/>
        </w:rPr>
        <w:footnoteReference w:id="193"/>
      </w:r>
      <w:r>
        <w:t xml:space="preserve"> Gouverneur Morris, an aristocrat who might have been expected to advocate for governance by the wealthy and educated, made a strong case for popular elections.</w:t>
      </w:r>
      <w:bookmarkStart w:id="25" w:name="_Ref214116564"/>
      <w:r>
        <w:rPr>
          <w:rStyle w:val="FootnoteReference"/>
          <w:color w:val="000000" w:themeColor="text1"/>
        </w:rPr>
        <w:footnoteReference w:id="194"/>
      </w:r>
      <w:bookmarkEnd w:id="25"/>
      <w:r>
        <w:t xml:space="preserve"> </w:t>
      </w:r>
      <w:r>
        <w:lastRenderedPageBreak/>
        <w:t>George Mason, despite what James Monroe called his “Antifederal Prejudices” and previous opposition to granting the Confederation Congress independent revenue or trade-regulation powers, argued early for materially strengthening the national government. He supported the popular election of the lower house and the national payment of congressmen to insulate the federal system from state influence.</w:t>
      </w:r>
      <w:r>
        <w:rPr>
          <w:rStyle w:val="FootnoteReference"/>
          <w:color w:val="000000" w:themeColor="text1"/>
        </w:rPr>
        <w:footnoteReference w:id="195"/>
      </w:r>
      <w:r>
        <w:t xml:space="preserve"> Elbridge Gerry made similarly unexpected arguments.</w:t>
      </w:r>
      <w:r>
        <w:rPr>
          <w:rStyle w:val="FootnoteReference"/>
          <w:color w:val="000000" w:themeColor="text1"/>
        </w:rPr>
        <w:footnoteReference w:id="196"/>
      </w:r>
      <w:r>
        <w:t xml:space="preserve"> Gerry, a rich merchant from a large state, warned against “the excess of democracy,” opposed popular election of the lower house, and refused to sign the Constitution.</w:t>
      </w:r>
      <w:r>
        <w:rPr>
          <w:rStyle w:val="FootnoteReference"/>
          <w:color w:val="000000" w:themeColor="text1"/>
        </w:rPr>
        <w:footnoteReference w:id="197"/>
      </w:r>
      <w:r>
        <w:t xml:space="preserve"> Finally, like many of his peers, Roger Sherman came to the Convention defending states’ rights and doubting centralized government.</w:t>
      </w:r>
      <w:r>
        <w:rPr>
          <w:rStyle w:val="FootnoteReference"/>
          <w:color w:val="000000" w:themeColor="text1"/>
        </w:rPr>
        <w:footnoteReference w:id="198"/>
      </w:r>
      <w:r>
        <w:t xml:space="preserve"> Instead of clinging to the dogma of the Articles, Sherman became the primary architect of the Connecticut Compromise, and his arguments on the topic convinced many delegates to support it.</w:t>
      </w:r>
      <w:r>
        <w:rPr>
          <w:rStyle w:val="FootnoteReference"/>
          <w:color w:val="000000" w:themeColor="text1"/>
        </w:rPr>
        <w:footnoteReference w:id="199"/>
      </w:r>
      <w:r>
        <w:t> </w:t>
      </w:r>
    </w:p>
    <w:p w14:paraId="01AEF55E" w14:textId="77777777" w:rsidR="00E25A3F" w:rsidRPr="00A9375B" w:rsidRDefault="00E25A3F" w:rsidP="003D74D8">
      <w:pPr>
        <w:pStyle w:val="BodyTextFirstIndent"/>
        <w:spacing w:line="480" w:lineRule="auto"/>
        <w:jc w:val="both"/>
      </w:pPr>
      <w:r>
        <w:t>While the rule of secrecy proved a success, it nonetheless left the delegates insulated from outside voices. James Madison, however, furnished his own experts, of a sort. A majority of the delegates came to Philadelphia expecting to amend the Articles of Confederation, yet the Committee of the Whole took up the Virginia Plan as its first order of business, and within weeks was weighing it against the competing New Jersey Plan.</w:t>
      </w:r>
      <w:r>
        <w:rPr>
          <w:rStyle w:val="FootnoteReference"/>
          <w:color w:val="000000" w:themeColor="text1"/>
        </w:rPr>
        <w:footnoteReference w:id="200"/>
      </w:r>
      <w:r>
        <w:t xml:space="preserve"> When Madison moved that the equality of state suffrage “ought not to prevail,” George Read of Delaware moved to postpone. His </w:t>
      </w:r>
      <w:r>
        <w:lastRenderedPageBreak/>
        <w:t>delegation’s instructions forbade any such change, he told the Convention, and if one were made, “it might become their duty to retire from the Convention.”</w:t>
      </w:r>
      <w:r>
        <w:rPr>
          <w:rStyle w:val="FootnoteReference"/>
          <w:color w:val="000000" w:themeColor="text1"/>
        </w:rPr>
        <w:footnoteReference w:id="201"/>
      </w:r>
      <w:r>
        <w:t xml:space="preserve"> Madison had spent years preparing for this reaction, having previously written to Jefferson, then in Paris, requesting that he send rare and valuable history books.</w:t>
      </w:r>
      <w:r>
        <w:rPr>
          <w:rStyle w:val="FootnoteReference"/>
          <w:color w:val="000000" w:themeColor="text1"/>
        </w:rPr>
        <w:footnoteReference w:id="202"/>
      </w:r>
      <w:r>
        <w:t xml:space="preserve"> This reading spanned more than three thousand years of human history, from ancient Greece to the cantons of Switzerland, and yielded his own notes on the Amphictyonic and Achaean confederacies.</w:t>
      </w:r>
      <w:r>
        <w:rPr>
          <w:rStyle w:val="FootnoteReference"/>
          <w:color w:val="000000" w:themeColor="text1"/>
        </w:rPr>
        <w:footnoteReference w:id="203"/>
      </w:r>
      <w:r>
        <w:t xml:space="preserve"> Madison synthesized his readings in a private memorandum titled “The Vices of the Political System of the United States,” which catalogued the weaknesses of the existing American governments—state and confederated—and his proposed remedies.</w:t>
      </w:r>
      <w:r>
        <w:rPr>
          <w:rStyle w:val="FootnoteReference"/>
          <w:color w:val="000000" w:themeColor="text1"/>
        </w:rPr>
        <w:footnoteReference w:id="204"/>
      </w:r>
      <w:r>
        <w:t xml:space="preserve"> He arrived eleven days before the Convention’s official start to present his then-radical vision of a national government to several of the other Virginia delegates.</w:t>
      </w:r>
      <w:r>
        <w:rPr>
          <w:rStyle w:val="FootnoteReference"/>
          <w:color w:val="000000" w:themeColor="text1"/>
        </w:rPr>
        <w:footnoteReference w:id="205"/>
      </w:r>
      <w:r>
        <w:t xml:space="preserve"> These efforts proved decisive. On the second day of serious debate, the Convention decided to establish the three branches of government.</w:t>
      </w:r>
      <w:r>
        <w:rPr>
          <w:rStyle w:val="FootnoteReference"/>
          <w:color w:val="000000" w:themeColor="text1"/>
        </w:rPr>
        <w:footnoteReference w:id="206"/>
      </w:r>
      <w:r>
        <w:t xml:space="preserve"> Yet despite Madison’s early influence, the Convention resisted groupthink and rejected his impassioned proposal for a national veto over state laws.</w:t>
      </w:r>
      <w:r>
        <w:rPr>
          <w:rStyle w:val="FootnoteReference"/>
          <w:color w:val="000000" w:themeColor="text1"/>
        </w:rPr>
        <w:footnoteReference w:id="207"/>
      </w:r>
    </w:p>
    <w:p w14:paraId="3007B8F1" w14:textId="77777777" w:rsidR="00E25A3F" w:rsidRPr="00A9375B" w:rsidRDefault="00E25A3F" w:rsidP="003D74D8">
      <w:pPr>
        <w:pStyle w:val="BodyTextFirstIndent"/>
        <w:spacing w:line="480" w:lineRule="auto"/>
        <w:jc w:val="both"/>
      </w:pPr>
      <w:r>
        <w:lastRenderedPageBreak/>
        <w:t>George Washington enforced the Convention’s rules.</w:t>
      </w:r>
      <w:r>
        <w:rPr>
          <w:rStyle w:val="FootnoteReference"/>
          <w:color w:val="000000" w:themeColor="text1"/>
        </w:rPr>
        <w:footnoteReference w:id="208"/>
      </w:r>
      <w:r>
        <w:t xml:space="preserve"> On one occasion, he sternly admonished the Convention after an unnamed delegate left a document in the State House, breaking the rule of secrecy.</w:t>
      </w:r>
      <w:r>
        <w:rPr>
          <w:rStyle w:val="FootnoteReference"/>
          <w:color w:val="000000" w:themeColor="text1"/>
        </w:rPr>
        <w:footnoteReference w:id="209"/>
      </w:r>
      <w:r>
        <w:t xml:space="preserve"> Scholars often credit Washington with the Convention’s success; he exemplified Janis’ view that an impartial leader helps prevent groupthink.</w:t>
      </w:r>
      <w:r>
        <w:rPr>
          <w:rStyle w:val="FootnoteReference"/>
          <w:color w:val="000000" w:themeColor="text1"/>
        </w:rPr>
        <w:footnoteReference w:id="210"/>
      </w:r>
      <w:r>
        <w:t xml:space="preserve"> Washington spoke substantively only once during the Convention, on its final day, regarding representation ratios.</w:t>
      </w:r>
      <w:r>
        <w:rPr>
          <w:rStyle w:val="FootnoteReference"/>
          <w:color w:val="000000" w:themeColor="text1"/>
        </w:rPr>
        <w:footnoteReference w:id="211"/>
      </w:r>
      <w:r>
        <w:t xml:space="preserve"> His stoicism held when Elbridge Gerry directly denounced the Society of the Cincinnati and its leadership, an organization Washington led.</w:t>
      </w:r>
      <w:r>
        <w:rPr>
          <w:rStyle w:val="FootnoteReference"/>
          <w:color w:val="000000" w:themeColor="text1"/>
        </w:rPr>
        <w:footnoteReference w:id="212"/>
      </w:r>
      <w:r>
        <w:t xml:space="preserve"> Despite the attack, Washington stood there, betraying nothing of the discomfort and annoyance he must have felt.</w:t>
      </w:r>
      <w:r>
        <w:rPr>
          <w:rStyle w:val="FootnoteReference"/>
          <w:color w:val="000000" w:themeColor="text1"/>
        </w:rPr>
        <w:footnoteReference w:id="213"/>
      </w:r>
      <w:r>
        <w:t xml:space="preserve"> The delegates too showed patience in allowing their colleagues to debate, sometimes for an entire day.</w:t>
      </w:r>
      <w:r>
        <w:rPr>
          <w:rStyle w:val="FootnoteReference"/>
          <w:color w:val="000000" w:themeColor="text1"/>
        </w:rPr>
        <w:footnoteReference w:id="214"/>
      </w:r>
    </w:p>
    <w:p w14:paraId="334ECC52" w14:textId="77777777" w:rsidR="00890D5B" w:rsidRPr="00A9375B" w:rsidRDefault="00890D5B" w:rsidP="003D74D8">
      <w:pPr>
        <w:pStyle w:val="BodyTextFirstIndent"/>
        <w:spacing w:line="480" w:lineRule="auto"/>
        <w:jc w:val="both"/>
      </w:pPr>
    </w:p>
    <w:p w14:paraId="71013D4D" w14:textId="77777777" w:rsidR="00E25A3F" w:rsidRPr="00A9375B" w:rsidRDefault="00B42A85" w:rsidP="003D74D8">
      <w:pPr>
        <w:pStyle w:val="ListParagraph"/>
        <w:numPr>
          <w:ilvl w:val="0"/>
          <w:numId w:val="9"/>
        </w:numPr>
        <w:spacing w:line="480" w:lineRule="auto"/>
        <w:jc w:val="both"/>
        <w:rPr>
          <w:color w:val="000000" w:themeColor="text1"/>
        </w:rPr>
      </w:pPr>
      <w:r>
        <w:rPr>
          <w:i/>
          <w:iCs/>
          <w:color w:val="000000" w:themeColor="text1"/>
        </w:rPr>
        <w:t xml:space="preserve">The Forge and the Forum </w:t>
      </w:r>
    </w:p>
    <w:p w14:paraId="5799B92B" w14:textId="77777777" w:rsidR="00E25A3F" w:rsidRPr="00A9375B" w:rsidRDefault="00E25A3F" w:rsidP="003D74D8">
      <w:pPr>
        <w:pStyle w:val="ListParagraph"/>
        <w:spacing w:line="480" w:lineRule="auto"/>
        <w:jc w:val="both"/>
        <w:rPr>
          <w:color w:val="000000" w:themeColor="text1"/>
        </w:rPr>
      </w:pPr>
    </w:p>
    <w:p w14:paraId="3F618CC0" w14:textId="77777777" w:rsidR="00E25A3F" w:rsidRPr="00A9375B" w:rsidRDefault="00E25A3F" w:rsidP="003D74D8">
      <w:pPr>
        <w:pStyle w:val="BodyTextFirstIndent"/>
        <w:spacing w:line="480" w:lineRule="auto"/>
        <w:jc w:val="both"/>
      </w:pPr>
      <w:r>
        <w:t>The framers’ deliberative process turned diverse and conflicting initial positions into a durable constitutional framework. The</w:t>
      </w:r>
      <w:r>
        <w:rPr>
          <w:i/>
          <w:iCs/>
        </w:rPr>
        <w:t xml:space="preserve"> how and when of group deliberation was the</w:t>
      </w:r>
      <w:r>
        <w:t xml:space="preserve"> antidote to the </w:t>
      </w:r>
      <w:r>
        <w:lastRenderedPageBreak/>
        <w:t>antecedent conditions of groupthink and to the biases those conditions leave unchecked.</w:t>
      </w:r>
      <w:r>
        <w:rPr>
          <w:rStyle w:val="FootnoteReference"/>
          <w:color w:val="000000" w:themeColor="text1"/>
        </w:rPr>
        <w:footnoteReference w:id="215"/>
      </w:r>
      <w:r>
        <w:t xml:space="preserve"> Consider the Convention in the abstract. The Convention </w:t>
      </w:r>
      <w:proofErr w:type="spellStart"/>
      <w:r>
        <w:t>wastested</w:t>
      </w:r>
      <w:proofErr w:type="spellEnd"/>
      <w:r>
        <w:t xml:space="preserve"> its own claim (we need a new Constitution) for months </w:t>
      </w:r>
      <w:r>
        <w:rPr>
          <w:i/>
          <w:iCs/>
        </w:rPr>
        <w:t>before</w:t>
      </w:r>
      <w:r>
        <w:t xml:space="preserve"> presenting it to the public. That same norm carried into the ratification debate. Consider Edmund Randolph, one of the Virginia delegates who initially refused to sign the Constitution but later reversed his position, explaining that his change of heart resulted from “further consideration of the subject” as well as “attention to the lights which were thrown upon it by others.”</w:t>
      </w:r>
      <w:bookmarkStart w:id="26" w:name="_Ref222260093"/>
      <w:r>
        <w:rPr>
          <w:rStyle w:val="FootnoteReference"/>
          <w:color w:val="000000" w:themeColor="text1"/>
        </w:rPr>
        <w:footnoteReference w:id="216"/>
      </w:r>
      <w:bookmarkEnd w:id="26"/>
      <w:r>
        <w:t xml:space="preserve"> Randolph shows how deliberately the delegates made their case defensible before externalizing it, and how the very process of deliberation remedied the biases each delegate brought to the Convention.</w:t>
      </w:r>
      <w:r>
        <w:rPr>
          <w:rStyle w:val="FootnoteReference"/>
          <w:color w:val="000000" w:themeColor="text1"/>
        </w:rPr>
        <w:footnoteReference w:id="217"/>
      </w:r>
      <w:r>
        <w:t xml:space="preserve"> Ultimately, the framers succeeded because they welcomed authentic dissent, made their members feel psychologically safe contributing, and met under rules that guided them.</w:t>
      </w:r>
      <w:r>
        <w:rPr>
          <w:rStyle w:val="FootnoteReference"/>
          <w:color w:val="000000" w:themeColor="text1"/>
        </w:rPr>
        <w:footnoteReference w:id="218"/>
      </w:r>
    </w:p>
    <w:p w14:paraId="1C616B55" w14:textId="77777777" w:rsidR="00F11746" w:rsidRPr="00A9375B" w:rsidRDefault="00F11746" w:rsidP="003D74D8">
      <w:pPr>
        <w:pStyle w:val="BodyTextFirstIndent"/>
        <w:spacing w:line="480" w:lineRule="auto"/>
        <w:jc w:val="both"/>
      </w:pPr>
      <w:r>
        <w:t>Like a master swordsmith folding steel through fire and hammer before a samurai enters battle,</w:t>
      </w:r>
    </w:p>
    <w:p w14:paraId="605F5D97" w14:textId="77777777" w:rsidR="00F11746" w:rsidRPr="00A9375B" w:rsidRDefault="00F11746" w:rsidP="003D74D8">
      <w:pPr>
        <w:pStyle w:val="BodyTextFirstIndent"/>
        <w:spacing w:line="480" w:lineRule="auto"/>
        <w:ind w:firstLine="0"/>
        <w:jc w:val="both"/>
      </w:pPr>
      <w:r>
        <w:lastRenderedPageBreak/>
        <w:t xml:space="preserve">the rule of secrecy, nonbinding votes, and constant reconsideration were the forge that ensured the Constitution would leave Independence Hall only after being tempered through the scorching fires of internal dissent. The smith’s patience guaranteed that when the katana finally struck in the public arena, it would strike true. By contrast, modern ADR has neither smith nor </w:t>
      </w:r>
      <w:proofErr w:type="gramStart"/>
      <w:r>
        <w:t>forge, and</w:t>
      </w:r>
      <w:proofErr w:type="gramEnd"/>
      <w:r>
        <w:t xml:space="preserve"> sends </w:t>
      </w:r>
      <w:proofErr w:type="spellStart"/>
      <w:r>
        <w:t>untempered</w:t>
      </w:r>
      <w:proofErr w:type="spellEnd"/>
      <w:r>
        <w:t xml:space="preserve"> claims out into the world. Throughout human history forges were a necessary condition for effective advocacy, existing precisely to temper steel before battle—and that craft can be recovered.</w:t>
      </w:r>
    </w:p>
    <w:p w14:paraId="45964F29" w14:textId="77777777" w:rsidR="000D2CC9" w:rsidRPr="00A9375B" w:rsidRDefault="000D2CC9" w:rsidP="003D74D8">
      <w:pPr>
        <w:pStyle w:val="BodyTextFirstIndent"/>
        <w:spacing w:line="480" w:lineRule="auto"/>
        <w:ind w:firstLine="0"/>
        <w:jc w:val="both"/>
      </w:pPr>
    </w:p>
    <w:p w14:paraId="3267A18D" w14:textId="77777777" w:rsidR="003275AD" w:rsidRPr="00A9375B" w:rsidRDefault="003275AD" w:rsidP="003D74D8">
      <w:pPr>
        <w:pStyle w:val="ListParagraph"/>
        <w:numPr>
          <w:ilvl w:val="0"/>
          <w:numId w:val="31"/>
        </w:numPr>
        <w:spacing w:line="480" w:lineRule="auto"/>
        <w:jc w:val="center"/>
        <w:rPr>
          <w:smallCaps/>
          <w:color w:val="000000" w:themeColor="text1"/>
        </w:rPr>
      </w:pPr>
      <w:r>
        <w:rPr>
          <w:smallCaps/>
          <w:color w:val="000000" w:themeColor="text1"/>
        </w:rPr>
        <w:t>Dispute Resolution as Prevention: A Lost Tradition</w:t>
      </w:r>
    </w:p>
    <w:p w14:paraId="4CAD66E7" w14:textId="77777777" w:rsidR="00B41952" w:rsidRPr="00A9375B" w:rsidRDefault="00B41952" w:rsidP="003D74D8">
      <w:pPr>
        <w:pStyle w:val="ListParagraph"/>
        <w:spacing w:line="480" w:lineRule="auto"/>
        <w:ind w:left="1080"/>
        <w:jc w:val="both"/>
        <w:rPr>
          <w:color w:val="000000" w:themeColor="text1"/>
        </w:rPr>
      </w:pPr>
    </w:p>
    <w:p>
      <w:pPr>
        <w:pStyle w:val="BodyTextFirstIndent"/>
        <w:spacing w:line="480" w:lineRule="auto"/>
        <w:jc w:val="both"/>
        <w:rPr>
          <w:ins w:id="200183" w:author="Claude" w:date="2026-09-27T12:00:00Z"/>
        </w:rPr>
      </w:pPr>
      <w:ins w:id="200182" w:author="Claude" w:date="2026-09-27T12:00:00Z">
        <w:r>
          <w:t>I explained in the Introduction why I turn to history. I add here only that the evolutionary psychologists have arrived, by another road, at the same place. “It makes sense to look for arguments for our opinions before we find ourselves called upon to state them,” Hugo Mercier and Dan Sperber write. “If the search for arguments is successful, we will be ready. If not, then perhaps it might be better to adopt a weaker position, one that is easier to defend.”</w:t>
        </w:r>
        <w:r>
          <w:rPr>
            <w:rStyle w:val="FootnoteReference"/>
            <w:rFonts w:eastAsiaTheme="majorEastAsia"/>
          </w:rPr>
          <w:footnoteReference w:id="756"/>
        </w:r>
      </w:ins>
    </w:p>
    <w:p w14:paraId="33518D1A" w14:textId="77777777" w:rsidR="00D879FE" w:rsidRDefault="00000000">
      <w:pPr>
        <w:pStyle w:val="BodyTextFirstIndent"/>
        <w:spacing w:line="480" w:lineRule="auto"/>
        <w:jc w:val="both"/>
        <w:rPr>
          <w:del w:id="200031" w:author="Claude" w:date="2026-09-27T12:00:00Z"/>
        </w:rPr>
      </w:pPr>
      <w:del w:id="200020" w:author="Claude" w:date="2026-09-27T12:00:00Z">
        <w:r>
          <w:delText>Why history, when the present would do? Because on this point the present cannot persuade. The cognitive biases that afflict modern Deliberative Bodies afflicted every Deliberative Body in recorded history, and the societies surveyed here understood as much and built their institutions accordingly. I could cite the empirical studies that establish the benefits of testing a claim before filing it. They are sound, but they speak in the idiom of the system that produced the deficiency. What the history shows is that the practice I advocate is no academic novelty but the recovery of something so embedded in human dispute resolution that its absence, not its presence, is the anomaly requiring explanation. In this I reject the “dominant supposition” that a law review note must “prescribe more law” or “address the world in the terms and categories constructed by the official legal apparatus.”</w:delText>
        </w:r>
      </w:del>
      <w:del w:id="200021" w:author="Claude" w:date="2026-09-27T12:00:00Z">
        <w:r>
          <w:rPr>
            <w:rStyle w:val="FootnoteReference"/>
            <w:color w:val="000000" w:themeColor="text1"/>
          </w:rPr>
          <w:footnoteReference w:id="219"/>
        </w:r>
      </w:del>
      <w:del w:id="200022" w:author="Claude" w:date="2026-09-27T12:00:00Z">
        <w:r>
          <w:delText xml:space="preserve"> The method is, moreover, the Supreme Court’s own, which asks whether a modern practice is “relevantly similar” to what tradition permits, “apply[</w:delText>
        </w:r>
      </w:del>
      <w:proofErr w:type="spellStart"/>
      <w:del w:id="200023" w:author="Claude" w:date="2026-09-27T12:00:00Z">
        <w:r>
          <w:delText>ing</w:delText>
        </w:r>
      </w:del>
      <w:proofErr w:type="spellEnd"/>
      <w:del w:id="200024" w:author="Claude" w:date="2026-09-27T12:00:00Z">
        <w:r>
          <w:delText xml:space="preserve">] faithfully </w:delText>
        </w:r>
      </w:del>
      <w:del w:id="200025" w:author="Claude" w:date="2026-09-27T12:00:00Z">
        <w:r>
          <w:lastRenderedPageBreak/>
          <w:delText>the balance struck by the founding generation to modern circumstances.”</w:delText>
        </w:r>
      </w:del>
      <w:del w:id="200026" w:author="Claude" w:date="2026-09-27T12:00:00Z">
        <w:r>
          <w:rPr>
            <w:rStyle w:val="FootnoteReference"/>
            <w:color w:val="000000" w:themeColor="text1"/>
          </w:rPr>
          <w:footnoteReference w:id="220"/>
        </w:r>
      </w:del>
      <w:del w:id="200027" w:author="Claude" w:date="2026-09-27T12:00:00Z">
        <w:r>
          <w:delText xml:space="preserve"> The evolutionary psychologists have arrived, by another road, at the same place. “It makes sense to look for arguments for our opinions before we find ourselves called upon to state them,” Hugo Mercier and Dan Sperber write. “If the search for arguments is successful, we will be ready. If not, then perhaps it might be better to adopt a weaker position, one that is easier to defend.”</w:delText>
        </w:r>
      </w:del>
      <w:del w:id="200028" w:author="Claude" w:date="2026-09-27T12:00:00Z">
        <w:r>
          <w:rPr>
            <w:rStyle w:val="FootnoteReference"/>
            <w:color w:val="000000" w:themeColor="text1"/>
          </w:rPr>
          <w:footnoteReference w:id="221"/>
        </w:r>
      </w:del>
      <w:del w:id="200029" w:author="Claude" w:date="2026-09-27T12:00:00Z">
        <w:r>
          <w:delText xml:space="preserve"> So the reader should not dismiss ancient practice as irrelevant to a modern law office. What we know and think about conflict resolution “is not a new fountain gushing fresh from the barren rock of the unknown at the stroke of the rod of our own intellect; it is a stream which flows by us and through us, fed by the far-off rivulets of long ago.”</w:delText>
        </w:r>
      </w:del>
      <w:del w:id="200030" w:author="Claude" w:date="2026-09-27T12:00:00Z">
        <w:r>
          <w:rPr>
            <w:rStyle w:val="FootnoteReference"/>
            <w:color w:val="000000" w:themeColor="text1"/>
          </w:rPr>
          <w:footnoteReference w:id="222"/>
        </w:r>
      </w:del>
    </w:p>
    <w:p w14:paraId="5A9EE879" w14:textId="77777777" w:rsidR="00AD1C8F" w:rsidRPr="00A9375B" w:rsidRDefault="00AD1C8F" w:rsidP="003D74D8">
      <w:pPr>
        <w:pStyle w:val="ListParagraph"/>
        <w:numPr>
          <w:ilvl w:val="0"/>
          <w:numId w:val="6"/>
        </w:numPr>
        <w:spacing w:line="480" w:lineRule="auto"/>
        <w:jc w:val="both"/>
        <w:rPr>
          <w:i/>
          <w:iCs/>
          <w:color w:val="000000" w:themeColor="text1"/>
        </w:rPr>
      </w:pPr>
      <w:r>
        <w:rPr>
          <w:i/>
          <w:iCs/>
          <w:color w:val="000000" w:themeColor="text1"/>
        </w:rPr>
        <w:t>Ancient and Classical Systems: Community-Based Scrutiny Before Claims Hardened</w:t>
      </w:r>
    </w:p>
    <w:p w14:paraId="1D49557B" w14:textId="77777777" w:rsidR="00B41952" w:rsidRPr="00A9375B" w:rsidRDefault="00B41952" w:rsidP="003D74D8">
      <w:pPr>
        <w:pStyle w:val="ListParagraph"/>
        <w:spacing w:line="480" w:lineRule="auto"/>
        <w:jc w:val="both"/>
        <w:rPr>
          <w:color w:val="000000" w:themeColor="text1"/>
        </w:rPr>
      </w:pPr>
    </w:p>
    <w:p w14:paraId="21611C43" w14:textId="77777777" w:rsidR="006E703B" w:rsidRPr="00A9375B" w:rsidRDefault="00502320" w:rsidP="003D74D8">
      <w:pPr>
        <w:pStyle w:val="BodyTextFirstIndent"/>
        <w:spacing w:line="480" w:lineRule="auto"/>
        <w:jc w:val="both"/>
      </w:pPr>
      <w:r>
        <w:t>Ten thousand years ago, humans in the first agricultural settlements of the Fertile Crescent faced the novel challenge of resolving conflicts among neighbors living in permanent proximity.</w:t>
      </w:r>
      <w:r>
        <w:rPr>
          <w:rStyle w:val="FootnoteReference"/>
          <w:color w:val="000000" w:themeColor="text1"/>
        </w:rPr>
        <w:footnoteReference w:id="223"/>
      </w:r>
      <w:r>
        <w:t xml:space="preserve"> </w:t>
      </w:r>
      <w:r>
        <w:lastRenderedPageBreak/>
        <w:t>For prior millennia, many foraging bands had preserved social cohesion through immediate-return economies in which food circulated through socially imposed sharing rather than ownership, and durable goods through partnerships that stored obligations against future need.</w:t>
      </w:r>
      <w:r>
        <w:rPr>
          <w:rStyle w:val="FootnoteReference"/>
          <w:color w:val="000000" w:themeColor="text1"/>
        </w:rPr>
        <w:footnoteReference w:id="224"/>
      </w:r>
      <w:r>
        <w:t xml:space="preserve"> In these bands, whose leveling mechanisms suppressed accumulation, mobility contained disputes: a party in </w:t>
      </w:r>
      <w:r>
        <w:lastRenderedPageBreak/>
        <w:t>conflict could simply move away.</w:t>
      </w:r>
      <w:r>
        <w:rPr>
          <w:rStyle w:val="FootnoteReference"/>
          <w:color w:val="000000" w:themeColor="text1"/>
        </w:rPr>
        <w:footnoteReference w:id="225"/>
      </w:r>
      <w:r>
        <w:t xml:space="preserve"> Wheat domesticated humans, forcing them to settle permanently beside their fields, and reoriented daily life around a house and a plot that a family held as its own.</w:t>
      </w:r>
      <w:r>
        <w:rPr>
          <w:rStyle w:val="FootnoteReference"/>
          <w:color w:val="000000" w:themeColor="text1"/>
        </w:rPr>
        <w:footnoteReference w:id="226"/>
      </w:r>
      <w:r>
        <w:t xml:space="preserve"> On Locke’s labor theory, which conditioned property in land on cultivation and enclosure, a forager’s range would generate no title, while an early farmer’s cleared plot would.</w:t>
      </w:r>
      <w:r>
        <w:rPr>
          <w:rStyle w:val="FootnoteReference"/>
          <w:color w:val="000000" w:themeColor="text1"/>
        </w:rPr>
        <w:footnoteReference w:id="227"/>
      </w:r>
      <w:r>
        <w:t xml:space="preserve"> These incipient ideas of ownership shifted the object of dispute: what a forager could contest was a share of a diffuse and ambiguous take, while what a farmer’s neighbor could contest was a bounded plot, a stored crop, or a domesticated animal.</w:t>
      </w:r>
      <w:bookmarkStart w:id="27" w:name="_Ref214117625"/>
      <w:r>
        <w:rPr>
          <w:rStyle w:val="FootnoteReference"/>
          <w:color w:val="000000" w:themeColor="text1"/>
        </w:rPr>
        <w:footnoteReference w:id="228"/>
      </w:r>
      <w:bookmarkEnd w:id="27"/>
      <w:r>
        <w:t xml:space="preserve"> </w:t>
      </w:r>
    </w:p>
    <w:p w14:paraId="2586023F" w14:textId="2922DF00" w:rsidR="00D565B6" w:rsidRPr="00A9375B" w:rsidRDefault="007D039A" w:rsidP="003D74D8">
      <w:pPr>
        <w:pStyle w:val="BodyTextFirstIndent"/>
        <w:spacing w:line="480" w:lineRule="auto"/>
        <w:jc w:val="both"/>
      </w:pPr>
      <w:r>
        <w:lastRenderedPageBreak/>
        <w:t>Once these agricultural settlements expanded into cities and empires, formal adjudicative systems emerged and eventually ossified, falling behind the societies they governed in the way institutions generally do.</w:t>
      </w:r>
      <w:r>
        <w:rPr>
          <w:rStyle w:val="FootnoteReference"/>
          <w:color w:val="000000" w:themeColor="text1"/>
        </w:rPr>
        <w:footnoteReference w:id="229"/>
      </w:r>
      <w:r>
        <w:t xml:space="preserve"> But the royal courts never displaced the older venues. City assemblies, </w:t>
      </w:r>
      <w:r>
        <w:lastRenderedPageBreak/>
        <w:t xml:space="preserve">councils of elders, and merchant </w:t>
      </w:r>
      <w:proofErr w:type="spellStart"/>
      <w:r>
        <w:t>kāra</w:t>
      </w:r>
      <w:proofErr w:type="spellEnd"/>
      <w:r>
        <w:t xml:space="preserve"> continued to decide cases alongside them, sometimes in mixed panels, offering disputants a choice of where to bring their dispute after testing it.</w:t>
      </w:r>
      <w:r>
        <w:rPr>
          <w:rStyle w:val="FootnoteReference"/>
          <w:color w:val="000000" w:themeColor="text1"/>
        </w:rPr>
        <w:footnoteReference w:id="230"/>
      </w:r>
      <w:r>
        <w:t xml:space="preserve"> What is remarkable about these societies’ earliest experiments in dispute resolution is how effectively they sorted strong claims to the formal system and weak claims to the informal system. While the formal system afforded a disputant fuller relief, societal costs that stood as an entry fee to the formal system—Quality Control Mechanisms (QCMs)—prevented every injured party from inundating the court. QCMs were the process by which would-be litigants tested the strength of their claims—not out of sheer kindness but out of compulsion. Were disputants to enter the formal system with weak, baseless claims, substantial personal costs would punish them for wasting the formal system’s time. Many societies used the term “oath” for their respective QCM, but the concept reaches past a bare sworn affirmation to a supreme deity to a broader spectrum of secular mechanisms designed to force a potential litigant to internalize the existential costs of advancing </w:t>
      </w:r>
      <w:r>
        <w:lastRenderedPageBreak/>
        <w:t>a weak claim.</w:t>
      </w:r>
      <w:r>
        <w:rPr>
          <w:rStyle w:val="FootnoteReference"/>
          <w:color w:val="000000" w:themeColor="text1"/>
        </w:rPr>
        <w:footnoteReference w:id="231"/>
      </w:r>
      <w:r>
        <w:t xml:space="preserve"> Where the QCM took the form of an oath invoking misfortune, it signaled a disputant was “therefore </w:t>
      </w:r>
      <w:proofErr w:type="spellStart"/>
      <w:r>
        <w:t>tak</w:t>
      </w:r>
      <w:proofErr w:type="spellEnd"/>
      <w:r>
        <w:t>[</w:t>
      </w:r>
      <w:proofErr w:type="spellStart"/>
      <w:r>
        <w:t>ing</w:t>
      </w:r>
      <w:proofErr w:type="spellEnd"/>
      <w:r>
        <w:t>] a costly risk, thereby honestly communicating one’s desire to obtain a given verdict.”</w:t>
      </w:r>
      <w:r>
        <w:rPr>
          <w:rStyle w:val="FootnoteReference"/>
          <w:color w:val="000000" w:themeColor="text1"/>
        </w:rPr>
        <w:footnoteReference w:id="232"/>
      </w:r>
      <w:r>
        <w:t xml:space="preserve"> When claims that could only be resolved in the formal system (such as the </w:t>
      </w:r>
      <w:proofErr w:type="spellStart"/>
      <w:r>
        <w:rPr>
          <w:i/>
        </w:rPr>
        <w:t>Skrmetti</w:t>
      </w:r>
      <w:proofErr w:type="spellEnd"/>
      <w:r>
        <w:t xml:space="preserve"> case) appeared weak after disputants tested them, they sought ways to improve their facts, law, and case strategy. QCMs were so integrated into everyday life that even when the formal adjudicative system absorbed, supplanted, or relegated the informal system, thereby removing the forum for weak claims, the disputants’ underlying philosophy of confirming the merit of claims before filing endured. </w:t>
      </w:r>
    </w:p>
    <w:p w14:paraId="2110DE71" w14:textId="77777777" w:rsidR="0032068A" w:rsidRPr="00A9375B" w:rsidRDefault="00C048A0" w:rsidP="003D74D8">
      <w:pPr>
        <w:pStyle w:val="BodyTextFirstIndent"/>
        <w:spacing w:line="480" w:lineRule="auto"/>
        <w:jc w:val="both"/>
      </w:pPr>
      <w:r>
        <w:t xml:space="preserve">Ancient Near Eastern dispute processing was oath-gated and community-embedded. Disputes were resolved across a plurality of venues: elders’ councils, guilds and </w:t>
      </w:r>
      <w:proofErr w:type="spellStart"/>
      <w:r>
        <w:t>kāra</w:t>
      </w:r>
      <w:proofErr w:type="spellEnd"/>
      <w:r>
        <w:t>, temple bodies, and kin groups.</w:t>
      </w:r>
      <w:r>
        <w:rPr>
          <w:rStyle w:val="FootnoteReference"/>
          <w:color w:val="000000" w:themeColor="text1"/>
        </w:rPr>
        <w:footnoteReference w:id="233"/>
      </w:r>
      <w:bookmarkStart w:id="28" w:name="_Ref214118354"/>
      <w:r>
        <w:t xml:space="preserve"> </w:t>
      </w:r>
      <w:bookmarkEnd w:id="28"/>
      <w:r>
        <w:t xml:space="preserve">The oath separated the two parallel forums and was so feared that the mere prospect </w:t>
      </w:r>
      <w:r>
        <w:lastRenderedPageBreak/>
        <w:t>of swearing it was sometimes enough to induce the parties to reach a compromise.</w:t>
      </w:r>
      <w:r>
        <w:rPr>
          <w:rStyle w:val="FootnoteReference"/>
          <w:color w:val="000000" w:themeColor="text1"/>
        </w:rPr>
        <w:footnoteReference w:id="234"/>
      </w:r>
      <w:r>
        <w:t xml:space="preserve"> In testing the strength of their claims, parties came first to the </w:t>
      </w:r>
      <w:proofErr w:type="spellStart"/>
      <w:r>
        <w:t>kārum’s</w:t>
      </w:r>
      <w:proofErr w:type="spellEnd"/>
      <w:r>
        <w:t xml:space="preserve"> senior members: under the Old Assyrian Statutes, “the ‘big’ members of the </w:t>
      </w:r>
      <w:proofErr w:type="spellStart"/>
      <w:r>
        <w:t>kàrum</w:t>
      </w:r>
      <w:proofErr w:type="spellEnd"/>
      <w:r>
        <w:t xml:space="preserve"> had to evaluate a case to decide whether it warranted the convening of the plenary </w:t>
      </w:r>
      <w:proofErr w:type="spellStart"/>
      <w:r>
        <w:t>kàrum</w:t>
      </w:r>
      <w:proofErr w:type="spellEnd"/>
      <w:r>
        <w:t>.”</w:t>
      </w:r>
      <w:r>
        <w:rPr>
          <w:rStyle w:val="FootnoteReference"/>
        </w:rPr>
        <w:footnoteReference w:id="235"/>
      </w:r>
      <w:r>
        <w:t xml:space="preserve"> The oath succeeded in Ancient Near Eastern societies because invoking a god’s name was understood to pronounce a conditional self-curse on the speaker, in a world where law itself was taken to be “the expression of divine and errorless </w:t>
      </w:r>
      <w:r>
        <w:lastRenderedPageBreak/>
        <w:t>wisdom.”</w:t>
      </w:r>
      <w:r>
        <w:rPr>
          <w:rStyle w:val="FootnoteReference"/>
          <w:color w:val="000000" w:themeColor="text1"/>
        </w:rPr>
        <w:footnoteReference w:id="236"/>
      </w:r>
      <w:r>
        <w:t xml:space="preserve"> The oath was a sacred, obligatory force: swearing falsely to support a baseless claim invited divine retribution and, if the falsehood was later uncovered, punishment by the court.</w:t>
      </w:r>
      <w:r>
        <w:rPr>
          <w:rStyle w:val="FootnoteReference"/>
        </w:rPr>
        <w:footnoteReference w:id="237"/>
      </w:r>
      <w:r>
        <w:t xml:space="preserve"> Yet the presence of the divine in Ancient Near Eastern QCMs does not make their legal systems “primitive.” Religion coexisted with abstract legal reasoning, as evidenced by the law codes’ use of similar and dissimilar cases to demonstrate a rule’s application and by rules written broadly enough to cover facts not yet encountered.</w:t>
      </w:r>
      <w:r>
        <w:rPr>
          <w:rStyle w:val="FootnoteReference"/>
          <w:color w:val="000000" w:themeColor="text1"/>
        </w:rPr>
        <w:footnoteReference w:id="238"/>
      </w:r>
      <w:r>
        <w:t xml:space="preserve"> </w:t>
      </w:r>
    </w:p>
    <w:p w14:paraId="1F324754" w14:textId="77777777" w:rsidR="00D86FE8" w:rsidRPr="00A9375B" w:rsidRDefault="009F2336" w:rsidP="003D74D8">
      <w:pPr>
        <w:pStyle w:val="BodyTextFirstIndent"/>
        <w:spacing w:line="480" w:lineRule="auto"/>
        <w:jc w:val="both"/>
      </w:pPr>
      <w:r>
        <w:lastRenderedPageBreak/>
        <w:t>The impulse to blame another when wronged existed then as it does today, and the fears that animate that impulse are familiar.</w:t>
      </w:r>
      <w:r>
        <w:rPr>
          <w:rStyle w:val="FootnoteReference"/>
        </w:rPr>
        <w:footnoteReference w:id="239"/>
      </w:r>
      <w:r>
        <w:t xml:space="preserve"> But the oath attached a cost to anyone unwilling to swear to what they had asserted, as “LU §a3 (/29) provide[d] that a witness who </w:t>
      </w:r>
      <w:proofErr w:type="spellStart"/>
      <w:r>
        <w:t>testifie</w:t>
      </w:r>
      <w:proofErr w:type="spellEnd"/>
      <w:r>
        <w:t>[d] but then refuse[d] to take the oath must pay the compensation at issue in the case.”</w:t>
      </w:r>
      <w:r>
        <w:rPr>
          <w:rStyle w:val="FootnoteReference"/>
          <w:color w:val="000000" w:themeColor="text1"/>
        </w:rPr>
        <w:footnoteReference w:id="240"/>
      </w:r>
      <w:r>
        <w:t xml:space="preserve"> By approaching a tribunal that derived its authority from the gods, litigants understood that a false oath was not merely a social risk but an offense against the god in whose name it was sworn.</w:t>
      </w:r>
      <w:r>
        <w:rPr>
          <w:rStyle w:val="FootnoteReference"/>
          <w:color w:val="000000" w:themeColor="text1"/>
        </w:rPr>
        <w:footnoteReference w:id="241"/>
      </w:r>
      <w:r>
        <w:t xml:space="preserve"> The court’s power to send a party to the oath “was a measure by which the court could test the truthfulness of the claims and also give the parties an opportunity to settle.”</w:t>
      </w:r>
      <w:r>
        <w:rPr>
          <w:rStyle w:val="FootnoteReference"/>
        </w:rPr>
        <w:footnoteReference w:id="242"/>
      </w:r>
      <w:r>
        <w:t xml:space="preserve"> The oath and the disputes centered on it show how formal forums, QCMs, and informal forums operated in tandem. I have represented this dynamic below:</w:t>
      </w:r>
    </w:p>
    <w:p w14:paraId="66E736C8" w14:textId="77777777" w:rsidR="000E3EAB" w:rsidRDefault="000E3EAB" w:rsidP="003D74D8">
      <w:pPr>
        <w:pStyle w:val="BodyTextFirstIndent"/>
        <w:spacing w:line="480" w:lineRule="auto"/>
        <w:ind w:firstLine="0"/>
        <w:jc w:val="both"/>
      </w:pPr>
      <w:r>
        <w:rPr>
          <w:noProof/>
          <w:color w:val="000000"/>
          <w:bdr w:val="none" w:sz="0" w:space="0" w:color="auto" w:frame="1"/>
        </w:rPr>
        <w:lastRenderedPageBreak/>
        <w:drawing>
          <wp:inline distT="0" distB="0" distL="0" distR="0" wp14:anchorId="6A1090E8" wp14:editId="18941622">
            <wp:extent cx="5942463" cy="2698230"/>
            <wp:effectExtent l="0" t="0" r="1270" b="0"/>
            <wp:docPr id="246764958" name="Picture 7"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4958" name="Picture 7" descr="A diagram of a system  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t="5793" b="10759"/>
                    <a:stretch/>
                  </pic:blipFill>
                  <pic:spPr bwMode="auto">
                    <a:xfrm>
                      <a:off x="0" y="0"/>
                      <a:ext cx="5942463" cy="2698230"/>
                    </a:xfrm>
                    <a:prstGeom prst="rect">
                      <a:avLst/>
                    </a:prstGeom>
                    <a:noFill/>
                    <a:ln>
                      <a:noFill/>
                    </a:ln>
                    <a:extLst>
                      <a:ext uri="{53640926-AAD7-44D8-BBD7-CCE9431645EC}">
                        <a14:shadowObscured xmlns:a14="http://schemas.microsoft.com/office/drawing/2010/main"/>
                      </a:ext>
                    </a:extLst>
                  </pic:spPr>
                </pic:pic>
              </a:graphicData>
            </a:graphic>
          </wp:inline>
        </w:drawing>
      </w:r>
    </w:p>
    <w:p w14:paraId="4F2D8B9E" w14:textId="77777777" w:rsidR="009D7D6D" w:rsidRPr="00A9375B" w:rsidRDefault="009D7D6D" w:rsidP="003D74D8">
      <w:pPr>
        <w:pStyle w:val="BodyTextFirstIndent"/>
        <w:spacing w:line="480" w:lineRule="auto"/>
        <w:ind w:firstLine="0"/>
        <w:jc w:val="both"/>
      </w:pPr>
      <w:r>
        <w:rPr>
          <w:rStyle w:val="FootnoteReference"/>
          <w:color w:val="000000" w:themeColor="text1"/>
        </w:rPr>
        <w:footnoteReference w:id="243"/>
      </w:r>
    </w:p>
    <w:p w14:paraId="21521AFF" w14:textId="77777777" w:rsidR="00655A0D" w:rsidRPr="00A9375B" w:rsidRDefault="003E09AC" w:rsidP="003D74D8">
      <w:pPr>
        <w:pStyle w:val="BodyTextFirstIndent"/>
        <w:spacing w:line="480" w:lineRule="auto"/>
        <w:jc w:val="both"/>
      </w:pPr>
      <w:r>
        <w:t>A hypothetical will illustrate how the oath operated in practice. The characters and events are fictional; the historical records behind them are not. The setting is Mesopotamia circa 1800 BCE, in the city of Larsa.</w:t>
      </w:r>
      <w:r>
        <w:rPr>
          <w:rStyle w:val="FootnoteReference"/>
          <w:color w:val="000000" w:themeColor="text1"/>
        </w:rPr>
        <w:footnoteReference w:id="244"/>
      </w:r>
      <w:r>
        <w:t xml:space="preserve"> A farmer named Shamash-</w:t>
      </w:r>
      <w:proofErr w:type="spellStart"/>
      <w:r>
        <w:t>iddin</w:t>
      </w:r>
      <w:proofErr w:type="spellEnd"/>
      <w:r>
        <w:t xml:space="preserve"> and his family believed their neighbor </w:t>
      </w:r>
      <w:proofErr w:type="spellStart"/>
      <w:r>
        <w:t>Warad</w:t>
      </w:r>
      <w:proofErr w:type="spellEnd"/>
      <w:r>
        <w:t>-Sin had diverted irrigation water from the shared canal, leaving Shamash-</w:t>
      </w:r>
      <w:proofErr w:type="spellStart"/>
      <w:r>
        <w:t>iddin’s</w:t>
      </w:r>
      <w:proofErr w:type="spellEnd"/>
      <w:r>
        <w:t xml:space="preserve"> barley </w:t>
      </w:r>
      <w:r>
        <w:lastRenderedPageBreak/>
        <w:t>fields to wither.</w:t>
      </w:r>
      <w:r>
        <w:rPr>
          <w:rStyle w:val="FootnoteReference"/>
          <w:color w:val="000000" w:themeColor="text1"/>
        </w:rPr>
        <w:footnoteReference w:id="245"/>
      </w:r>
      <w:r>
        <w:t xml:space="preserve"> Before Shamash-</w:t>
      </w:r>
      <w:proofErr w:type="spellStart"/>
      <w:r>
        <w:t>iddin</w:t>
      </w:r>
      <w:proofErr w:type="spellEnd"/>
      <w:r>
        <w:t xml:space="preserve"> would even consider bringing a formal claim before the assembly</w:t>
      </w:r>
      <w:r>
        <w:rPr>
          <w:rStyle w:val="FootnoteReference"/>
          <w:color w:val="000000" w:themeColor="text1"/>
        </w:rPr>
        <w:footnoteReference w:id="246"/>
      </w:r>
      <w:r>
        <w:t>—a process requiring a sworn oath before the gods with the risk of divine punishment for baseless claims—he would first test the strength of his claim by presenting his grievance to the neighborhood council of elders.</w:t>
      </w:r>
      <w:r>
        <w:rPr>
          <w:rStyle w:val="FootnoteReference"/>
          <w:color w:val="000000" w:themeColor="text1"/>
        </w:rPr>
        <w:footnoteReference w:id="247"/>
      </w:r>
      <w:r>
        <w:t xml:space="preserve"> Shamash-</w:t>
      </w:r>
      <w:proofErr w:type="spellStart"/>
      <w:r>
        <w:t>iddin</w:t>
      </w:r>
      <w:proofErr w:type="spellEnd"/>
      <w:r>
        <w:t xml:space="preserve"> was confident that someone had intentionally diverted the water because levels remained too low this late into the season. Yet his theory fell apart once presented to the council.</w:t>
      </w:r>
      <w:r>
        <w:rPr>
          <w:rStyle w:val="FootnoteReference"/>
          <w:color w:val="000000" w:themeColor="text1"/>
        </w:rPr>
        <w:footnoteReference w:id="248"/>
      </w:r>
      <w:r>
        <w:t xml:space="preserve"> One of these elders owned adjacent fields and benefited from the same canal, another was </w:t>
      </w:r>
      <w:proofErr w:type="spellStart"/>
      <w:r>
        <w:t>Warad</w:t>
      </w:r>
      <w:proofErr w:type="spellEnd"/>
      <w:r>
        <w:t xml:space="preserve">-Sin’s cousin, and a third had previously disputed a </w:t>
      </w:r>
      <w:r>
        <w:lastRenderedPageBreak/>
        <w:t>property boundary with Shamash-</w:t>
      </w:r>
      <w:proofErr w:type="spellStart"/>
      <w:r>
        <w:t>iddin</w:t>
      </w:r>
      <w:proofErr w:type="spellEnd"/>
      <w:r>
        <w:t>.</w:t>
      </w:r>
      <w:r>
        <w:rPr>
          <w:rStyle w:val="FootnoteReference"/>
          <w:color w:val="000000" w:themeColor="text1"/>
        </w:rPr>
        <w:footnoteReference w:id="249"/>
      </w:r>
      <w:r>
        <w:t xml:space="preserve"> The cousin challenged the timeline, the adjacent landowner noted that all farmers faced low water this season, and the rival asked why, if </w:t>
      </w:r>
      <w:proofErr w:type="spellStart"/>
      <w:r>
        <w:t>Warad</w:t>
      </w:r>
      <w:proofErr w:type="spellEnd"/>
      <w:r>
        <w:t>-Sin was stealing water, his own barley looked equally parched.</w:t>
      </w:r>
      <w:r>
        <w:rPr>
          <w:rStyle w:val="FootnoteReference"/>
          <w:color w:val="000000" w:themeColor="text1"/>
        </w:rPr>
        <w:footnoteReference w:id="250"/>
      </w:r>
      <w:r>
        <w:t xml:space="preserve"> Confronted with these challenges, Shamash-</w:t>
      </w:r>
      <w:proofErr w:type="spellStart"/>
      <w:r>
        <w:t>iddin</w:t>
      </w:r>
      <w:proofErr w:type="spellEnd"/>
      <w:r>
        <w:t xml:space="preserve"> conceded that his claim was baseless and never brought it.</w:t>
      </w:r>
      <w:r>
        <w:rPr>
          <w:rStyle w:val="FootnoteReference"/>
          <w:color w:val="000000" w:themeColor="text1"/>
        </w:rPr>
        <w:footnoteReference w:id="251"/>
      </w:r>
      <w:r>
        <w:t xml:space="preserve"> </w:t>
      </w:r>
    </w:p>
    <w:p w14:paraId="65E26002" w14:textId="77777777" w:rsidR="006E1CB3" w:rsidRPr="00A9375B" w:rsidRDefault="009017D7" w:rsidP="003D74D8">
      <w:pPr>
        <w:pStyle w:val="BodyTextFirstIndent"/>
        <w:spacing w:line="480" w:lineRule="auto"/>
        <w:jc w:val="both"/>
      </w:pPr>
      <w:r>
        <w:t>Before the QCM (the oath) compelled Shamash-</w:t>
      </w:r>
      <w:proofErr w:type="spellStart"/>
      <w:r>
        <w:t>iddin</w:t>
      </w:r>
      <w:proofErr w:type="spellEnd"/>
      <w:r>
        <w:t xml:space="preserve"> to test the strength of his claim, his Deliberative Body—himself and his household—naturally concurred in his judgment that his neighbor was at fault. They shared an interest in the dispute, and therefore shared the instinct to </w:t>
      </w:r>
      <w:proofErr w:type="spellStart"/>
      <w:r>
        <w:t>overcredit</w:t>
      </w:r>
      <w:proofErr w:type="spellEnd"/>
      <w:r>
        <w:t xml:space="preserve"> evidence favoring their position. Shamash-</w:t>
      </w:r>
      <w:proofErr w:type="spellStart"/>
      <w:r>
        <w:t>iddin</w:t>
      </w:r>
      <w:proofErr w:type="spellEnd"/>
      <w:r>
        <w:t xml:space="preserve"> understood his claim was not worthy of an oath only when he broke this cohesion by drawing on competing interests, personal histories, and social positions. This practice of testing one’s claim before using the formal system has parallels across human history. As Fernanda Pirie writes, “the variety of the world’s legal </w:t>
      </w:r>
      <w:r>
        <w:lastRenderedPageBreak/>
        <w:t>processes is almost as great as the variety of its societies,” and yet “for all the differences in their laws, in premodern societies people everywhere came up with similar solutions” to solving the problem of baseless litigation. While “oaths and ordeals might seem exotic to us now, even barbaric,” premodern societies the world over used oaths, or oath-adjacent QCMs, to save courts and clients from weak, untested claims.</w:t>
      </w:r>
      <w:r>
        <w:rPr>
          <w:rStyle w:val="FootnoteReference"/>
          <w:color w:val="000000" w:themeColor="text1"/>
        </w:rPr>
        <w:footnoteReference w:id="252"/>
      </w:r>
    </w:p>
    <w:p w14:paraId="388A0F7C" w14:textId="77777777" w:rsidR="00EF2121" w:rsidRPr="00A9375B" w:rsidRDefault="007F2B28" w:rsidP="003D74D8">
      <w:pPr>
        <w:pStyle w:val="BodyTextFirstIndent"/>
        <w:spacing w:line="480" w:lineRule="auto"/>
        <w:jc w:val="both"/>
      </w:pPr>
      <w:r>
        <w:t>Before the rise of the Athenian state, villagers brought disputes to whichever local judge both sides would accept—a bilateral choice that tended to keep the baseless claimant out, since “[a] man who stole a cow with no justification . . . would probably be dealt with outside the judicial system.”</w:t>
      </w:r>
      <w:r>
        <w:rPr>
          <w:rStyle w:val="FootnoteReference"/>
          <w:color w:val="000000" w:themeColor="text1"/>
        </w:rPr>
        <w:footnoteReference w:id="253"/>
      </w:r>
      <w:r>
        <w:t xml:space="preserve"> Athens folded arbitration into the formal sequence itself: every private suit under the Forty’s jurisdiction worth more than ten drachmas had to go first to an allotted public arbitrator, who collected the evidence and heard the arguments—work “designed to streamline the judicial system” by “relieving magistrates of these tasks”—and tried to reconcile the parties before giving a decision.</w:t>
      </w:r>
      <w:r>
        <w:rPr>
          <w:rStyle w:val="FootnoteReference"/>
          <w:color w:val="000000" w:themeColor="text1"/>
        </w:rPr>
        <w:footnoteReference w:id="254"/>
      </w:r>
      <w:r>
        <w:t xml:space="preserve"> As Zane put it, “[t]he attempt to avoid the courts by means of an arbitration was to the Greeks a method of escaping not from the law, but from the trammels of legal procedure.”</w:t>
      </w:r>
      <w:r>
        <w:rPr>
          <w:rStyle w:val="FootnoteReference"/>
          <w:color w:val="000000" w:themeColor="text1"/>
        </w:rPr>
        <w:footnoteReference w:id="255"/>
      </w:r>
      <w:r>
        <w:t xml:space="preserve"> What kept obviously baseless claims out was not the court’s own machinery but the social fact </w:t>
      </w:r>
      <w:r>
        <w:lastRenderedPageBreak/>
        <w:t>that, in Gagarin’s phrase, “an utter scoundrel will simply avoid the system.”</w:t>
      </w:r>
      <w:r>
        <w:rPr>
          <w:rStyle w:val="FootnoteReference"/>
          <w:color w:val="000000" w:themeColor="text1"/>
        </w:rPr>
        <w:footnoteReference w:id="256"/>
      </w:r>
      <w:r>
        <w:t xml:space="preserve"> Whereas oaths thrived in the Ancient Near East because of piety, the Greeks’ high regard for truthful character made litigants test the strength of their claims before filing. Otherwise, in most public suits, a prosecutor who “dropped his suit or failed to win at least one-fifth of the jurors’ votes at trial” faced “a severe penalty”: a 1,000-drachma fine and a bar on bringing similar suits, or any public charges, in the future.</w:t>
      </w:r>
      <w:r>
        <w:rPr>
          <w:rStyle w:val="FootnoteReference"/>
        </w:rPr>
        <w:footnoteReference w:id="257"/>
      </w:r>
      <w:r>
        <w:t xml:space="preserve"> If litigants passed up ADR for their day in court, Athenian law reached false testimony broadly—“[a]</w:t>
      </w:r>
      <w:proofErr w:type="spellStart"/>
      <w:r>
        <w:t>ny</w:t>
      </w:r>
      <w:proofErr w:type="spellEnd"/>
      <w:r>
        <w:t xml:space="preserve"> kind of evidence . . . could be attacked”—and could punish it severely, with three convictions entailing “a complete loss of civic rights.”</w:t>
      </w:r>
      <w:r>
        <w:rPr>
          <w:rStyle w:val="FootnoteReference"/>
          <w:color w:val="000000" w:themeColor="text1"/>
        </w:rPr>
        <w:footnoteReference w:id="258"/>
      </w:r>
      <w:r>
        <w:t xml:space="preserve"> What primarily compelled scrutiny, however, were the extra-statutory norms surrounding individual character, which bore most directly on what a man was willing to swear to. In Athens the “oath” was the relentless cultural emphasis on individual character enforced through the courts, whose speeches publicized a litigant’s past misconduct and exposed him to informal social sanction.</w:t>
      </w:r>
      <w:r>
        <w:rPr>
          <w:rStyle w:val="FootnoteReference"/>
          <w:color w:val="000000" w:themeColor="text1"/>
        </w:rPr>
        <w:footnoteReference w:id="259"/>
      </w:r>
      <w:r>
        <w:t xml:space="preserve"> As </w:t>
      </w:r>
      <w:proofErr w:type="spellStart"/>
      <w:r>
        <w:t>Adriaan</w:t>
      </w:r>
      <w:proofErr w:type="spellEnd"/>
      <w:r>
        <w:t xml:space="preserve"> </w:t>
      </w:r>
      <w:proofErr w:type="spellStart"/>
      <w:r>
        <w:t>Lanni</w:t>
      </w:r>
      <w:proofErr w:type="spellEnd"/>
      <w:r>
        <w:t xml:space="preserve"> observes, because “a litigant’s conduct over the course of his entire life was deemed relevant </w:t>
      </w:r>
      <w:r>
        <w:lastRenderedPageBreak/>
        <w:t>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point in their lives.</w:t>
      </w:r>
      <w:r>
        <w:rPr>
          <w:rStyle w:val="FootnoteReference"/>
          <w:color w:val="000000" w:themeColor="text1"/>
        </w:rPr>
        <w:footnoteReference w:id="260"/>
      </w:r>
      <w:r>
        <w:t xml:space="preserve"> This system “gave litigants incentives to investigate their opponents and uncover any past violations of statutory or </w:t>
      </w:r>
      <w:proofErr w:type="spellStart"/>
      <w:r>
        <w:t>extrastatutory</w:t>
      </w:r>
      <w:proofErr w:type="spellEnd"/>
      <w:r>
        <w:t xml:space="preserve">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t>
      </w:r>
      <w:r>
        <w:rPr>
          <w:rStyle w:val="FootnoteReference"/>
          <w:color w:val="000000" w:themeColor="text1"/>
        </w:rPr>
        <w:footnoteReference w:id="261"/>
      </w:r>
      <w:r>
        <w:t xml:space="preserve"> The “oath” thus had no connection to the divine in Athens; it was a proxy for total reputational risk, because the adjudicative process declined to sever the legal claim from the moral standing of the claimant. The poet Hesiod, for example, wrote, “whoever willingly lies in witness swearing falsely, causing harm to justice . . . the family of that man from thereon will become obscured; but the family of the man who swears truly from thereon will be better.”</w:t>
      </w:r>
      <w:r>
        <w:rPr>
          <w:rStyle w:val="FootnoteReference"/>
          <w:color w:val="000000" w:themeColor="text1"/>
        </w:rPr>
        <w:footnoteReference w:id="262"/>
      </w:r>
      <w:r>
        <w:t xml:space="preserve"> Character was also dramatized in epic, such as when </w:t>
      </w:r>
      <w:proofErr w:type="spellStart"/>
      <w:r>
        <w:t>Menelaos</w:t>
      </w:r>
      <w:proofErr w:type="spellEnd"/>
      <w:r>
        <w:t xml:space="preserve"> challenged </w:t>
      </w:r>
      <w:proofErr w:type="spellStart"/>
      <w:r>
        <w:t>Antilochos</w:t>
      </w:r>
      <w:proofErr w:type="spellEnd"/>
      <w:r>
        <w:t xml:space="preserve"> to swear by Poseidon that he had not fouled his chariot through cunning:</w:t>
      </w:r>
    </w:p>
    <w:p w14:paraId="2380CAF6" w14:textId="77777777" w:rsidR="00EF2121" w:rsidRPr="00A9375B" w:rsidRDefault="00516BF8" w:rsidP="003D74D8">
      <w:pPr>
        <w:pStyle w:val="BodyTextFirstIndent2"/>
        <w:spacing w:line="480" w:lineRule="auto"/>
        <w:ind w:left="720" w:right="720" w:firstLine="0"/>
        <w:jc w:val="both"/>
      </w:pPr>
      <w:r>
        <w:t>“</w:t>
      </w:r>
      <w:proofErr w:type="spellStart"/>
      <w:r>
        <w:t>Antilochos</w:t>
      </w:r>
      <w:proofErr w:type="spellEnd"/>
      <w:r>
        <w:t xml:space="preserve"> freely admitted that he was in the wrong. What is crucial to note is that he did not take the oath. The oath served as a practice which ensured the honesty </w:t>
      </w:r>
      <w:r>
        <w:lastRenderedPageBreak/>
        <w:t xml:space="preserve">of the disputants, and the challenge itself was a means to resolve conflict. . . . </w:t>
      </w:r>
      <w:proofErr w:type="spellStart"/>
      <w:r>
        <w:t>Antilochos</w:t>
      </w:r>
      <w:proofErr w:type="spellEnd"/>
      <w:r>
        <w:t>, however, could not take the oath because of his guilt, and the community’s standards enforced the need for the truth.”</w:t>
      </w:r>
      <w:bookmarkStart w:id="29" w:name="_Ref222161392"/>
      <w:r>
        <w:rPr>
          <w:rStyle w:val="FootnoteReference"/>
          <w:color w:val="000000" w:themeColor="text1"/>
        </w:rPr>
        <w:footnoteReference w:id="263"/>
      </w:r>
      <w:bookmarkEnd w:id="29"/>
    </w:p>
    <w:p w14:paraId="1EF6FAB6" w14:textId="3E3DED63" w:rsidR="00E53439" w:rsidRPr="00A9375B" w:rsidRDefault="00D460D6" w:rsidP="003D74D8">
      <w:pPr>
        <w:spacing w:line="480" w:lineRule="auto"/>
        <w:ind w:firstLine="360"/>
        <w:jc w:val="both"/>
      </w:pPr>
      <w:r>
        <w:t xml:space="preserve">This story complements another. </w:t>
      </w:r>
      <w:proofErr w:type="spellStart"/>
      <w:r>
        <w:t>Phrynion</w:t>
      </w:r>
      <w:proofErr w:type="spellEnd"/>
      <w:r>
        <w:t xml:space="preserve">, “in the face of a </w:t>
      </w:r>
      <w:proofErr w:type="spellStart"/>
      <w:r>
        <w:t>realisation</w:t>
      </w:r>
      <w:proofErr w:type="spellEnd"/>
      <w:r>
        <w:t xml:space="preserve"> that his claims that she was his slave were weak, . . . used arbitration to get at least something out of Stephanos,”</w:t>
      </w:r>
      <w:r>
        <w:rPr>
          <w:rStyle w:val="FootnoteReference"/>
        </w:rPr>
        <w:footnoteReference w:id="264"/>
      </w:r>
      <w:r>
        <w:t xml:space="preserve"> deterred by the formal tier’s binary structure that precluded compromise, oaths that risked branding him a perjurer, and financial penalties designed to “make someone hesitate” before obstructing justice.</w:t>
      </w:r>
      <w:r>
        <w:rPr>
          <w:rStyle w:val="FootnoteReference"/>
        </w:rPr>
        <w:footnoteReference w:id="265"/>
      </w:r>
      <w:r>
        <w:t xml:space="preserve"> Both excerpts illustrate how Greek disputants, after testing the strength of their claims, either proceeded to the formal adjudicative system when they possessed “clear evidence to communicate their own legitimacy” or turned to alternative forums, since the formal system’s own economics worked “by suppressing frivolous cases grounded on weak evidentiary standards.”</w:t>
      </w:r>
      <w:r>
        <w:rPr>
          <w:rStyle w:val="FootnoteReference"/>
        </w:rPr>
        <w:footnoteReference w:id="266"/>
      </w:r>
      <w:r>
        <w:t xml:space="preserve"> But even beyond evidentiary standards, some matters were not arbitrable at all: the rationale of a </w:t>
      </w:r>
      <w:r>
        <w:lastRenderedPageBreak/>
        <w:t xml:space="preserve">public action like the </w:t>
      </w:r>
      <w:proofErr w:type="spellStart"/>
      <w:r>
        <w:t>graphē</w:t>
      </w:r>
      <w:proofErr w:type="spellEnd"/>
      <w:r>
        <w:t xml:space="preserve"> </w:t>
      </w:r>
      <w:proofErr w:type="spellStart"/>
      <w:r>
        <w:t>paranomōn</w:t>
      </w:r>
      <w:proofErr w:type="spellEnd"/>
      <w:r>
        <w:t xml:space="preserve"> was, in </w:t>
      </w:r>
      <w:proofErr w:type="spellStart"/>
      <w:r>
        <w:t>Esu’s</w:t>
      </w:r>
      <w:proofErr w:type="spellEnd"/>
      <w:r>
        <w:t xml:space="preserve"> words, “diametrically opposite to that of the arbitration procedure.”</w:t>
      </w:r>
      <w:r>
        <w:rPr>
          <w:rStyle w:val="FootnoteReference"/>
        </w:rPr>
        <w:footnoteReference w:id="267"/>
      </w:r>
    </w:p>
    <w:p w14:paraId="03FCEC91" w14:textId="77777777" w:rsidR="00C048A0" w:rsidRPr="00A9375B" w:rsidRDefault="0045099D" w:rsidP="003D74D8">
      <w:pPr>
        <w:spacing w:line="480" w:lineRule="auto"/>
        <w:ind w:firstLine="360"/>
        <w:jc w:val="both"/>
      </w:pPr>
      <w:r>
        <w:t>Ancient Greece outlawed professional counsel, so would-be litigants could turn for advice to their fellow citizens, who were frequently knowledgeable about law.</w:t>
      </w:r>
      <w:r>
        <w:rPr>
          <w:rStyle w:val="FootnoteReference"/>
        </w:rPr>
        <w:footnoteReference w:id="268"/>
      </w:r>
      <w:r>
        <w:t xml:space="preserve"> When, for example, Demosthenes “was about to bring a private action for mismanaging his estate against </w:t>
      </w:r>
      <w:proofErr w:type="spellStart"/>
      <w:r>
        <w:t>Aphobus</w:t>
      </w:r>
      <w:proofErr w:type="spellEnd"/>
      <w:r>
        <w:t xml:space="preserve">,” it was </w:t>
      </w:r>
      <w:proofErr w:type="spellStart"/>
      <w:r>
        <w:t>Aphobus</w:t>
      </w:r>
      <w:proofErr w:type="spellEnd"/>
      <w:r>
        <w:t xml:space="preserve"> who “convinced him to submit the case to three arbitrators, </w:t>
      </w:r>
      <w:proofErr w:type="spellStart"/>
      <w:r>
        <w:t>Archenaus</w:t>
      </w:r>
      <w:proofErr w:type="spellEnd"/>
      <w:r>
        <w:t xml:space="preserve">, </w:t>
      </w:r>
      <w:proofErr w:type="spellStart"/>
      <w:r>
        <w:t>Dracontides</w:t>
      </w:r>
      <w:proofErr w:type="spellEnd"/>
      <w:r>
        <w:t xml:space="preserve"> and </w:t>
      </w:r>
      <w:proofErr w:type="spellStart"/>
      <w:r>
        <w:t>Phanus</w:t>
      </w:r>
      <w:proofErr w:type="spellEnd"/>
      <w:r>
        <w:t xml:space="preserve">,” and those arbitrators “apparently openly discussed their opinion of the case, and </w:t>
      </w:r>
      <w:proofErr w:type="spellStart"/>
      <w:r>
        <w:t>Aphobus</w:t>
      </w:r>
      <w:proofErr w:type="spellEnd"/>
      <w:r>
        <w:t xml:space="preserve"> learned that if asked to decide on oath, they would condemn his conduct as guardian.”</w:t>
      </w:r>
      <w:r>
        <w:rPr>
          <w:rStyle w:val="FootnoteReference"/>
        </w:rPr>
        <w:footnoteReference w:id="269"/>
      </w:r>
      <w:r>
        <w:t xml:space="preserve"> Another litigant tested the strength of his claim before filing: he “consulted the </w:t>
      </w:r>
      <w:proofErr w:type="spellStart"/>
      <w:r>
        <w:t>exegetái</w:t>
      </w:r>
      <w:proofErr w:type="spellEnd"/>
      <w:r>
        <w:t xml:space="preserve"> and was advised (he says) not to bring a suit” because the only witnesses to the death were his own wife and children and the victim was “neither his relative nor (any longer) his slave.”</w:t>
      </w:r>
      <w:r>
        <w:rPr>
          <w:rStyle w:val="FootnoteReference"/>
        </w:rPr>
        <w:footnoteReference w:id="270"/>
      </w:r>
      <w:r>
        <w:t xml:space="preserve"> Likewise, </w:t>
      </w:r>
      <w:proofErr w:type="spellStart"/>
      <w:r>
        <w:t>Epainetos</w:t>
      </w:r>
      <w:proofErr w:type="spellEnd"/>
      <w:r>
        <w:t xml:space="preserve">, who brought a public charge for being wrongfully detained, abandoned the formal action in favor of arbitration; his actions, in Osborne’s reading, “make sense </w:t>
      </w:r>
      <w:r>
        <w:lastRenderedPageBreak/>
        <w:t>only if he was dubious about his chances of convincing the jury.”</w:t>
      </w:r>
      <w:r>
        <w:rPr>
          <w:rStyle w:val="FootnoteReference"/>
        </w:rPr>
        <w:footnoteReference w:id="271"/>
      </w:r>
      <w:r>
        <w:t xml:space="preserve"> The various stages of Athenian legal procedure—“the bringing of charges and counter-charges, the exposure of the case at the </w:t>
      </w:r>
      <w:proofErr w:type="spellStart"/>
      <w:r>
        <w:t>anakrisis</w:t>
      </w:r>
      <w:proofErr w:type="spellEnd"/>
      <w:r>
        <w:t>, [and] what happened at an arbitration”—thus “gave legal opponents both the chance to assess the nature of the arguments they would face, and to get preliminary reactions likely to indicate how the later trial might go.”</w:t>
      </w:r>
      <w:r>
        <w:rPr>
          <w:rStyle w:val="FootnoteReference"/>
        </w:rPr>
        <w:footnoteReference w:id="272"/>
      </w:r>
      <w:r>
        <w:t xml:space="preserve"> If disputants had weak claims, they could avoid the win-or-lose formal arena with its reputational risks and instead use informal methods where there were no penalties for perjury.</w:t>
      </w:r>
      <w:r>
        <w:rPr>
          <w:rStyle w:val="FootnoteReference"/>
        </w:rPr>
        <w:footnoteReference w:id="273"/>
      </w:r>
      <w:r>
        <w:t xml:space="preserve"> I have represented Ancient Greek ADR in the following timeline:</w:t>
      </w:r>
    </w:p>
    <w:p w14:paraId="190C1EFD" w14:textId="77777777" w:rsidR="009D7D6D" w:rsidRPr="00A9375B" w:rsidRDefault="009D7D6D" w:rsidP="003D74D8">
      <w:pPr>
        <w:spacing w:line="480" w:lineRule="auto"/>
        <w:jc w:val="both"/>
        <w:rPr>
          <w:color w:val="000000" w:themeColor="text1"/>
        </w:rPr>
      </w:pPr>
      <w:r>
        <w:rPr>
          <w:noProof/>
          <w:color w:val="000000" w:themeColor="text1"/>
        </w:rPr>
        <w:lastRenderedPageBreak/>
        <w:drawing>
          <wp:inline distT="0" distB="0" distL="0" distR="0" wp14:anchorId="0421E7E1" wp14:editId="23C947D4">
            <wp:extent cx="5943457" cy="2698229"/>
            <wp:effectExtent l="0" t="0" r="635" b="0"/>
            <wp:docPr id="1569621827"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21827" name="Picture 1" descr="A diagram of a system  Description automatically generated"/>
                    <pic:cNvPicPr/>
                  </pic:nvPicPr>
                  <pic:blipFill rotWithShape="1">
                    <a:blip r:embed="rId11"/>
                    <a:srcRect t="6017" b="10663"/>
                    <a:stretch/>
                  </pic:blipFill>
                  <pic:spPr bwMode="auto">
                    <a:xfrm>
                      <a:off x="0" y="0"/>
                      <a:ext cx="5943600" cy="269829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274"/>
      </w:r>
    </w:p>
    <w:p w14:paraId="010D9F1D" w14:textId="77777777" w:rsidR="00AC2E80" w:rsidRPr="00A9375B" w:rsidRDefault="00393631" w:rsidP="003D74D8">
      <w:pPr>
        <w:pStyle w:val="BodyTextFirstIndent"/>
        <w:spacing w:line="480" w:lineRule="auto"/>
        <w:jc w:val="both"/>
      </w:pPr>
      <w:r>
        <w:t>Once Greece became a Roman province, juridical heterogeneity was complemented, rather than supplanted, by the expansion of the Roman Empire.</w:t>
      </w:r>
      <w:bookmarkStart w:id="30" w:name="_Ref217239828"/>
      <w:r>
        <w:rPr>
          <w:rStyle w:val="FootnoteReference"/>
          <w:color w:val="000000" w:themeColor="text1"/>
        </w:rPr>
        <w:footnoteReference w:id="275"/>
      </w:r>
      <w:bookmarkEnd w:id="30"/>
      <w:r>
        <w:t xml:space="preserve"> Across other provinces, too, the Roman </w:t>
      </w:r>
      <w:r>
        <w:lastRenderedPageBreak/>
        <w:t xml:space="preserve">administration supported the practice of </w:t>
      </w:r>
      <w:proofErr w:type="spellStart"/>
      <w:r>
        <w:rPr>
          <w:i/>
          <w:iCs/>
        </w:rPr>
        <w:t>compromissum</w:t>
      </w:r>
      <w:proofErr w:type="spellEnd"/>
      <w:r>
        <w:t xml:space="preserve"> (where the party chosen as </w:t>
      </w:r>
      <w:proofErr w:type="spellStart"/>
      <w:r>
        <w:t>iudex</w:t>
      </w:r>
      <w:proofErr w:type="spellEnd"/>
      <w:r>
        <w:t xml:space="preserve"> or arbiter remained the first resort before invoking the governor’s jurisdiction).</w:t>
      </w:r>
      <w:bookmarkStart w:id="31" w:name="_Ref214119617"/>
      <w:r>
        <w:rPr>
          <w:rStyle w:val="FootnoteReference"/>
          <w:color w:val="000000" w:themeColor="text1"/>
        </w:rPr>
        <w:footnoteReference w:id="276"/>
      </w:r>
      <w:bookmarkEnd w:id="31"/>
      <w:r>
        <w:t xml:space="preserve"> Over the imperial centuries, dispute processing gradually formalized, with the judge presiding over </w:t>
      </w:r>
      <w:proofErr w:type="spellStart"/>
      <w:r>
        <w:t>cognitio</w:t>
      </w:r>
      <w:proofErr w:type="spellEnd"/>
      <w:r>
        <w:t xml:space="preserve"> and becoming a state official for the first time.</w:t>
      </w:r>
      <w:r>
        <w:rPr>
          <w:rStyle w:val="FootnoteReference"/>
          <w:color w:val="000000" w:themeColor="text1"/>
        </w:rPr>
        <w:footnoteReference w:id="277"/>
      </w:r>
      <w:r>
        <w:t xml:space="preserve"> Unlike the state-appointed judge, bound by the rigid rules of the </w:t>
      </w:r>
      <w:proofErr w:type="spellStart"/>
      <w:r>
        <w:rPr>
          <w:i/>
          <w:iCs/>
        </w:rPr>
        <w:t>ius</w:t>
      </w:r>
      <w:proofErr w:type="spellEnd"/>
      <w:r>
        <w:t xml:space="preserve">, the private arbiter, </w:t>
      </w:r>
      <w:r>
        <w:rPr>
          <w:i/>
          <w:iCs/>
        </w:rPr>
        <w:t xml:space="preserve">ex </w:t>
      </w:r>
      <w:proofErr w:type="spellStart"/>
      <w:r>
        <w:rPr>
          <w:i/>
          <w:iCs/>
        </w:rPr>
        <w:t>compromisso</w:t>
      </w:r>
      <w:proofErr w:type="spellEnd"/>
      <w:r>
        <w:t>, exercised plenary discretion in his decision-making and possessed the authority to render a binding award regardless of the substantive law, even if the outcome appeared inequitable under formal legal standards.</w:t>
      </w:r>
      <w:r>
        <w:rPr>
          <w:rStyle w:val="FootnoteReference"/>
          <w:color w:val="000000" w:themeColor="text1"/>
        </w:rPr>
        <w:footnoteReference w:id="278"/>
      </w:r>
      <w:r>
        <w:t xml:space="preserve"> The formalities of Roman law created the need for a professional class of lawyers, the advocati. Yet unlike in </w:t>
      </w:r>
      <w:r>
        <w:lastRenderedPageBreak/>
        <w:t>American practice—where lawyers press every advantage regardless of their case’s strength</w:t>
      </w:r>
      <w:r>
        <w:rPr>
          <w:rStyle w:val="FootnoteReference"/>
          <w:color w:val="000000" w:themeColor="text1"/>
        </w:rPr>
        <w:footnoteReference w:id="279"/>
      </w:r>
      <w:r>
        <w:t>—it was not problematic for lawyers to enter both formal and informal Roman proceedings because the Roman code required that:</w:t>
      </w:r>
    </w:p>
    <w:p w14:paraId="029DCECA" w14:textId="77777777" w:rsidR="00AC2E80" w:rsidRPr="00A9375B" w:rsidRDefault="00AC2E80" w:rsidP="003D74D8">
      <w:pPr>
        <w:pStyle w:val="BodyTextFirstIndent2"/>
        <w:spacing w:line="480" w:lineRule="auto"/>
        <w:ind w:left="720" w:right="720" w:firstLine="0"/>
        <w:jc w:val="both"/>
      </w:pPr>
      <w:r>
        <w:t>“The counsel in the causes . . . shall swear an oath on the holy gospels, that they will, to the best of their ability and in every way they can, introduce on behalf of their clients what they consider to be right and true, giving full attention in whatever way they can. They should not believe what they have found out in their own cause, if it is unprincipled or intrinsically hopeless and made up from untruthful allegations; such scholars and jurists as these act as counsel in the suit with a bad conscience.”</w:t>
      </w:r>
      <w:r>
        <w:rPr>
          <w:rStyle w:val="FootnoteReference"/>
        </w:rPr>
        <w:footnoteReference w:id="280"/>
      </w:r>
    </w:p>
    <w:p w14:paraId="7B12D826" w14:textId="77777777" w:rsidR="00D879FE" w:rsidRDefault="00000000">
      <w:pPr>
        <w:pStyle w:val="BodyTextFirstIndent"/>
        <w:spacing w:line="480" w:lineRule="auto"/>
        <w:jc w:val="both"/>
      </w:pPr>
      <w:r>
        <w:t>Two things about that oath deserve notice. Up until the Roman Empire, throughout much of human history, litigants were conceptually “pro se,” so to speak,</w:t>
      </w:r>
      <w:r>
        <w:rPr>
          <w:rStyle w:val="FootnoteReference"/>
          <w:color w:val="000000" w:themeColor="text1"/>
        </w:rPr>
        <w:footnoteReference w:id="281"/>
      </w:r>
      <w:r>
        <w:t xml:space="preserve"> and the historic oath should </w:t>
      </w:r>
      <w:r>
        <w:lastRenderedPageBreak/>
        <w:t>not be confused with a modern juror swearing that his testimony is truthful, or with the ABA’s “oath” (if you can call it that), for the QCM applied to the individual advancing legal arguments in court.</w:t>
      </w:r>
      <w:r>
        <w:rPr>
          <w:rStyle w:val="FootnoteReference"/>
          <w:color w:val="000000" w:themeColor="text1"/>
        </w:rPr>
        <w:footnoteReference w:id="282"/>
      </w:r>
      <w:r>
        <w:t xml:space="preserve"> Rome professionalized counsel, and the calumny oath came with the profession. It required that an advocate “swear that he would faithfully and wholeheartedly strive to present his client’s case justly and truthfully,” that “he would not present any case that he considered desperate, groundless, or based on untruths,” and that “if approached to act in such a case, he would refuse”—a pre-filing certification requirement that bound the advocate’s professional identity to the merit of the claim.</w:t>
      </w:r>
      <w:r>
        <w:rPr>
          <w:rStyle w:val="FootnoteReference"/>
          <w:color w:val="000000" w:themeColor="text1"/>
        </w:rPr>
        <w:footnoteReference w:id="283"/>
      </w:r>
      <w:r>
        <w:t xml:space="preserve"> The Roman code also stipulated counsel must “resign from any case that he discovered to be baseless after he had undertaken it” and serve “in the role of gatekeeper for the court, responsible for making a preliminary assessment of a case’s merits and for deciding whether or not a prospective client had a reasonable cause of action.”</w:t>
      </w:r>
      <w:r>
        <w:rPr>
          <w:rStyle w:val="FootnoteReference"/>
          <w:color w:val="000000" w:themeColor="text1"/>
        </w:rPr>
        <w:footnoteReference w:id="284"/>
      </w:r>
      <w:r>
        <w:t xml:space="preserve"> A cost-shifting rule (which exists today) reinforced this oath, whereby “the party who lost a lawsuit became responsible for paying all the direct expenses that the winner incurred,” a mechanism </w:t>
      </w:r>
      <w:r>
        <w:lastRenderedPageBreak/>
        <w:t>designed, in theory, so that “anyone who brought a foolish lawsuit or defended a hopeless case potentially put himself in financial jeopardy.”</w:t>
      </w:r>
      <w:r>
        <w:rPr>
          <w:rStyle w:val="FootnoteReference"/>
          <w:color w:val="000000" w:themeColor="text1"/>
        </w:rPr>
        <w:footnoteReference w:id="285"/>
      </w:r>
    </w:p>
    <w:p w14:paraId="1CFB1B0F" w14:textId="68C8CFB2" w:rsidR="0075707A" w:rsidRPr="00A9375B" w:rsidRDefault="006E703B" w:rsidP="003D74D8">
      <w:pPr>
        <w:pStyle w:val="BodyTextFirstIndent"/>
        <w:spacing w:line="480" w:lineRule="auto"/>
        <w:jc w:val="both"/>
      </w:pPr>
      <w:r>
        <w:t>Rome thus achieved through professional regulation and financial incentive what earlier civilizations had achieved through divine sanction and communal pressure—an environment in which the advocate’s own assessment of his case was never permitted to stand as the final word. The calumny oath and the threat of cost-shifting together ensured that some form of independent scrutiny, whether moral, financial, or reputational, interposed between the advocate’s conviction and his continued conduct of the case.</w:t>
      </w:r>
      <w:r>
        <w:rPr>
          <w:rStyle w:val="FootnoteReference"/>
          <w:color w:val="000000" w:themeColor="text1"/>
        </w:rPr>
        <w:footnoteReference w:id="286"/>
      </w:r>
      <w:r>
        <w:t xml:space="preserve"> Cicero described the exercise before anyone thought to give it a name. He would hear the client alone and “argue his opponent’s case to him, so that he may argue his own,” and then, “when he has departed, in my own person and with perfect impartiality I play three characters, myself, my opponent and the arbitrator.”</w:t>
      </w:r>
      <w:r>
        <w:rPr>
          <w:rStyle w:val="FootnoteReference"/>
          <w:color w:val="000000" w:themeColor="text1"/>
        </w:rPr>
        <w:footnoteReference w:id="287"/>
      </w:r>
      <w:r>
        <w:t xml:space="preserve"> Like the Greeks before them, the Romans wove arbitration into everyday life—“the most frequent route to conflict </w:t>
      </w:r>
      <w:r>
        <w:lastRenderedPageBreak/>
        <w:t>resolution amongst the lower social classes”—and the Republic’s Senate commissioned proconsuls, governors, or special legates to resolve disputes between states and to execute those decisions throughout the Mediterranean.</w:t>
      </w:r>
      <w:r>
        <w:rPr>
          <w:rStyle w:val="FootnoteReference"/>
          <w:color w:val="000000" w:themeColor="text1"/>
        </w:rPr>
        <w:footnoteReference w:id="288"/>
      </w:r>
      <w:r>
        <w:t xml:space="preserve"> These dynamics in Ancient Rome show the interplay between formal law and ADR; as Fernanda Pirie writes, “[e]</w:t>
      </w:r>
      <w:proofErr w:type="spellStart"/>
      <w:r>
        <w:t>ven</w:t>
      </w:r>
      <w:proofErr w:type="spellEnd"/>
      <w:r>
        <w:t xml:space="preserve"> if ordinary citizens avoided the more complex legal procedures, the principles behind these laws surely made their way into the thinking of people who mediated local disputes.”</w:t>
      </w:r>
      <w:r>
        <w:rPr>
          <w:rStyle w:val="FootnoteReference"/>
          <w:color w:val="000000" w:themeColor="text1"/>
        </w:rPr>
        <w:footnoteReference w:id="289"/>
      </w:r>
      <w:r>
        <w:t xml:space="preserve"> Just as in Ancient Near Eastern and Classical Greek societies, the strength of one’s claim determined which path a disputant would take: “a good case [</w:t>
      </w:r>
      <w:proofErr w:type="spellStart"/>
      <w:r>
        <w:t>wa</w:t>
      </w:r>
      <w:proofErr w:type="spellEnd"/>
      <w:r>
        <w:t>]s in a better position if it is put before a judge than before an arbiter, because the words of the law tie down a judge . . . whereas the decision of an arbiter is free and not bound by any rules, so that he can either give or take away, and can arrange his decision not according to the precepts of law and justice, but just as his own kindly feeling or compassion may prompt him.”</w:t>
      </w:r>
      <w:r>
        <w:rPr>
          <w:rStyle w:val="FootnoteReference"/>
        </w:rPr>
        <w:footnoteReference w:id="290"/>
      </w:r>
      <w:r>
        <w:t xml:space="preserve"> In </w:t>
      </w:r>
      <w:proofErr w:type="spellStart"/>
      <w:r>
        <w:t>Milotić’s</w:t>
      </w:r>
      <w:proofErr w:type="spellEnd"/>
      <w:r>
        <w:t xml:space="preserve"> words, “arbitration is shown as a necessity” where litigation was “too complicated (because of formalities and procedural stages), slow, beyond financial power of the disputing parties, [or] risky,” and it answered the particular difficulty that arose “if the plaintiff was doubtful </w:t>
      </w:r>
      <w:r>
        <w:lastRenderedPageBreak/>
        <w:t>about how much he could prove that he was owed.”</w:t>
      </w:r>
      <w:r>
        <w:rPr>
          <w:rStyle w:val="FootnoteReference"/>
        </w:rPr>
        <w:footnoteReference w:id="291"/>
      </w:r>
      <w:r>
        <w:t xml:space="preserve"> I have represented Ancient Roman ADR in the following timeline:</w:t>
      </w:r>
    </w:p>
    <w:p w14:paraId="6849D328" w14:textId="77777777" w:rsidR="00B41952" w:rsidRPr="00A9375B" w:rsidRDefault="00AE75A9" w:rsidP="003D74D8">
      <w:pPr>
        <w:spacing w:line="480" w:lineRule="auto"/>
        <w:jc w:val="both"/>
        <w:rPr>
          <w:color w:val="000000" w:themeColor="text1"/>
        </w:rPr>
      </w:pPr>
      <w:r>
        <w:rPr>
          <w:noProof/>
          <w:color w:val="000000" w:themeColor="text1"/>
        </w:rPr>
        <w:drawing>
          <wp:inline distT="0" distB="0" distL="0" distR="0" wp14:anchorId="7BD5667B" wp14:editId="44C96E0D">
            <wp:extent cx="5942464" cy="2683239"/>
            <wp:effectExtent l="0" t="0" r="1270" b="0"/>
            <wp:docPr id="458980795"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0795" name="Picture 1" descr="A diagram of a system  Description automatically generated"/>
                    <pic:cNvPicPr/>
                  </pic:nvPicPr>
                  <pic:blipFill rotWithShape="1">
                    <a:blip r:embed="rId12"/>
                    <a:srcRect t="5786" b="11343"/>
                    <a:stretch/>
                  </pic:blipFill>
                  <pic:spPr bwMode="auto">
                    <a:xfrm>
                      <a:off x="0" y="0"/>
                      <a:ext cx="5943600" cy="268375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292"/>
      </w:r>
    </w:p>
    <w:p w14:paraId="73369506" w14:textId="77777777" w:rsidR="003275AD" w:rsidRPr="00A9375B" w:rsidRDefault="003275AD" w:rsidP="003D74D8">
      <w:pPr>
        <w:pStyle w:val="ListParagraph"/>
        <w:numPr>
          <w:ilvl w:val="0"/>
          <w:numId w:val="6"/>
        </w:numPr>
        <w:spacing w:line="480" w:lineRule="auto"/>
        <w:jc w:val="both"/>
        <w:rPr>
          <w:i/>
          <w:iCs/>
          <w:color w:val="000000" w:themeColor="text1"/>
        </w:rPr>
      </w:pPr>
      <w:r>
        <w:rPr>
          <w:i/>
          <w:iCs/>
          <w:color w:val="000000" w:themeColor="text1"/>
        </w:rPr>
        <w:t>Cultural and Indigenous Approaches: Communal Harmony Over Formal Vindication</w:t>
      </w:r>
    </w:p>
    <w:p w14:paraId="0FFFEBD0" w14:textId="77777777" w:rsidR="00EE39F6" w:rsidRPr="00A9375B" w:rsidRDefault="00EE39F6" w:rsidP="003D74D8">
      <w:pPr>
        <w:spacing w:line="480" w:lineRule="auto"/>
        <w:jc w:val="both"/>
        <w:rPr>
          <w:color w:val="000000" w:themeColor="text1"/>
        </w:rPr>
      </w:pPr>
    </w:p>
    <w:p w14:paraId="68063BF0" w14:textId="77777777" w:rsidR="008D05A4" w:rsidRPr="00A9375B" w:rsidRDefault="00415AD3" w:rsidP="003D74D8">
      <w:pPr>
        <w:spacing w:line="480" w:lineRule="auto"/>
        <w:ind w:firstLine="360"/>
        <w:jc w:val="both"/>
      </w:pPr>
      <w:r>
        <w:t>The development of law is “merely one phase of the social development,” a process “which man could no more have escaped than he could have avoided the compelling force of his physical frame,” and a growing nation-state brings with it formal forums.</w:t>
      </w:r>
      <w:r>
        <w:rPr>
          <w:rStyle w:val="FootnoteReference"/>
          <w:color w:val="000000" w:themeColor="text1"/>
        </w:rPr>
        <w:footnoteReference w:id="293"/>
      </w:r>
      <w:r>
        <w:t xml:space="preserve"> Yet the growth of a complex society, coupled with cultural attitudes toward the Externalization of claims, can deter disputants from wasting the formal system’s time and resources with baseless, untested claims. In traditional China, Confucian philosophy instructed would-be litigants that “the correct attitude would be that of self-scrutiny”—to “examine oneself to see what wrong one has done and what moral failings one should be responsible for”—and prized “complaisance and compromise, rather than to assert one’s interests, claim one’s ‘rights,’ and press one’s case by taking the other party to court.”</w:t>
      </w:r>
      <w:r>
        <w:rPr>
          <w:rStyle w:val="FootnoteReference"/>
          <w:color w:val="000000" w:themeColor="text1"/>
        </w:rPr>
        <w:footnoteReference w:id="294"/>
      </w:r>
      <w:r>
        <w:t xml:space="preserve"> People learned from a young age that society viewed litigation as corrosive to community relationships, socially disruptive, and morally debased.</w:t>
      </w:r>
      <w:bookmarkStart w:id="32" w:name="_Ref214120043"/>
      <w:r>
        <w:rPr>
          <w:rStyle w:val="FootnoteReference"/>
          <w:color w:val="000000" w:themeColor="text1"/>
        </w:rPr>
        <w:footnoteReference w:id="295"/>
      </w:r>
      <w:bookmarkEnd w:id="32"/>
      <w:r>
        <w:t xml:space="preserve"> The decision to bring a claim to the </w:t>
      </w:r>
      <w:r>
        <w:lastRenderedPageBreak/>
        <w:t>formal court system was therefore “made within a structural context that might be characterized as access under fear. . . . Litigants deciding to resort to the courts were those who had enough at stake to overcome their fears and reluctance.”</w:t>
      </w:r>
      <w:r>
        <w:rPr>
          <w:rStyle w:val="FootnoteReference"/>
        </w:rPr>
        <w:footnoteReference w:id="296"/>
      </w:r>
      <w:r>
        <w:t xml:space="preserve"> </w:t>
      </w:r>
    </w:p>
    <w:p w14:paraId="52365AED" w14:textId="7AD4CC9B" w:rsidR="0075707A" w:rsidRPr="00A9375B" w:rsidRDefault="008D05A4" w:rsidP="003D74D8">
      <w:pPr>
        <w:spacing w:line="480" w:lineRule="auto"/>
        <w:ind w:firstLine="360"/>
        <w:jc w:val="both"/>
      </w:pPr>
      <w:r>
        <w:t>Because of this fear, disputants avoided the courts, and everything except serious crimes and disputes that community mediation failed to settle was expected to begin and end within community-level forums.</w:t>
      </w:r>
      <w:r>
        <w:rPr>
          <w:rStyle w:val="FootnoteReference"/>
          <w:color w:val="000000" w:themeColor="text1"/>
        </w:rPr>
        <w:footnoteReference w:id="297"/>
      </w:r>
      <w:r>
        <w:t xml:space="preserve"> The state reinforced this expectation, as its “rulers explicitly encouraged these informal practices, on the basis that they upheld the Confucian values of harmony, conciliation, and forbearance.”</w:t>
      </w:r>
      <w:r>
        <w:rPr>
          <w:rStyle w:val="FootnoteReference"/>
          <w:color w:val="000000" w:themeColor="text1"/>
        </w:rPr>
        <w:footnoteReference w:id="298"/>
      </w:r>
      <w:r>
        <w:t xml:space="preserve"> The contrast between fa (formal law) and qing (human feeling) framed communal mediation as the morally superior path, aiming to have disputants reconcile and compromise rather than resort to winner-take-all adjudication.</w:t>
      </w:r>
      <w:r>
        <w:rPr>
          <w:rStyle w:val="FootnoteReference"/>
          <w:color w:val="000000" w:themeColor="text1"/>
        </w:rPr>
        <w:footnoteReference w:id="299"/>
      </w:r>
      <w:r>
        <w:t xml:space="preserve"> Confucian doctrine </w:t>
      </w:r>
      <w:r>
        <w:lastRenderedPageBreak/>
        <w:t>required officials, “instead of judging the dispute and imposing a binding judgment on the parties,” to “use persuasion and education” to bring the parties to a settlement—though the Qing case records show that once a dispute reached a formal court session, magistrates adjudicated by the code in the overwhelming majority of cases.</w:t>
      </w:r>
      <w:r>
        <w:rPr>
          <w:rStyle w:val="FootnoteReference"/>
          <w:color w:val="000000" w:themeColor="text1"/>
        </w:rPr>
        <w:footnoteReference w:id="300"/>
      </w:r>
      <w:r>
        <w:t xml:space="preserve"> In the Tang and Song courts, the threat of punishment was meant to deter false accusations—anyone who accused another falsely of a crime faced the sentence the crime itself carried—so that “[t]he collected cases contain many examples of magistrates convicting those who maliciously tried to take advantage of the court system by making wrongful accusations.”</w:t>
      </w:r>
      <w:r>
        <w:rPr>
          <w:rStyle w:val="FootnoteReference"/>
          <w:color w:val="000000" w:themeColor="text1"/>
        </w:rPr>
        <w:footnoteReference w:id="301"/>
      </w:r>
      <w:r>
        <w:t xml:space="preserve"> The rabbis went further than anyone. The Mishnah and Maimonides record a court that took the junior judge’s opinion first, lest the rest defer to their elders; that forbade a judge simply to adopt a colleague’s view; that counted the student who kept silent as a transgressor; and that acquitted the defendant whom every judge had voted to convict, on the reasoning that a court in which no one had argued for acquittal had not deliberated at all.</w:t>
      </w:r>
      <w:r>
        <w:rPr>
          <w:rStyle w:val="FootnoteReference"/>
          <w:color w:val="000000" w:themeColor="text1"/>
        </w:rPr>
        <w:footnoteReference w:id="302"/>
      </w:r>
      <w:r>
        <w:t xml:space="preserve"> I have represented Traditional Chinese ADR in the following timeline:</w:t>
      </w:r>
    </w:p>
    <w:p w14:paraId="0A4B0FCA" w14:textId="77777777" w:rsidR="009B56FF" w:rsidRPr="00A9375B" w:rsidRDefault="009B56FF" w:rsidP="003D74D8">
      <w:pPr>
        <w:spacing w:line="480" w:lineRule="auto"/>
        <w:jc w:val="both"/>
        <w:rPr>
          <w:color w:val="000000" w:themeColor="text1"/>
        </w:rPr>
      </w:pPr>
      <w:r>
        <w:rPr>
          <w:noProof/>
          <w:color w:val="000000" w:themeColor="text1"/>
        </w:rPr>
        <w:lastRenderedPageBreak/>
        <w:drawing>
          <wp:inline distT="0" distB="0" distL="0" distR="0" wp14:anchorId="7E8FBBD1" wp14:editId="6B252B9F">
            <wp:extent cx="5942412" cy="2671638"/>
            <wp:effectExtent l="0" t="0" r="1270" b="0"/>
            <wp:docPr id="1016996164" name="Picture 1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6164" name="Picture 11" descr="A diagram of a system  Description automatically generated"/>
                    <pic:cNvPicPr/>
                  </pic:nvPicPr>
                  <pic:blipFill rotWithShape="1">
                    <a:blip r:embed="rId13" cstate="print">
                      <a:extLst>
                        <a:ext uri="{28A0092B-C50C-407E-A947-70E740481C1C}">
                          <a14:useLocalDpi xmlns:a14="http://schemas.microsoft.com/office/drawing/2010/main" val="0"/>
                        </a:ext>
                      </a:extLst>
                    </a:blip>
                    <a:srcRect t="6132" b="11437"/>
                    <a:stretch/>
                  </pic:blipFill>
                  <pic:spPr bwMode="auto">
                    <a:xfrm>
                      <a:off x="0" y="0"/>
                      <a:ext cx="5943600" cy="267217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03"/>
      </w:r>
    </w:p>
    <w:p w14:paraId="7CA97C1D" w14:textId="77777777" w:rsidR="0032068A" w:rsidRPr="00A9375B" w:rsidRDefault="00000000" w:rsidP="003D74D8">
      <w:pPr>
        <w:pStyle w:val="BodyTextFirstIndent"/>
        <w:spacing w:line="480" w:lineRule="auto"/>
        <w:jc w:val="both"/>
      </w:pPr>
      <w:r>
        <w:t>Many Indigenous systems treat formal litigation as a last resort, applying rules flexibly enough to leave room for a settlement both sides can live with</w:t>
      </w:r>
      <w:bookmarkStart w:id="33" w:name="_Ref218971611"/>
      <w:r>
        <w:t>.</w:t>
      </w:r>
      <w:r>
        <w:rPr>
          <w:rStyle w:val="FootnoteReference"/>
          <w:color w:val="000000" w:themeColor="text1"/>
        </w:rPr>
        <w:footnoteReference w:id="304"/>
      </w:r>
      <w:bookmarkEnd w:id="33"/>
      <w:r>
        <w:t xml:space="preserve"> Simon Roberts contrasts these systems </w:t>
      </w:r>
      <w:r>
        <w:lastRenderedPageBreak/>
        <w:t>with the formal system’s rigid rules, which reduce complex social conflicts to zero-sum legal victories divorced from ongoing social relationships and practical needs.</w:t>
      </w:r>
      <w:bookmarkStart w:id="34" w:name="_Ref217240203"/>
      <w:r>
        <w:rPr>
          <w:rStyle w:val="FootnoteReference"/>
          <w:color w:val="000000" w:themeColor="text1"/>
        </w:rPr>
        <w:footnoteReference w:id="305"/>
      </w:r>
      <w:bookmarkEnd w:id="34"/>
      <w:r>
        <w:t xml:space="preserve"> The peacemaking system the Navajo call </w:t>
      </w:r>
      <w:proofErr w:type="spellStart"/>
      <w:r>
        <w:t>hozhooji</w:t>
      </w:r>
      <w:proofErr w:type="spellEnd"/>
      <w:r>
        <w:t xml:space="preserve"> </w:t>
      </w:r>
      <w:proofErr w:type="spellStart"/>
      <w:r>
        <w:t>naat’aanii</w:t>
      </w:r>
      <w:proofErr w:type="spellEnd"/>
      <w:r>
        <w:t xml:space="preserve">, for instance, processes </w:t>
      </w:r>
      <w:proofErr w:type="spellStart"/>
      <w:r>
        <w:t>nayee</w:t>
      </w:r>
      <w:proofErr w:type="spellEnd"/>
      <w:r>
        <w:t xml:space="preserve"> (“anything that gets in the way of a person living his life”) into concrete, manageable entities that can be addressed through talking sessions guided by a </w:t>
      </w:r>
      <w:proofErr w:type="spellStart"/>
      <w:r>
        <w:t>naat’aanii</w:t>
      </w:r>
      <w:proofErr w:type="spellEnd"/>
      <w:r>
        <w:t xml:space="preserve">, who leads the parties to </w:t>
      </w:r>
      <w:proofErr w:type="spellStart"/>
      <w:r>
        <w:t>hozho</w:t>
      </w:r>
      <w:proofErr w:type="spellEnd"/>
      <w:r>
        <w:t xml:space="preserve"> (harmony).</w:t>
      </w:r>
      <w:r>
        <w:rPr>
          <w:rStyle w:val="FootnoteReference"/>
          <w:color w:val="000000" w:themeColor="text1"/>
        </w:rPr>
        <w:footnoteReference w:id="306"/>
      </w:r>
      <w:r>
        <w:t xml:space="preserve"> Among the Ju/’</w:t>
      </w:r>
      <w:proofErr w:type="spellStart"/>
      <w:r>
        <w:t>hoansi</w:t>
      </w:r>
      <w:proofErr w:type="spellEnd"/>
      <w:r>
        <w:t xml:space="preserve">, daytime talk is dominated by economic matters and complaints while night-time talk turns overwhelmingly to stories and myth, and Hawaiian </w:t>
      </w:r>
      <w:proofErr w:type="spellStart"/>
      <w:r>
        <w:t>ho‘oponopono</w:t>
      </w:r>
      <w:proofErr w:type="spellEnd"/>
      <w:r>
        <w:t xml:space="preserve"> carries the parties from </w:t>
      </w:r>
      <w:proofErr w:type="spellStart"/>
      <w:r>
        <w:t>hala</w:t>
      </w:r>
      <w:proofErr w:type="spellEnd"/>
      <w:r>
        <w:t xml:space="preserve"> (transgression) through mihi (confession and forgiveness) and, where necessary, restitution to kala (release).</w:t>
      </w:r>
      <w:r>
        <w:rPr>
          <w:rStyle w:val="FootnoteReference"/>
          <w:color w:val="000000" w:themeColor="text1"/>
        </w:rPr>
        <w:footnoteReference w:id="307"/>
      </w:r>
      <w:r>
        <w:t xml:space="preserve"> In Ethiopia’s Afar, elders’ councils mediate inter-clan disputes; in Rwanda, </w:t>
      </w:r>
      <w:proofErr w:type="spellStart"/>
      <w:r>
        <w:t>abunzi</w:t>
      </w:r>
      <w:proofErr w:type="spellEnd"/>
      <w:r>
        <w:t xml:space="preserve"> provide mandatory first-instance mediation that screens cases before courts; in Sudan and Darfur, </w:t>
      </w:r>
      <w:proofErr w:type="spellStart"/>
      <w:r>
        <w:t>judiyya</w:t>
      </w:r>
      <w:proofErr w:type="spellEnd"/>
      <w:r>
        <w:t xml:space="preserve"> convenes </w:t>
      </w:r>
      <w:proofErr w:type="spellStart"/>
      <w:r>
        <w:t>ajaweed</w:t>
      </w:r>
      <w:proofErr w:type="spellEnd"/>
      <w:r>
        <w:t xml:space="preserve"> to restore social relationships, while the separate </w:t>
      </w:r>
      <w:proofErr w:type="spellStart"/>
      <w:r>
        <w:t>diya</w:t>
      </w:r>
      <w:proofErr w:type="spellEnd"/>
      <w:r>
        <w:t xml:space="preserve"> system spreads compensation for homicide and injury across the offender’s kinship group; and among the Baganda, </w:t>
      </w:r>
      <w:proofErr w:type="spellStart"/>
      <w:r>
        <w:t>Kwanjula</w:t>
      </w:r>
      <w:proofErr w:type="spellEnd"/>
      <w:r>
        <w:t xml:space="preserve"> binds lineages and operates as a safety valve for conflict.</w:t>
      </w:r>
      <w:bookmarkStart w:id="35" w:name="_Ref214120603"/>
      <w:r>
        <w:rPr>
          <w:rStyle w:val="FootnoteReference"/>
          <w:color w:val="000000" w:themeColor="text1"/>
        </w:rPr>
        <w:footnoteReference w:id="308"/>
      </w:r>
      <w:bookmarkEnd w:id="35"/>
      <w:r>
        <w:t xml:space="preserve"> </w:t>
      </w:r>
      <w:r>
        <w:lastRenderedPageBreak/>
        <w:t>Such relational authority reveals the comparative success of some Indigenous conflict management approaches over professionalized ones, particularly when they operate within existing social frameworks, where ongoing relationships matter more to people than abstract legal victories.</w:t>
      </w:r>
      <w:bookmarkStart w:id="36" w:name="_Ref217240618"/>
      <w:r>
        <w:rPr>
          <w:rStyle w:val="FootnoteReference"/>
          <w:color w:val="000000" w:themeColor="text1"/>
        </w:rPr>
        <w:footnoteReference w:id="309"/>
      </w:r>
      <w:bookmarkEnd w:id="36"/>
      <w:r>
        <w:t xml:space="preserve"> These community-centered, relationship-preserving dynamics of dispute resolution are not exclusive to small-scale “primitive” societies: the trade-association arbitration that the 1925 FAA was enacted to protect ran on the same logic, with respected members of a trade resolving disputes </w:t>
      </w:r>
      <w:r>
        <w:lastRenderedPageBreak/>
        <w:t>by drawing on the community’s own formal and informal norms.</w:t>
      </w:r>
      <w:r>
        <w:rPr>
          <w:rStyle w:val="FootnoteReference"/>
        </w:rPr>
        <w:footnoteReference w:id="310"/>
      </w:r>
      <w:r>
        <w:t xml:space="preserve"> Some scholars argue that our current system of choosing among external forums was a result of a capitalist economy, yet the Indigenous/Confucian ADR attitude unmistakably resembles what the FAA was intended to achieve.</w:t>
      </w:r>
      <w:r>
        <w:rPr>
          <w:rStyle w:val="FootnoteReference"/>
        </w:rPr>
        <w:footnoteReference w:id="311"/>
      </w:r>
    </w:p>
    <w:p w14:paraId="0D0B6C89" w14:textId="77777777" w:rsidR="0032068A" w:rsidRPr="00A9375B" w:rsidRDefault="0032068A" w:rsidP="003D74D8">
      <w:pPr>
        <w:pStyle w:val="BodyTextFirstIndent"/>
        <w:spacing w:line="480" w:lineRule="auto"/>
        <w:jc w:val="both"/>
      </w:pPr>
    </w:p>
    <w:p w14:paraId="0A4F6AF6" w14:textId="77777777" w:rsidR="00986CA5" w:rsidRPr="00A9375B" w:rsidRDefault="003275AD" w:rsidP="003D74D8">
      <w:pPr>
        <w:pStyle w:val="ListParagraph"/>
        <w:numPr>
          <w:ilvl w:val="0"/>
          <w:numId w:val="6"/>
        </w:numPr>
        <w:spacing w:line="480" w:lineRule="auto"/>
        <w:jc w:val="both"/>
        <w:rPr>
          <w:i/>
          <w:iCs/>
          <w:color w:val="000000" w:themeColor="text1"/>
        </w:rPr>
      </w:pPr>
      <w:r>
        <w:rPr>
          <w:i/>
          <w:iCs/>
          <w:color w:val="000000" w:themeColor="text1"/>
        </w:rPr>
        <w:t>Anglo-Saxon England: The Defeat of Local Practices</w:t>
      </w:r>
    </w:p>
    <w:p w14:paraId="23C712C5" w14:textId="77777777" w:rsidR="00B41952" w:rsidRPr="00A9375B" w:rsidRDefault="00B41952" w:rsidP="003D74D8">
      <w:pPr>
        <w:pStyle w:val="ListParagraph"/>
        <w:spacing w:line="480" w:lineRule="auto"/>
        <w:jc w:val="both"/>
        <w:rPr>
          <w:color w:val="000000" w:themeColor="text1"/>
        </w:rPr>
      </w:pPr>
    </w:p>
    <w:p w14:paraId="2727DA46" w14:textId="77777777" w:rsidR="0032068A" w:rsidRPr="00A9375B" w:rsidRDefault="00442B9F" w:rsidP="003D74D8">
      <w:pPr>
        <w:pStyle w:val="BodyTextFirstIndent"/>
        <w:spacing w:line="480" w:lineRule="auto"/>
        <w:jc w:val="both"/>
      </w:pPr>
      <w:r>
        <w:t xml:space="preserve">Anglo-Saxon and Anglo-Norman England developed ADR systems that mirrored the communal spirit of the Indigenous approaches surveyed above. The primary forum of dispute resolution was the local communal assembly—the </w:t>
      </w:r>
      <w:proofErr w:type="spellStart"/>
      <w:r>
        <w:t>mæthl</w:t>
      </w:r>
      <w:proofErr w:type="spellEnd"/>
      <w:r>
        <w:t xml:space="preserve"> and </w:t>
      </w:r>
      <w:proofErr w:type="spellStart"/>
      <w:r>
        <w:t>ðing</w:t>
      </w:r>
      <w:proofErr w:type="spellEnd"/>
      <w:r>
        <w:t xml:space="preserve"> of the earliest Kentish laws, later the hundred—which heard pleas and gave the judgments that settled conflicts.</w:t>
      </w:r>
      <w:bookmarkStart w:id="37" w:name="_Ref217241101"/>
      <w:r>
        <w:rPr>
          <w:rStyle w:val="FootnoteReference"/>
          <w:color w:val="000000" w:themeColor="text1"/>
        </w:rPr>
        <w:footnoteReference w:id="312"/>
      </w:r>
      <w:bookmarkEnd w:id="37"/>
      <w:r>
        <w:t xml:space="preserve"> In contrast, if disputants wanted to enter the formal system, several features compelled them to assess the merits of their cases. As in some of the other societies examined, an accuser had to bring witnesses to swear oaths of confirmation before a serious criminal case would be entertained, a process that </w:t>
      </w:r>
      <w:r>
        <w:lastRenderedPageBreak/>
        <w:t>required careful preparation, public performance, and dramatic invocation of the Almighty, for these “elaborate processes were supposed to ensure that people did not make frivolous accusations.”</w:t>
      </w:r>
      <w:r>
        <w:rPr>
          <w:rStyle w:val="FootnoteReference"/>
          <w:color w:val="000000" w:themeColor="text1"/>
        </w:rPr>
        <w:footnoteReference w:id="313"/>
      </w:r>
      <w:r>
        <w:t xml:space="preserve"> Community relations also played a role: in the Exeter dispute the Chancellor feared that a common-law decision would “prove excessively harsh and expensive, would sour relationships within the city, and would satisfy one party at the expense of the other.”</w:t>
      </w:r>
      <w:r>
        <w:rPr>
          <w:rStyle w:val="FootnoteReference"/>
        </w:rPr>
        <w:footnoteReference w:id="314"/>
      </w:r>
      <w:r>
        <w:t xml:space="preserve"> In a dispute over the estates of </w:t>
      </w:r>
      <w:proofErr w:type="spellStart"/>
      <w:r>
        <w:t>Hagbourne</w:t>
      </w:r>
      <w:proofErr w:type="spellEnd"/>
      <w:r>
        <w:t xml:space="preserve"> and Bradfield, for example, </w:t>
      </w:r>
      <w:proofErr w:type="spellStart"/>
      <w:r>
        <w:t>Wynflæd</w:t>
      </w:r>
      <w:proofErr w:type="spellEnd"/>
      <w:r>
        <w:t xml:space="preserve"> took her suit directly to King </w:t>
      </w:r>
      <w:proofErr w:type="spellStart"/>
      <w:r>
        <w:t>Æthelred</w:t>
      </w:r>
      <w:proofErr w:type="spellEnd"/>
      <w:r>
        <w:t xml:space="preserve"> II, but </w:t>
      </w:r>
      <w:proofErr w:type="spellStart"/>
      <w:r>
        <w:t>Leofwine</w:t>
      </w:r>
      <w:proofErr w:type="spellEnd"/>
      <w:r>
        <w:t xml:space="preserve"> refused to appear and insisted on his statutory right to answer in the local shire court; there the counselors awarded </w:t>
      </w:r>
      <w:proofErr w:type="spellStart"/>
      <w:r>
        <w:t>Wynflæd</w:t>
      </w:r>
      <w:proofErr w:type="spellEnd"/>
      <w:r>
        <w:t xml:space="preserve"> the oath, then urged the parties to settle, warning that if the oath were given, “thereafter there would be no friendship.”</w:t>
      </w:r>
      <w:r>
        <w:rPr>
          <w:rStyle w:val="FootnoteReference"/>
          <w:color w:val="000000" w:themeColor="text1"/>
        </w:rPr>
        <w:footnoteReference w:id="315"/>
      </w:r>
      <w:r>
        <w:t xml:space="preserve"> </w:t>
      </w:r>
    </w:p>
    <w:p w14:paraId="3EED6694" w14:textId="77777777" w:rsidR="0032068A" w:rsidRPr="00A9375B" w:rsidRDefault="00000000" w:rsidP="003D74D8">
      <w:pPr>
        <w:pStyle w:val="BodyTextFirstIndent"/>
        <w:spacing w:line="480" w:lineRule="auto"/>
        <w:jc w:val="both"/>
      </w:pPr>
      <w:r>
        <w:t>Beyond threats to community relations, disputants entered the formal system only “when they thought they could achieve their ends by open, public demonstration of the wrong they had suffered,”</w:t>
      </w:r>
      <w:r>
        <w:rPr>
          <w:rStyle w:val="FootnoteReference"/>
          <w:rFonts w:eastAsiaTheme="majorEastAsia"/>
        </w:rPr>
        <w:footnoteReference w:id="316"/>
      </w:r>
      <w:r>
        <w:t xml:space="preserve"> in part because “[a]</w:t>
      </w:r>
      <w:proofErr w:type="spellStart"/>
      <w:r>
        <w:t>ccess</w:t>
      </w:r>
      <w:proofErr w:type="spellEnd"/>
      <w:r>
        <w:t xml:space="preserve"> to the king’s court was a privilege. It had to be paid for . . . . No such payments were required in the traditional courts, where a party could withdraw without fear of being ‘amerced for a false claim,’ for wasting the government’s time.”</w:t>
      </w:r>
      <w:r>
        <w:rPr>
          <w:rStyle w:val="FootnoteReference"/>
          <w:rFonts w:eastAsiaTheme="majorEastAsia"/>
        </w:rPr>
        <w:footnoteReference w:id="317"/>
      </w:r>
      <w:r>
        <w:t xml:space="preserve"> </w:t>
      </w:r>
      <w:proofErr w:type="spellStart"/>
      <w:r>
        <w:t>Shillingford</w:t>
      </w:r>
      <w:proofErr w:type="spellEnd"/>
      <w:r>
        <w:t xml:space="preserve">, for </w:t>
      </w:r>
      <w:r>
        <w:lastRenderedPageBreak/>
        <w:t>example, initially pressed to be heard at common law rather than before the king and his chancellor, though he “confessed to his fellow officers that much of the cathedral party’s evidence and arguments would be hard to counter”; once summoned before the chancellor and justices, he agreed within weeks to arbitration.</w:t>
      </w:r>
      <w:r>
        <w:rPr>
          <w:rStyle w:val="FootnoteReference"/>
          <w:rFonts w:eastAsiaTheme="majorEastAsia"/>
        </w:rPr>
        <w:footnoteReference w:id="318"/>
      </w:r>
      <w:r>
        <w:t xml:space="preserve"> What a would-be disputant needed to prove, and whether a given forum could hear it, shaped where the case went, as Lorraine </w:t>
      </w:r>
      <w:proofErr w:type="spellStart"/>
      <w:r>
        <w:t>Attreed</w:t>
      </w:r>
      <w:proofErr w:type="spellEnd"/>
      <w:r>
        <w:t xml:space="preserve"> explains: </w:t>
      </w:r>
    </w:p>
    <w:p w14:paraId="3485099E" w14:textId="77777777" w:rsidR="0032068A" w:rsidRPr="00A9375B" w:rsidRDefault="007231DB" w:rsidP="003D74D8">
      <w:pPr>
        <w:pStyle w:val="BodyTextFirstIndent"/>
        <w:spacing w:line="480" w:lineRule="auto"/>
        <w:ind w:left="720" w:right="720" w:firstLine="0"/>
        <w:jc w:val="both"/>
      </w:pPr>
      <w:r>
        <w:t>“As Exeter’s case in particular shows, litigants needed to analyze their evidence, requirements, and chances thoroughly before deciding where to take the case in hope of a favorable decision. Complex cases requiring the submission and consideration of a broad range of evidence and relationships not normally considered in common-law courts could prompt a litigant like Exeter to search for justice elsewhere.”</w:t>
      </w:r>
      <w:r>
        <w:rPr>
          <w:rStyle w:val="FootnoteReference"/>
        </w:rPr>
        <w:footnoteReference w:id="319"/>
      </w:r>
      <w:r>
        <w:t xml:space="preserve"> </w:t>
      </w:r>
    </w:p>
    <w:p w14:paraId="6ECEC1AC" w14:textId="50BA5A8E" w:rsidR="008C2858" w:rsidRPr="00A9375B" w:rsidRDefault="00000000" w:rsidP="003D74D8">
      <w:pPr>
        <w:pStyle w:val="BodyTextFirstIndent"/>
        <w:spacing w:line="480" w:lineRule="auto"/>
        <w:jc w:val="both"/>
      </w:pPr>
      <w:r>
        <w:t xml:space="preserve">The choice between formal forums, where disputants brought strong claims and were willing to take on personal costs, and the informal system, where disputants brought weak claims and were focused on obtaining </w:t>
      </w:r>
      <w:r>
        <w:rPr>
          <w:i/>
          <w:iCs/>
        </w:rPr>
        <w:t>some</w:t>
      </w:r>
      <w:r>
        <w:t xml:space="preserve"> form of relief, began to change in the mid-thirteenth century, as the royal courts gradually absorbed most of the shire courts’ business, even as local guilds, urban governments, and regional magnates continued to broker settlements within communities.</w:t>
      </w:r>
      <w:r>
        <w:rPr>
          <w:rStyle w:val="FootnoteReference"/>
          <w:color w:val="000000" w:themeColor="text1"/>
        </w:rPr>
        <w:footnoteReference w:id="320"/>
      </w:r>
      <w:r>
        <w:t xml:space="preserve"> Local </w:t>
      </w:r>
      <w:r>
        <w:lastRenderedPageBreak/>
        <w:t>custom also proved vulnerable to manipulation, memory lapses, and uncertainty, which sometimes led merchants to voluntarily seek the stability of state statutes over the malleability of local consensus.</w:t>
      </w:r>
      <w:r>
        <w:rPr>
          <w:rStyle w:val="FootnoteReference"/>
          <w:color w:val="000000" w:themeColor="text1"/>
        </w:rPr>
        <w:footnoteReference w:id="321"/>
      </w:r>
      <w:r>
        <w:t xml:space="preserve"> Whether by invitation or aggression, the expansion of royal authority gradually drew </w:t>
      </w:r>
      <w:proofErr w:type="spellStart"/>
      <w:r>
        <w:t>popularia</w:t>
      </w:r>
      <w:proofErr w:type="spellEnd"/>
      <w:r>
        <w:t xml:space="preserve"> </w:t>
      </w:r>
      <w:proofErr w:type="spellStart"/>
      <w:r>
        <w:t>concilia</w:t>
      </w:r>
      <w:proofErr w:type="spellEnd"/>
      <w:r>
        <w:t xml:space="preserve"> under crown jurisdiction, even criminalizing prior arrangements.</w:t>
      </w:r>
      <w:r>
        <w:rPr>
          <w:rStyle w:val="FootnoteReference"/>
          <w:color w:val="000000" w:themeColor="text1"/>
        </w:rPr>
        <w:footnoteReference w:id="322"/>
      </w:r>
      <w:r>
        <w:t xml:space="preserve"> The royal courts also became a route to enforcement: penal bonds were “almost universally a part of any formal mediation or arbitration,” and either party could “sue the other in debt for the penalty.”</w:t>
      </w:r>
      <w:r>
        <w:rPr>
          <w:rStyle w:val="FootnoteReference"/>
          <w:color w:val="000000" w:themeColor="text1"/>
        </w:rPr>
        <w:footnoteReference w:id="323"/>
      </w:r>
      <w:r>
        <w:t xml:space="preserve"> The English bar did not leave the test to conscience. It built it into the exercises of the Inns of Court. A description of the Middle Temple’s customs from about 1539 records that when a reader expounded a statute, the utter barristers “by all ways of learning and reason that can be invented do impugn his opinion . . . and at last the reader doth confute all their sayings and </w:t>
      </w:r>
      <w:proofErr w:type="spellStart"/>
      <w:r>
        <w:t>confirmeth</w:t>
      </w:r>
      <w:proofErr w:type="spellEnd"/>
      <w:r>
        <w:t xml:space="preserve"> his opinion,”</w:t>
      </w:r>
      <w:r>
        <w:rPr>
          <w:rStyle w:val="FootnoteReference"/>
          <w:color w:val="000000" w:themeColor="text1"/>
        </w:rPr>
        <w:footnoteReference w:id="324"/>
      </w:r>
      <w:r>
        <w:t xml:space="preserve"> and a 1540 report on the Inns adds that “in all their open disputations the youngest of </w:t>
      </w:r>
      <w:r>
        <w:lastRenderedPageBreak/>
        <w:t xml:space="preserve">continuance </w:t>
      </w:r>
      <w:proofErr w:type="spellStart"/>
      <w:r>
        <w:t>argueth</w:t>
      </w:r>
      <w:proofErr w:type="spellEnd"/>
      <w:r>
        <w:t xml:space="preserve"> first.”</w:t>
      </w:r>
      <w:r>
        <w:rPr>
          <w:rStyle w:val="FootnoteReference"/>
          <w:color w:val="000000" w:themeColor="text1"/>
        </w:rPr>
        <w:footnoteReference w:id="325"/>
      </w:r>
      <w:r>
        <w:t xml:space="preserve"> The benchers, J.H. Baker observes, could “argue against their own minds for the sake of argument.”</w:t>
      </w:r>
      <w:r>
        <w:rPr>
          <w:rStyle w:val="FootnoteReference"/>
          <w:color w:val="000000" w:themeColor="text1"/>
        </w:rPr>
        <w:footnoteReference w:id="326"/>
      </w:r>
      <w:r>
        <w:t xml:space="preserve"> A junior lawyer learned his law by attacking his elders’ positions in public, and the elders answered last. I have represented Medieval English ADR in the following timeline:</w:t>
      </w:r>
    </w:p>
    <w:p w14:paraId="0CE8C412" w14:textId="77777777" w:rsidR="00196DC1" w:rsidRPr="00A9375B" w:rsidRDefault="008C2858" w:rsidP="003D74D8">
      <w:pPr>
        <w:spacing w:line="480" w:lineRule="auto"/>
        <w:jc w:val="both"/>
        <w:rPr>
          <w:color w:val="000000" w:themeColor="text1"/>
        </w:rPr>
      </w:pPr>
      <w:r>
        <w:rPr>
          <w:noProof/>
          <w:color w:val="000000" w:themeColor="text1"/>
        </w:rPr>
        <w:drawing>
          <wp:inline distT="0" distB="0" distL="0" distR="0" wp14:anchorId="0C0765C8" wp14:editId="12D8563E">
            <wp:extent cx="5942968" cy="2630774"/>
            <wp:effectExtent l="0" t="0" r="635" b="0"/>
            <wp:docPr id="1222129410"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9410" name="Picture 1" descr="A diagram of a system  Description automatically generated"/>
                    <pic:cNvPicPr/>
                  </pic:nvPicPr>
                  <pic:blipFill rotWithShape="1">
                    <a:blip r:embed="rId14"/>
                    <a:srcRect t="6480" b="12276"/>
                    <a:stretch/>
                  </pic:blipFill>
                  <pic:spPr bwMode="auto">
                    <a:xfrm>
                      <a:off x="0" y="0"/>
                      <a:ext cx="5943600" cy="263105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27"/>
      </w:r>
    </w:p>
    <w:p w14:paraId="58B69F42" w14:textId="77777777" w:rsidR="00D879FE" w:rsidRDefault="00000000">
      <w:pPr>
        <w:pStyle w:val="BodyTextFirstIndent"/>
        <w:spacing w:line="480" w:lineRule="auto"/>
        <w:jc w:val="both"/>
      </w:pPr>
      <w:r>
        <w:lastRenderedPageBreak/>
        <w:t>The differing QCMs, drawn together, look like this:</w:t>
      </w:r>
    </w:p>
    <w:p w14:paraId="71089412" w14:textId="77777777" w:rsidR="003E09AC" w:rsidRPr="00A9375B" w:rsidRDefault="00BB165A" w:rsidP="003D74D8">
      <w:pPr>
        <w:spacing w:line="480" w:lineRule="auto"/>
        <w:jc w:val="both"/>
        <w:rPr>
          <w:color w:val="000000" w:themeColor="text1"/>
        </w:rPr>
      </w:pPr>
      <w:r>
        <w:rPr>
          <w:noProof/>
          <w:color w:val="000000" w:themeColor="text1"/>
        </w:rPr>
        <w:drawing>
          <wp:inline distT="0" distB="0" distL="0" distR="0" wp14:anchorId="10713EED" wp14:editId="6387B8A0">
            <wp:extent cx="5943600" cy="3691255"/>
            <wp:effectExtent l="0" t="0" r="0" b="4445"/>
            <wp:docPr id="1831582834"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8860" name="Picture 1" descr="A close-up of a text  Description automatically generated"/>
                    <pic:cNvPicPr/>
                  </pic:nvPicPr>
                  <pic:blipFill>
                    <a:blip r:embed="rId15"/>
                    <a:stretch>
                      <a:fillRect/>
                    </a:stretch>
                  </pic:blipFill>
                  <pic:spPr>
                    <a:xfrm>
                      <a:off x="0" y="0"/>
                      <a:ext cx="5943600" cy="3691255"/>
                    </a:xfrm>
                    <a:prstGeom prst="rect">
                      <a:avLst/>
                    </a:prstGeom>
                  </pic:spPr>
                </pic:pic>
              </a:graphicData>
            </a:graphic>
          </wp:inline>
        </w:drawing>
      </w:r>
    </w:p>
    <w:p w14:paraId="7125625C" w14:textId="77777777" w:rsidR="00D879FE" w:rsidRDefault="00000000">
      <w:pPr>
        <w:pStyle w:val="BodyTextFirstIndent"/>
        <w:spacing w:line="480" w:lineRule="auto"/>
        <w:jc w:val="both"/>
      </w:pPr>
      <w:r>
        <w:t>This figure shows a principle that recurs throughout the civilizations surveyed in this Note. The most reliable way of (1) relieving the formal docket from excessive litigation and (2) ensuring clients receive strong advocacy was never the administrative placement of ADR forums alongside it—as modern American practice assumes—but the imposition of the burden on disputants themselves, whose QCM-compelled scrutiny of their own claims before filing accomplished what no screening clerk could replicate.</w:t>
      </w:r>
      <w:r>
        <w:rPr>
          <w:rStyle w:val="FootnoteReference"/>
          <w:color w:val="000000" w:themeColor="text1"/>
        </w:rPr>
        <w:footnoteReference w:id="328"/>
      </w:r>
    </w:p>
    <w:p w14:paraId="16C15044" w14:textId="77777777" w:rsidR="00A405B1" w:rsidRDefault="00A405B1">
      <w:pPr>
        <w:pStyle w:val="BodyTextFirstIndent"/>
        <w:spacing w:line="480" w:lineRule="auto"/>
        <w:jc w:val="both"/>
      </w:pPr>
    </w:p>
    <w:p w14:paraId="1FBDC73F" w14:textId="77777777" w:rsidR="00A405B1" w:rsidRDefault="00A405B1">
      <w:pPr>
        <w:pStyle w:val="BodyTextFirstIndent"/>
        <w:spacing w:line="480" w:lineRule="auto"/>
        <w:jc w:val="both"/>
      </w:pPr>
    </w:p>
    <w:p w14:paraId="3CEE4E82" w14:textId="77777777" w:rsidR="00A405B1" w:rsidRDefault="00A405B1">
      <w:pPr>
        <w:pStyle w:val="BodyTextFirstIndent"/>
        <w:spacing w:line="480" w:lineRule="auto"/>
        <w:jc w:val="both"/>
      </w:pPr>
    </w:p>
    <w:p w14:paraId="77DD6BBC" w14:textId="77777777" w:rsidR="00CF05B8" w:rsidRDefault="00CF05B8" w:rsidP="00A405B1">
      <w:pPr>
        <w:spacing w:line="480" w:lineRule="auto"/>
        <w:jc w:val="both"/>
        <w:rPr>
          <w:color w:val="000000" w:themeColor="text1"/>
        </w:rPr>
      </w:pPr>
    </w:p>
    <w:p>
      <w:pPr>
        <w:pStyle w:val="ListParagraph"/>
        <w:numPr>
          <w:ilvl w:val="0"/>
          <w:numId w:val="6"/>
        </w:numPr>
        <w:spacing w:line="480" w:lineRule="auto"/>
        <w:jc w:val="both"/>
        <w:rPr>
          <w:ins w:id="200185" w:author="Claude" w:date="2026-09-27T12:00:00Z"/>
          <w:i/>
          <w:iCs/>
          <w:color w:val="000000" w:themeColor="text1"/>
        </w:rPr>
      </w:pPr>
      <w:ins w:id="200184" w:author="Claude" w:date="2026-09-27T12:00:00Z">
        <w:r>
          <w:rPr>
            <w:i/>
            <w:color w:val="000000" w:themeColor="text1"/>
          </w:rPr>
          <w:t>What the Survey Shows: Three Points About QCMs</w:t>
        </w:r>
      </w:ins>
    </w:p>
    <w:p w14:paraId="4BE55799" w14:textId="6559C13D" w:rsidR="00A405B1" w:rsidRPr="00A405B1" w:rsidRDefault="00A405B1" w:rsidP="00A405B1">
      <w:pPr>
        <w:pStyle w:val="BodyTextFirstIndent"/>
        <w:numPr>
          <w:ilvl w:val="0"/>
          <w:numId w:val="6"/>
        </w:numPr>
        <w:spacing w:line="480" w:lineRule="auto"/>
        <w:jc w:val="both"/>
        <w:rPr>
          <w:del w:id="200033" w:author="Claude" w:date="2026-09-27T12:00:00Z"/>
          <w:i/>
          <w:iCs/>
          <w:highlight w:val="yellow"/>
        </w:rPr>
      </w:pPr>
      <w:del w:id="200032" w:author="Claude" w:date="2026-09-27T12:00:00Z">
        <w:r w:rsidRPr="00A405B1">
          <w:rPr>
            <w:i/>
            <w:iCs/>
            <w:highlight w:val="yellow"/>
          </w:rPr>
          <w:delText>TAKEAWYAS FROM THIS SECTIONS DISCUSSION OF QCMS</w:delText>
        </w:r>
      </w:del>
    </w:p>
    <w:p w14:paraId="385E5FCD" w14:textId="77777777" w:rsidR="00A405B1" w:rsidRPr="00A405B1" w:rsidRDefault="00A405B1" w:rsidP="00A405B1">
      <w:pPr>
        <w:pStyle w:val="BodyTextFirstIndent"/>
        <w:spacing w:line="480" w:lineRule="auto"/>
        <w:ind w:left="360" w:firstLine="0"/>
        <w:jc w:val="both"/>
        <w:rPr>
          <w:highlight w:val="yellow"/>
        </w:rPr>
      </w:pPr>
    </w:p>
    <w:p>
      <w:pPr>
        <w:pStyle w:val="BodyTextFirstIndent"/>
        <w:spacing w:line="480" w:lineRule="auto"/>
        <w:jc w:val="both"/>
        <w:rPr>
          <w:ins w:id="200187" w:author="Claude" w:date="2026-09-27T12:00:00Z"/>
        </w:rPr>
      </w:pPr>
      <w:ins w:id="200186" w:author="Claude" w:date="2026-09-27T12:00:00Z">
        <w:r>
          <w:t>Three points follow from the survey. The first is the word “oath.” Most of the societies surveyed used it, or something like it, for their QCM; but as I have described, what mattered was the price and not its form. The Mesopotamian farmer swore a conditional self-curse before gods who were understood to enforce it. The Athenian swore nothing to any god; his “oath” was his character, staked before hundreds of his fellow citizens who would remember how the vote went. The Confucian litigant paid in the harmony of his community; the Anglo-Saxon accuser paid in witnesses sworn to confirm his charge and in public performance, and the parties at Hagbourne were warned that if the oath were given “thereafter there would be no friendship.” Each was a device, sacred or secular, for the same end: to set a price on a weak claim, and to collect it before the claim was brought rather than after.</w:t>
        </w:r>
      </w:ins>
    </w:p>
    <w:p>
      <w:pPr>
        <w:pStyle w:val="BodyTextFirstIndent"/>
        <w:spacing w:line="480" w:lineRule="auto"/>
        <w:jc w:val="both"/>
        <w:rPr>
          <w:ins w:id="200189" w:author="Claude" w:date="2026-09-27T12:00:00Z"/>
        </w:rPr>
      </w:pPr>
      <w:ins w:id="200188" w:author="Claude" w:date="2026-09-27T12:00:00Z">
        <w:r>
          <w:t>The second is who paid. As I have described in discussing Rome, the QCM bound the person who argued the case: the litigant himself, until Rome professionalized counsel, and thereafter the advocate, on whom the calumny oath fell while the loser-pays rule fell on his client. That distinction matters for what follows, because, as I shall describe in Section V, the nineteenth-century American bar diluted the advocate’s oath until little of it remained.</w:t>
        </w:r>
      </w:ins>
    </w:p>
    <w:p w14:paraId="178DFF6F" w14:textId="77777777" w:rsidR="00A405B1" w:rsidRPr="00A405B1" w:rsidRDefault="00A405B1" w:rsidP="00A405B1">
      <w:pPr>
        <w:pStyle w:val="BodyTextFirstIndent"/>
        <w:spacing w:line="480" w:lineRule="auto"/>
        <w:jc w:val="both"/>
        <w:rPr>
          <w:del w:id="200043" w:author="Claude" w:date="2026-09-27T12:00:00Z"/>
          <w:highlight w:val="yellow"/>
        </w:rPr>
      </w:pPr>
      <w:del w:id="200034" w:author="Claude" w:date="2026-09-27T12:00:00Z">
        <w:r w:rsidRPr="00A405B1">
          <w:rPr>
            <w:highlight w:val="yellow"/>
          </w:rPr>
          <w:delText>Three points about QCMs warrant emphasis. First, many societies used the term “oath” for their respective QCM, but the concept reaches past a bare sworn affirmation to a supreme deity to a broader spectrum of secular mechanisms designed to force a potential litigant to internalize the existential costs of advancing a weak claim.</w:delText>
        </w:r>
      </w:del>
      <w:del w:id="200035" w:author="Claude" w:date="2026-09-27T12:00:00Z">
        <w:r w:rsidRPr="00A405B1">
          <w:rPr>
            <w:rStyle w:val="FootnoteReference"/>
            <w:color w:val="000000" w:themeColor="text1"/>
            <w:highlight w:val="yellow"/>
          </w:rPr>
          <w:footnoteReference w:id="329"/>
        </w:r>
      </w:del>
      <w:del w:id="200036" w:author="Claude" w:date="2026-09-27T12:00:00Z">
        <w:r w:rsidRPr="00A405B1">
          <w:rPr>
            <w:highlight w:val="yellow"/>
          </w:rPr>
          <w:delText xml:space="preserve"> Where the QCM took the form of an oath invoking misfortune, it signaled a disputant was “therefore </w:delText>
        </w:r>
      </w:del>
      <w:proofErr w:type="spellStart"/>
      <w:del w:id="200037" w:author="Claude" w:date="2026-09-27T12:00:00Z">
        <w:r w:rsidRPr="00A405B1">
          <w:rPr>
            <w:highlight w:val="yellow"/>
          </w:rPr>
          <w:delText>tak</w:delText>
        </w:r>
      </w:del>
      <w:proofErr w:type="spellEnd"/>
      <w:del w:id="200038" w:author="Claude" w:date="2026-09-27T12:00:00Z">
        <w:r w:rsidRPr="00A405B1">
          <w:rPr>
            <w:highlight w:val="yellow"/>
          </w:rPr>
          <w:delText>[</w:delText>
        </w:r>
      </w:del>
      <w:proofErr w:type="spellStart"/>
      <w:del w:id="200039" w:author="Claude" w:date="2026-09-27T12:00:00Z">
        <w:r w:rsidRPr="00A405B1">
          <w:rPr>
            <w:highlight w:val="yellow"/>
          </w:rPr>
          <w:delText>ing</w:delText>
        </w:r>
      </w:del>
      <w:proofErr w:type="spellEnd"/>
      <w:del w:id="200040" w:author="Claude" w:date="2026-09-27T12:00:00Z">
        <w:r w:rsidRPr="00A405B1">
          <w:rPr>
            <w:highlight w:val="yellow"/>
          </w:rPr>
          <w:delText>] a costly risk, thereby honestly communicating one’s desire to obtain a given verdict.”</w:delText>
        </w:r>
      </w:del>
      <w:del w:id="200041" w:author="Claude" w:date="2026-09-27T12:00:00Z">
        <w:r w:rsidRPr="00A405B1">
          <w:rPr>
            <w:rStyle w:val="FootnoteReference"/>
            <w:color w:val="000000" w:themeColor="text1"/>
            <w:highlight w:val="yellow"/>
          </w:rPr>
          <w:footnoteReference w:id="330"/>
        </w:r>
      </w:del>
      <w:del w:id="200042" w:author="Claude" w:date="2026-09-27T12:00:00Z">
        <w:r w:rsidRPr="00A405B1">
          <w:rPr>
            <w:highlight w:val="yellow"/>
          </w:rPr>
          <w:delText xml:space="preserve"> </w:delText>
        </w:r>
      </w:del>
    </w:p>
    <w:p w14:paraId="3D8D157F" w14:textId="77777777" w:rsidR="00A405B1" w:rsidRPr="00A405B1" w:rsidRDefault="00A405B1" w:rsidP="00A405B1">
      <w:pPr>
        <w:pStyle w:val="BodyTextFirstIndent"/>
        <w:spacing w:line="480" w:lineRule="auto"/>
        <w:jc w:val="both"/>
        <w:rPr>
          <w:del w:id="200066" w:author="Claude" w:date="2026-09-27T12:00:00Z"/>
          <w:highlight w:val="yellow"/>
        </w:rPr>
      </w:pPr>
      <w:del w:id="200044" w:author="Claude" w:date="2026-09-27T12:00:00Z">
        <w:r w:rsidRPr="00A405B1">
          <w:rPr>
            <w:highlight w:val="yellow"/>
          </w:rPr>
          <w:delText>Fear of the divine was the source of the oath’s power in Ancient Near Eastern societies. In Classical Athens the “oath” meant something else: the relentless cultural emphasis on individual character enforced through the courts, whose speeches publicized a litigant’s past misconduct and exposed him to informal social sanction.</w:delText>
        </w:r>
      </w:del>
      <w:bookmarkStart w:id="38" w:name="_Ref221994504"/>
      <w:del w:id="200045" w:author="Claude" w:date="2026-09-27T12:00:00Z">
        <w:r w:rsidRPr="00A405B1">
          <w:rPr>
            <w:rStyle w:val="FootnoteReference"/>
            <w:color w:val="000000" w:themeColor="text1"/>
            <w:highlight w:val="yellow"/>
          </w:rPr>
          <w:footnoteReference w:id="331"/>
        </w:r>
      </w:del>
      <w:bookmarkEnd w:id="38"/>
      <w:del w:id="200046" w:author="Claude" w:date="2026-09-27T12:00:00Z">
        <w:r w:rsidRPr="00A405B1">
          <w:rPr>
            <w:highlight w:val="yellow"/>
          </w:rPr>
          <w:delText xml:space="preserve"> As </w:delText>
        </w:r>
      </w:del>
      <w:proofErr w:type="spellStart"/>
      <w:del w:id="200047" w:author="Claude" w:date="2026-09-27T12:00:00Z">
        <w:r w:rsidRPr="00A405B1">
          <w:rPr>
            <w:highlight w:val="yellow"/>
          </w:rPr>
          <w:delText>Adriaan</w:delText>
        </w:r>
      </w:del>
      <w:proofErr w:type="spellEnd"/>
      <w:del w:id="200048" w:author="Claude" w:date="2026-09-27T12:00:00Z">
        <w:r w:rsidRPr="00A405B1">
          <w:rPr>
            <w:highlight w:val="yellow"/>
          </w:rPr>
          <w:delText xml:space="preserve"> </w:delText>
        </w:r>
      </w:del>
      <w:proofErr w:type="spellStart"/>
      <w:del w:id="200049" w:author="Claude" w:date="2026-09-27T12:00:00Z">
        <w:r w:rsidRPr="00A405B1">
          <w:rPr>
            <w:highlight w:val="yellow"/>
          </w:rPr>
          <w:delText>Lanni</w:delText>
        </w:r>
      </w:del>
      <w:proofErr w:type="spellEnd"/>
      <w:del w:id="200050" w:author="Claude" w:date="2026-09-27T12:00:00Z">
        <w:r w:rsidRPr="00A405B1">
          <w:rPr>
            <w:highlight w:val="yellow"/>
          </w:rPr>
          <w:delText xml:space="preserve"> observes, because “a litigant’s conduct over the course of his entire life was deemed relevant 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w:delText>
        </w:r>
      </w:del>
      <w:del w:id="200051" w:author="Claude" w:date="2026-09-27T12:00:00Z">
        <w:r w:rsidRPr="00A405B1">
          <w:rPr>
            <w:highlight w:val="yellow"/>
          </w:rPr>
          <w:lastRenderedPageBreak/>
          <w:delText>point in their lives.</w:delText>
        </w:r>
      </w:del>
      <w:del w:id="200052" w:author="Claude" w:date="2026-09-27T12:00:00Z">
        <w:r w:rsidRPr="00A405B1">
          <w:rPr>
            <w:rStyle w:val="FootnoteReference"/>
            <w:color w:val="000000" w:themeColor="text1"/>
            <w:highlight w:val="yellow"/>
          </w:rPr>
          <w:footnoteReference w:id="332"/>
        </w:r>
      </w:del>
      <w:del w:id="200053" w:author="Claude" w:date="2026-09-27T12:00:00Z">
        <w:r w:rsidRPr="00A405B1">
          <w:rPr>
            <w:highlight w:val="yellow"/>
          </w:rPr>
          <w:delText xml:space="preserve"> This system “gave litigants incentives to investigate their opponents and uncover any past violations of statutory or </w:delText>
        </w:r>
      </w:del>
      <w:proofErr w:type="spellStart"/>
      <w:del w:id="200054" w:author="Claude" w:date="2026-09-27T12:00:00Z">
        <w:r w:rsidRPr="00A405B1">
          <w:rPr>
            <w:highlight w:val="yellow"/>
          </w:rPr>
          <w:delText>extrastatutory</w:delText>
        </w:r>
      </w:del>
      <w:proofErr w:type="spellEnd"/>
      <w:del w:id="200055" w:author="Claude" w:date="2026-09-27T12:00:00Z">
        <w:r w:rsidRPr="00A405B1">
          <w:rPr>
            <w:highlight w:val="yellow"/>
          </w:rPr>
          <w:delText xml:space="preserve">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delText>
        </w:r>
      </w:del>
      <w:del w:id="200056" w:author="Claude" w:date="2026-09-27T12:00:00Z">
        <w:r w:rsidRPr="00A405B1">
          <w:rPr>
            <w:rStyle w:val="FootnoteReference"/>
            <w:color w:val="000000" w:themeColor="text1"/>
            <w:highlight w:val="yellow"/>
          </w:rPr>
          <w:footnoteReference w:id="333"/>
        </w:r>
      </w:del>
      <w:del w:id="200057" w:author="Claude" w:date="2026-09-27T12:00:00Z">
        <w:r w:rsidRPr="00A405B1">
          <w:rPr>
            <w:highlight w:val="yellow"/>
          </w:rPr>
          <w:delText xml:space="preserve"> For example, </w:delText>
        </w:r>
      </w:del>
      <w:proofErr w:type="spellStart"/>
      <w:del w:id="200058" w:author="Claude" w:date="2026-09-27T12:00:00Z">
        <w:r w:rsidRPr="00A405B1">
          <w:rPr>
            <w:highlight w:val="yellow"/>
          </w:rPr>
          <w:delText>Phrynion</w:delText>
        </w:r>
      </w:del>
      <w:proofErr w:type="spellEnd"/>
      <w:del w:id="200059" w:author="Claude" w:date="2026-09-27T12:00:00Z">
        <w:r w:rsidRPr="00A405B1">
          <w:rPr>
            <w:highlight w:val="yellow"/>
          </w:rPr>
          <w:delText>, upon a “</w:delText>
        </w:r>
      </w:del>
      <w:proofErr w:type="spellStart"/>
      <w:del w:id="200060" w:author="Claude" w:date="2026-09-27T12:00:00Z">
        <w:r w:rsidRPr="00A405B1">
          <w:rPr>
            <w:highlight w:val="yellow"/>
          </w:rPr>
          <w:delText>realisation</w:delText>
        </w:r>
      </w:del>
      <w:proofErr w:type="spellEnd"/>
      <w:del w:id="200061" w:author="Claude" w:date="2026-09-27T12:00:00Z">
        <w:r w:rsidRPr="00A405B1">
          <w:rPr>
            <w:highlight w:val="yellow"/>
          </w:rPr>
          <w:delText xml:space="preserve"> that his claims that she was his slave were weak,” “drop[ped] that case in </w:delText>
        </w:r>
      </w:del>
      <w:proofErr w:type="spellStart"/>
      <w:del w:id="200062" w:author="Claude" w:date="2026-09-27T12:00:00Z">
        <w:r w:rsidRPr="00A405B1">
          <w:rPr>
            <w:highlight w:val="yellow"/>
          </w:rPr>
          <w:delText>favour</w:delText>
        </w:r>
      </w:del>
      <w:proofErr w:type="spellEnd"/>
      <w:del w:id="200063" w:author="Claude" w:date="2026-09-27T12:00:00Z">
        <w:r w:rsidRPr="00A405B1">
          <w:rPr>
            <w:highlight w:val="yellow"/>
          </w:rPr>
          <w:delText xml:space="preserve"> of arbitration”—deterred by the formal tier’s binary structure that precluded compromise, oaths that risked branding him a perjurer, and financial penalties designed to “make someone hesitate” before obstructing justice.</w:delText>
        </w:r>
      </w:del>
      <w:del w:id="200064" w:author="Claude" w:date="2026-09-27T12:00:00Z">
        <w:r w:rsidRPr="00A405B1">
          <w:rPr>
            <w:rStyle w:val="FootnoteReference"/>
            <w:color w:val="000000" w:themeColor="text1"/>
            <w:highlight w:val="yellow"/>
          </w:rPr>
          <w:footnoteReference w:id="334"/>
        </w:r>
      </w:del>
      <w:del w:id="200065" w:author="Claude" w:date="2026-09-27T12:00:00Z">
        <w:r w:rsidRPr="00A405B1">
          <w:rPr>
            <w:highlight w:val="yellow"/>
          </w:rPr>
          <w:delText xml:space="preserve"> The “oath” thus had no connection to the divine in Athens, instead serving as a proxy for total reputational risk because the adjudicative process declined to sever the legal claim from the moral standing of the claimant. The following figure represents some of the differing QCMs.</w:delText>
        </w:r>
      </w:del>
    </w:p>
    <w:p w14:paraId="687E909C" w14:textId="77777777" w:rsidR="00A405B1" w:rsidRPr="00A405B1" w:rsidRDefault="00A405B1" w:rsidP="00A405B1">
      <w:pPr>
        <w:spacing w:line="480" w:lineRule="auto"/>
        <w:jc w:val="both"/>
        <w:rPr>
          <w:del w:id="200068" w:author="Claude" w:date="2026-09-27T12:00:00Z"/>
          <w:color w:val="000000" w:themeColor="text1"/>
          <w:highlight w:val="yellow"/>
        </w:rPr>
      </w:pPr>
      <w:del w:id="200067" w:author="Claude" w:date="2026-09-27T12:00:00Z">
        <w:r w:rsidRPr="00A405B1">
          <w:rPr>
            <w:noProof/>
            <w:color w:val="000000" w:themeColor="text1"/>
            <w:highlight w:val="yellow"/>
          </w:rPr>
          <w:lastRenderedPageBreak/>
          <w:drawing>
            <wp:inline distT="0" distB="0" distL="0" distR="0" wp14:anchorId="5AE101FE" wp14:editId="051652CE">
              <wp:extent cx="5943600" cy="3691255"/>
              <wp:effectExtent l="0" t="0" r="0" b="4445"/>
              <wp:docPr id="825428860"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8860" name="Picture 1" descr="A close-up of a text  Description automatically generated"/>
                      <pic:cNvPicPr/>
                    </pic:nvPicPr>
                    <pic:blipFill>
                      <a:blip r:embed="rId15"/>
                      <a:stretch>
                        <a:fillRect/>
                      </a:stretch>
                    </pic:blipFill>
                    <pic:spPr>
                      <a:xfrm>
                        <a:off x="0" y="0"/>
                        <a:ext cx="5943600" cy="3691255"/>
                      </a:xfrm>
                      <a:prstGeom prst="rect">
                        <a:avLst/>
                      </a:prstGeom>
                    </pic:spPr>
                  </pic:pic>
                </a:graphicData>
              </a:graphic>
            </wp:inline>
          </w:drawing>
        </w:r>
      </w:del>
    </w:p>
    <w:p w14:paraId="5A7EAAF4" w14:textId="77777777" w:rsidR="00A405B1" w:rsidRPr="00A405B1" w:rsidRDefault="00A405B1" w:rsidP="00A405B1">
      <w:pPr>
        <w:pStyle w:val="BodyTextFirstIndent"/>
        <w:spacing w:line="480" w:lineRule="auto"/>
        <w:jc w:val="both"/>
        <w:rPr>
          <w:del w:id="200077" w:author="Claude" w:date="2026-09-27T12:00:00Z"/>
          <w:highlight w:val="yellow"/>
        </w:rPr>
      </w:pPr>
      <w:del w:id="200069" w:author="Claude" w:date="2026-09-27T12:00:00Z">
        <w:r w:rsidRPr="00A405B1">
          <w:rPr>
            <w:highlight w:val="yellow"/>
          </w:rPr>
          <w:delText>This figure shows a principle that recurs throughout the civilizations surveyed in this Note. The most reliable way of (1) relieving the formal docket from excessive litigation and (2) ensuring clients receive strong advocacy was never the administrative placement of ADR forums alongside it—as modern American practice assumes—but the imposition of the burden on disputants themselves, whose QCM-compelled scrutiny of their own claims before filing accomplished what no screening clerk could replicate.</w:delText>
        </w:r>
      </w:del>
      <w:del w:id="200070" w:author="Claude" w:date="2026-09-27T12:00:00Z">
        <w:r w:rsidRPr="00A405B1">
          <w:rPr>
            <w:rStyle w:val="FootnoteReference"/>
            <w:color w:val="000000" w:themeColor="text1"/>
            <w:highlight w:val="yellow"/>
          </w:rPr>
          <w:footnoteReference w:id="335"/>
        </w:r>
      </w:del>
      <w:del w:id="200071" w:author="Claude" w:date="2026-09-27T12:00:00Z">
        <w:r w:rsidRPr="00A405B1">
          <w:rPr>
            <w:highlight w:val="yellow"/>
          </w:rPr>
          <w:delText xml:space="preserve"> This brings me to the second point about the QCM. Up until the Roman Empire, throughout much of human history, litigants were conceptually “pro se,” so to speak.</w:delText>
        </w:r>
      </w:del>
      <w:bookmarkStart w:id="39" w:name="_Ref222161048"/>
      <w:del w:id="200072" w:author="Claude" w:date="2026-09-27T12:00:00Z">
        <w:r w:rsidRPr="00A405B1">
          <w:rPr>
            <w:rStyle w:val="FootnoteReference"/>
            <w:color w:val="000000" w:themeColor="text1"/>
            <w:highlight w:val="yellow"/>
          </w:rPr>
          <w:footnoteReference w:id="336"/>
        </w:r>
      </w:del>
      <w:bookmarkEnd w:id="39"/>
      <w:del w:id="200073" w:author="Claude" w:date="2026-09-27T12:00:00Z">
        <w:r w:rsidRPr="00A405B1">
          <w:rPr>
            <w:highlight w:val="yellow"/>
          </w:rPr>
          <w:delText xml:space="preserve">Accordingly, the historic oath/QCM should not be confused with a modern juror swearing </w:delText>
        </w:r>
      </w:del>
      <w:del w:id="200074" w:author="Claude" w:date="2026-09-27T12:00:00Z">
        <w:r w:rsidRPr="00A405B1">
          <w:rPr>
            <w:highlight w:val="yellow"/>
          </w:rPr>
          <w:lastRenderedPageBreak/>
          <w:delText>their testimony is truthful or the ABA’s “oath” (if you can call it that), as these QCMs applied to the individual advancing legal arguments in court.</w:delText>
        </w:r>
      </w:del>
      <w:del w:id="200075" w:author="Claude" w:date="2026-09-27T12:00:00Z">
        <w:r w:rsidRPr="00A405B1">
          <w:rPr>
            <w:rStyle w:val="FootnoteReference"/>
            <w:color w:val="000000" w:themeColor="text1"/>
            <w:highlight w:val="yellow"/>
          </w:rPr>
          <w:footnoteReference w:id="337"/>
        </w:r>
      </w:del>
      <w:del w:id="200076" w:author="Claude" w:date="2026-09-27T12:00:00Z">
        <w:r w:rsidRPr="00A405B1">
          <w:rPr>
            <w:highlight w:val="yellow"/>
          </w:rPr>
          <w:delText xml:space="preserve"> </w:delText>
        </w:r>
      </w:del>
    </w:p>
    <w:p w14:paraId="48713D43" w14:textId="77777777" w:rsidR="00A405B1" w:rsidRPr="00A405B1" w:rsidRDefault="00A405B1" w:rsidP="00A405B1">
      <w:pPr>
        <w:pStyle w:val="BodyTextFirstIndent"/>
        <w:spacing w:line="480" w:lineRule="auto"/>
        <w:jc w:val="both"/>
        <w:rPr>
          <w:del w:id="200085" w:author="Claude" w:date="2026-09-27T12:00:00Z"/>
          <w:highlight w:val="yellow"/>
        </w:rPr>
      </w:pPr>
      <w:del w:id="200078" w:author="Claude" w:date="2026-09-27T12:00:00Z">
        <w:r w:rsidRPr="00A405B1">
          <w:rPr>
            <w:highlight w:val="yellow"/>
          </w:rPr>
          <w:delText>Rome professionalized counsel, and the calumny oath came with the profession. It required that an advocate “swear that he would faithfully and wholeheartedly strive to present his client’s case justly and truthfully,” that “he would not present any case that he considered desperate, groundless, or based on untruths,” and that “if approached to act in such a case, he would refuse”—a pre-filing certification requirement that bound the advocate’s professional identity to the merit of the claim.</w:delText>
        </w:r>
      </w:del>
      <w:del w:id="200079" w:author="Claude" w:date="2026-09-27T12:00:00Z">
        <w:r w:rsidRPr="00A405B1">
          <w:rPr>
            <w:rStyle w:val="FootnoteReference"/>
            <w:color w:val="000000" w:themeColor="text1"/>
            <w:highlight w:val="yellow"/>
          </w:rPr>
          <w:footnoteReference w:id="338"/>
        </w:r>
      </w:del>
      <w:del w:id="200080" w:author="Claude" w:date="2026-09-27T12:00:00Z">
        <w:r w:rsidRPr="00A405B1">
          <w:rPr>
            <w:highlight w:val="yellow"/>
          </w:rPr>
          <w:delText xml:space="preserve"> The Roman code also stipulated counsel must “resign from any case that he discovered to be baseless after he had undertaken it” and serve “in the role of gatekeeper for the court, responsible for making a preliminary assessment of a case’s merits and for deciding whether </w:delText>
        </w:r>
      </w:del>
      <w:del w:id="200081" w:author="Claude" w:date="2026-09-27T12:00:00Z">
        <w:r w:rsidRPr="00A405B1">
          <w:rPr>
            <w:highlight w:val="yellow"/>
          </w:rPr>
          <w:lastRenderedPageBreak/>
          <w:delText>or not a prospective client had a reasonable cause of action.”</w:delText>
        </w:r>
      </w:del>
      <w:del w:id="200082" w:author="Claude" w:date="2026-09-27T12:00:00Z">
        <w:r w:rsidRPr="00A405B1">
          <w:rPr>
            <w:rStyle w:val="FootnoteReference"/>
            <w:highlight w:val="yellow"/>
          </w:rPr>
          <w:footnoteReference w:id="339"/>
        </w:r>
      </w:del>
      <w:del w:id="200083" w:author="Claude" w:date="2026-09-27T12:00:00Z">
        <w:r w:rsidRPr="00A405B1">
          <w:rPr>
            <w:highlight w:val="yellow"/>
          </w:rPr>
          <w:delText> A cost-shifting rule (which exists today) reinforced this oath, whereby “the party who lost a lawsuit became responsible for paying all the direct expenses that the winner incurred,” a mechanism designed, in theory, so that “anyone who brought a foolish lawsuit or defended a hopeless case potentially put himself in financial jeopardy.”</w:delText>
        </w:r>
      </w:del>
      <w:del w:id="200084" w:author="Claude" w:date="2026-09-27T12:00:00Z">
        <w:r w:rsidRPr="00A405B1">
          <w:rPr>
            <w:rStyle w:val="FootnoteReference"/>
            <w:color w:val="000000" w:themeColor="text1"/>
            <w:highlight w:val="yellow"/>
          </w:rPr>
          <w:footnoteReference w:id="340"/>
        </w:r>
      </w:del>
    </w:p>
    <w:p w14:paraId="3B481F63" w14:textId="77777777" w:rsidR="00A405B1" w:rsidRPr="00A405B1" w:rsidRDefault="00A405B1" w:rsidP="00A405B1">
      <w:pPr>
        <w:pStyle w:val="BodyTextFirstIndent"/>
        <w:spacing w:line="480" w:lineRule="auto"/>
        <w:jc w:val="both"/>
        <w:rPr>
          <w:del w:id="200092" w:author="Claude" w:date="2026-09-27T12:00:00Z"/>
          <w:highlight w:val="yellow"/>
        </w:rPr>
      </w:pPr>
      <w:del w:id="200086" w:author="Claude" w:date="2026-09-27T12:00:00Z">
        <w:r w:rsidRPr="00A405B1">
          <w:rPr>
            <w:highlight w:val="yellow"/>
          </w:rPr>
          <w:delText xml:space="preserve">In both the United States and </w:delText>
        </w:r>
      </w:del>
      <w:proofErr w:type="gramStart"/>
      <w:del w:id="200087" w:author="Claude" w:date="2026-09-27T12:00:00Z">
        <w:r w:rsidRPr="00A405B1">
          <w:rPr>
            <w:highlight w:val="yellow"/>
          </w:rPr>
          <w:delText>England</w:delText>
        </w:r>
      </w:del>
      <w:proofErr w:type="gramEnd"/>
      <w:del w:id="200088" w:author="Claude" w:date="2026-09-27T12:00:00Z">
        <w:r w:rsidRPr="00A405B1">
          <w:rPr>
            <w:highlight w:val="yellow"/>
          </w:rPr>
          <w:delText xml:space="preserve"> the nineteenth-century bar “shorten[ed] and dilute[d]” the lawyer’s oath until it “eliminate[d] most of its meaning.” It reduced what was once “the lawyer’s first, if not his only, personal formulation of ethical standards” to a form that is “often more symbolic than substantive.”</w:delText>
        </w:r>
      </w:del>
      <w:del w:id="200089" w:author="Claude" w:date="2026-09-27T12:00:00Z">
        <w:r w:rsidRPr="00A405B1">
          <w:rPr>
            <w:rStyle w:val="FootnoteReference"/>
            <w:color w:val="000000" w:themeColor="text1"/>
            <w:highlight w:val="yellow"/>
          </w:rPr>
          <w:footnoteReference w:id="341"/>
        </w:r>
      </w:del>
      <w:del w:id="200090" w:author="Claude" w:date="2026-09-27T12:00:00Z">
        <w:r w:rsidRPr="00A405B1">
          <w:rPr>
            <w:highlight w:val="yellow"/>
          </w:rPr>
          <w:delText xml:space="preserve"> I must interject here that the dilution of the oath is not merely a curiosity of professional regulation but a revealing symptom of American law’s broader tendency to dismantle, one by one, the very QCMs that had historically compelled individual legal advocates to confront the weaknesses of their own positions before presenting them—a tendency whose cumulative effect, as I shall argue, is to leave modern Deliberative Bodies defenseless against groupthink.</w:delText>
        </w:r>
      </w:del>
      <w:del w:id="200091" w:author="Claude" w:date="2026-09-27T12:00:00Z">
        <w:r w:rsidRPr="00A405B1">
          <w:rPr>
            <w:rStyle w:val="FootnoteReference"/>
            <w:color w:val="000000" w:themeColor="text1"/>
            <w:highlight w:val="yellow"/>
          </w:rPr>
          <w:footnoteReference w:id="342"/>
        </w:r>
      </w:del>
    </w:p>
    <w:p w14:paraId="58E8EFF5" w14:textId="77777777" w:rsidR="00A405B1" w:rsidRPr="00A405B1" w:rsidRDefault="00A405B1" w:rsidP="00A405B1">
      <w:pPr>
        <w:pStyle w:val="BodyTextFirstIndent"/>
        <w:spacing w:line="480" w:lineRule="auto"/>
        <w:jc w:val="both"/>
        <w:rPr>
          <w:highlight w:val="yellow"/>
        </w:rPr>
      </w:pPr>
      <w:proofErr w:type="spellStart"/>
      <w:proofErr w:type="spellEnd"/>
      <w:proofErr w:type="spellStart"/>
      <w:proofErr w:type="spellEnd"/>
      <w:del w:id="100080" w:author="Claude" w:date="2026-09-26T12:00:00Z">
        <w:r>
          <w:rPr>
            <w:highlight w:val="yellow"/>
          </w:rPr>
          <w:delText>The third point about QCMs concerns their survival. Although the separation of church and state has influenced most modern legal systems—a development that has impacted divine QCMs like the Ancient Near Eastern Oath—the spirit of historical QCM variations persists in modern practice where authoritative legal rules are unavailable.</w:delText>
        </w:r>
      </w:del>
      <w:ins w:id="100081" w:author="Claude" w:date="2026-09-26T12:00:00Z">
        <w:r>
          <w:t>And the third is survival. The separation of church and state, now the rule in most modern legal systems, has eliminated divine QCMs like the Mesopotamian oath; yet the spirit of the QCM persists in modern practice where authoritative legal rules are unavailable.</w:t>
        </w:r>
      </w:ins>
      <w:r>
        <w:rPr>
          <w:rStyle w:val="FootnoteReference"/>
          <w:color w:val="000000" w:themeColor="text1"/>
          <w:highlight w:val="yellow"/>
        </w:rPr>
        <w:footnoteReference w:id="343"/>
      </w:r>
      <w:r>
        <w:rPr>
          <w:highlight w:val="yellow"/>
        </w:rPr>
        <w:t xml:space="preserve"> Fish do not talk about water.</w:t>
      </w:r>
      <w:r>
        <w:rPr>
          <w:rStyle w:val="FootnoteReference"/>
          <w:color w:val="000000" w:themeColor="text1"/>
          <w:highlight w:val="yellow"/>
        </w:rPr>
        <w:footnoteReference w:id="344"/>
      </w:r>
      <w:r>
        <w:rPr>
          <w:highlight w:val="yellow"/>
        </w:rPr>
        <w:t xml:space="preserve"> In a secularized society divine oaths are impractical, because “modern societies don’t believe ordeals are </w:t>
      </w:r>
      <w:r>
        <w:rPr>
          <w:i/>
          <w:iCs/>
          <w:highlight w:val="yellow"/>
        </w:rPr>
        <w:t>iudicia</w:t>
      </w:r>
      <w:r>
        <w:rPr>
          <w:highlight w:val="yellow"/>
        </w:rPr>
        <w:t xml:space="preserve"> </w:t>
      </w:r>
      <w:r>
        <w:rPr>
          <w:i/>
          <w:iCs/>
          <w:highlight w:val="yellow"/>
        </w:rPr>
        <w:t>Dei</w:t>
      </w:r>
      <w:r>
        <w:rPr>
          <w:highlight w:val="yellow"/>
        </w:rPr>
        <w:t>, which ordeals require to work” (</w:t>
      </w:r>
      <w:r>
        <w:rPr>
          <w:i/>
          <w:iCs/>
          <w:highlight w:val="yellow"/>
        </w:rPr>
        <w:t>iudicia</w:t>
      </w:r>
      <w:r>
        <w:rPr>
          <w:highlight w:val="yellow"/>
        </w:rPr>
        <w:t xml:space="preserve"> </w:t>
      </w:r>
      <w:r>
        <w:rPr>
          <w:i/>
          <w:iCs/>
          <w:highlight w:val="yellow"/>
        </w:rPr>
        <w:t>Dei</w:t>
      </w:r>
      <w:r>
        <w:rPr>
          <w:highlight w:val="yellow"/>
        </w:rPr>
        <w:t xml:space="preserve"> is a term meaning “judgments of God,” referring to the superstition that God miraculously intervenes to condemn the guilty and exonerate the innocent).</w:t>
      </w:r>
      <w:r>
        <w:rPr>
          <w:rStyle w:val="FootnoteReference"/>
          <w:color w:val="000000" w:themeColor="text1"/>
          <w:highlight w:val="yellow"/>
        </w:rPr>
        <w:footnoteReference w:id="345"/>
      </w:r>
      <w:r>
        <w:rPr>
          <w:highlight w:val="yellow"/>
        </w:rPr>
        <w:t xml:space="preserve"> While other societies have adapted to this cultural transition</w:t>
      </w:r>
      <w:r>
        <w:rPr>
          <w:rStyle w:val="FootnoteReference"/>
          <w:color w:val="000000" w:themeColor="text1"/>
          <w:highlight w:val="yellow"/>
        </w:rPr>
        <w:footnoteReference w:id="346"/>
      </w:r>
      <w:r>
        <w:rPr>
          <w:highlight w:val="yellow"/>
        </w:rPr>
        <w:t>, a series of historical circumstances unique to American society</w:t>
      </w:r>
      <w:r>
        <w:rPr>
          <w:rStyle w:val="FootnoteReference"/>
          <w:color w:val="000000" w:themeColor="text1"/>
          <w:highlight w:val="yellow"/>
        </w:rPr>
        <w:footnoteReference w:id="347"/>
      </w:r>
      <w:r>
        <w:rPr>
          <w:highlight w:val="yellow"/>
        </w:rPr>
        <w:t xml:space="preserve"> means that the oath “once was the principal source of ethical regulation of lawyers, but it is now an often overlooked part of the labyrinth of laws and standards governing lawyer conduct.”</w:t>
      </w:r>
      <w:r>
        <w:rPr>
          <w:rStyle w:val="FootnoteReference"/>
          <w:color w:val="000000" w:themeColor="text1"/>
          <w:highlight w:val="yellow"/>
        </w:rPr>
        <w:footnoteReference w:id="348"/>
      </w:r>
      <w:r>
        <w:rPr>
          <w:highlight w:val="yellow"/>
        </w:rPr>
        <w:t xml:space="preserve"> What follows are just a few examples of how the concept of the oath persists in modern practice.</w:t>
      </w:r>
    </w:p>
    <w:p w14:paraId="7B4A5F6B" w14:textId="77777777" w:rsidR="00A405B1" w:rsidRPr="00A405B1" w:rsidRDefault="00A405B1" w:rsidP="00A405B1">
      <w:pPr>
        <w:pStyle w:val="BodyTextFirstIndent"/>
        <w:spacing w:line="480" w:lineRule="auto"/>
        <w:jc w:val="both"/>
        <w:rPr>
          <w:highlight w:val="yellow"/>
        </w:rPr>
      </w:pPr>
      <w:r w:rsidRPr="00A405B1">
        <w:rPr>
          <w:highlight w:val="yellow"/>
        </w:rPr>
        <w:t>The civil codes of Egypt, Iraq, and other jurisdictions still offer the Ancient Near Eastern decisive oath—the mechanism that allows a plaintiff to shift the burden of proof to a defendant who must swear or accept liability—where it continues to screen claims lacking decisive evidence.</w:t>
      </w:r>
      <w:r w:rsidRPr="00A405B1">
        <w:rPr>
          <w:rStyle w:val="FootnoteReference"/>
          <w:color w:val="000000" w:themeColor="text1"/>
          <w:highlight w:val="yellow"/>
        </w:rPr>
        <w:footnoteReference w:id="349"/>
      </w:r>
      <w:r w:rsidRPr="00A405B1">
        <w:rPr>
          <w:highlight w:val="yellow"/>
        </w:rPr>
        <w:t xml:space="preserve"> In modern Greece, unlike the ABA’s oath, which evolved to permit any defense deemed “honestly debatable”</w:t>
      </w:r>
      <w:r w:rsidRPr="00A405B1">
        <w:rPr>
          <w:rStyle w:val="FootnoteReference"/>
          <w:color w:val="000000" w:themeColor="text1"/>
          <w:highlight w:val="yellow"/>
        </w:rPr>
        <w:footnoteReference w:id="350"/>
      </w:r>
      <w:r w:rsidRPr="00A405B1">
        <w:rPr>
          <w:highlight w:val="yellow"/>
        </w:rPr>
        <w:t xml:space="preserve"> regardless of its content, Article 116 of the Greek Code of Civil Procedure states a general duty to tell the truth and to conduct litigation according to “good faith and morality.”</w:t>
      </w:r>
      <w:r w:rsidRPr="00A405B1">
        <w:rPr>
          <w:rStyle w:val="FootnoteReference"/>
          <w:color w:val="000000" w:themeColor="text1"/>
          <w:highlight w:val="yellow"/>
        </w:rPr>
        <w:footnoteReference w:id="351"/>
      </w:r>
      <w:r w:rsidRPr="00A405B1">
        <w:rPr>
          <w:highlight w:val="yellow"/>
        </w:rPr>
        <w:t xml:space="preserve"> By imposing a positive “duty to tell the truth,” the modern Greek code echoes the ancient extra-statutory norm that viewed the abuse of legal procedure not as zealous advocacy, but as the act of a “common enemy” who threatens the moral fabric of the community.</w:t>
      </w:r>
      <w:r w:rsidRPr="00A405B1">
        <w:rPr>
          <w:rStyle w:val="FootnoteReference"/>
          <w:color w:val="000000" w:themeColor="text1"/>
          <w:highlight w:val="yellow"/>
        </w:rPr>
        <w:footnoteReference w:id="352"/>
      </w:r>
      <w:r w:rsidRPr="00A405B1">
        <w:rPr>
          <w:highlight w:val="yellow"/>
        </w:rPr>
        <w:t xml:space="preserve"> In modern </w:t>
      </w:r>
      <w:r w:rsidRPr="00A405B1">
        <w:rPr>
          <w:highlight w:val="yellow"/>
        </w:rPr>
        <w:lastRenderedPageBreak/>
        <w:t>Rome, the calumny oath, discussed above, “remain[s] embedded in modern [</w:t>
      </w:r>
      <w:proofErr w:type="spellStart"/>
      <w:r w:rsidRPr="00A405B1">
        <w:rPr>
          <w:highlight w:val="yellow"/>
        </w:rPr>
        <w:t>romano</w:t>
      </w:r>
      <w:proofErr w:type="spellEnd"/>
      <w:r w:rsidRPr="00A405B1">
        <w:rPr>
          <w:highlight w:val="yellow"/>
        </w:rPr>
        <w:t>-canonical] procedural codes.”</w:t>
      </w:r>
      <w:r w:rsidRPr="00A405B1">
        <w:rPr>
          <w:rStyle w:val="FootnoteReference"/>
          <w:color w:val="000000" w:themeColor="text1"/>
          <w:highlight w:val="yellow"/>
        </w:rPr>
        <w:footnoteReference w:id="353"/>
      </w:r>
      <w:r w:rsidRPr="00A405B1">
        <w:rPr>
          <w:highlight w:val="yellow"/>
        </w:rPr>
        <w:t xml:space="preserve"> </w:t>
      </w:r>
    </w:p>
    <w:p w14:paraId="6F3B8EC5" w14:textId="77777777" w:rsidR="00A405B1" w:rsidRPr="00A9375B" w:rsidRDefault="00A405B1" w:rsidP="00A405B1">
      <w:pPr>
        <w:pStyle w:val="BodyTextFirstIndent"/>
        <w:spacing w:line="480" w:lineRule="auto"/>
        <w:jc w:val="both"/>
      </w:pPr>
      <w:r>
        <w:rPr>
          <w:highlight w:val="yellow"/>
        </w:rPr>
        <w:t xml:space="preserve">In modern China, the Arbitration Law </w:t>
      </w:r>
      <w:ins w:id="100082" w:author="Claude" w:date="2026-09-26T12:00:00Z">
        <w:r>
          <w:t xml:space="preserve">directly </w:t>
        </w:r>
      </w:ins>
      <w:r>
        <w:rPr>
          <w:highlight w:val="yellow"/>
        </w:rPr>
        <w:t>embeds</w:t>
      </w:r>
      <w:ins w:id="100083" w:author="Claude" w:date="2026-09-26T12:00:00Z">
        <w:r>
          <w:t xml:space="preserve"> the</w:t>
        </w:r>
      </w:ins>
      <w:r>
        <w:rPr>
          <w:highlight w:val="yellow"/>
        </w:rPr>
        <w:t xml:space="preserve"> Confucian </w:t>
      </w:r>
      <w:del w:id="100084" w:author="Claude" w:date="2026-09-26T12:00:00Z">
        <w:r>
          <w:rPr>
            <w:highlight w:val="yellow"/>
          </w:rPr>
          <w:delText>ideals</w:delText>
        </w:r>
      </w:del>
      <w:ins w:id="100085" w:author="Claude" w:date="2026-09-26T12:00:00Z">
        <w:r>
          <w:t>ideal</w:t>
        </w:r>
      </w:ins>
      <w:r>
        <w:rPr>
          <w:highlight w:val="yellow"/>
        </w:rPr>
        <w:t xml:space="preserve"> of social harmony </w:t>
      </w:r>
      <w:del w:id="100086" w:author="Claude" w:date="2026-09-26T12:00:00Z">
        <w:r>
          <w:rPr>
            <w:highlight w:val="yellow"/>
          </w:rPr>
          <w:delText>(</w:delText>
        </w:r>
      </w:del>
      <w:ins w:id="100087" w:author="Claude" w:date="2026-09-26T12:00:00Z">
        <w:r>
          <w:t xml:space="preserve">I have described above, </w:t>
        </w:r>
      </w:ins>
      <w:r>
        <w:rPr>
          <w:highlight w:val="yellow"/>
        </w:rPr>
        <w:t xml:space="preserve">where disruption is the </w:t>
      </w:r>
      <w:del w:id="100088" w:author="Claude" w:date="2026-09-26T12:00:00Z">
        <w:r>
          <w:rPr>
            <w:highlight w:val="yellow"/>
          </w:rPr>
          <w:delText>‘cost’</w:delText>
        </w:r>
      </w:del>
      <w:ins w:id="100089" w:author="Claude" w:date="2026-09-26T12:00:00Z">
        <w:r>
          <w:t>“cost”</w:t>
        </w:r>
      </w:ins>
      <w:r>
        <w:rPr>
          <w:highlight w:val="yellow"/>
        </w:rPr>
        <w:t xml:space="preserve"> of formal litigation</w:t>
      </w:r>
      <w:del w:id="100090" w:author="Claude" w:date="2026-09-26T12:00:00Z">
        <w:r>
          <w:rPr>
            <w:highlight w:val="yellow"/>
          </w:rPr>
          <w:delText>) directly</w:delText>
        </w:r>
      </w:del>
      <w:r>
        <w:rPr>
          <w:highlight w:val="yellow"/>
        </w:rPr>
        <w:t>, and it “strongly encourages the practice of mediation during arbitration proceedings” and empowers arbitral tribunals to initiate mediation even without a party’s request.</w:t>
      </w:r>
      <w:r>
        <w:rPr>
          <w:rStyle w:val="FootnoteReference"/>
          <w:color w:val="000000" w:themeColor="text1"/>
          <w:highlight w:val="yellow"/>
        </w:rPr>
        <w:footnoteReference w:id="354"/>
      </w:r>
      <w:r>
        <w:rPr>
          <w:highlight w:val="yellow"/>
        </w:rPr>
        <w:t xml:space="preserve"> This practice parallels the traditional authority of a village elder restoring communal harmony through deference, face-saving, and relational obligation.</w:t>
      </w:r>
      <w:r>
        <w:rPr>
          <w:rStyle w:val="FootnoteReference"/>
          <w:color w:val="000000" w:themeColor="text1"/>
          <w:highlight w:val="yellow"/>
        </w:rPr>
        <w:footnoteReference w:id="355"/>
      </w:r>
      <w:r>
        <w:rPr>
          <w:highlight w:val="yellow"/>
        </w:rPr>
        <w:t xml:space="preserve"> At the grassroots level, People’s Mediation Committees rooted in Confucian community ordering continue to function as a pre-adjudicative filter, preventing tens of thousands of civil disputes from escalating into criminal matters each year.</w:t>
      </w:r>
      <w:r>
        <w:rPr>
          <w:rStyle w:val="FootnoteReference"/>
          <w:color w:val="000000" w:themeColor="text1"/>
          <w:highlight w:val="yellow"/>
        </w:rPr>
        <w:footnoteReference w:id="356"/>
      </w:r>
      <w:r>
        <w:rPr>
          <w:highlight w:val="yellow"/>
        </w:rPr>
        <w:t xml:space="preserve"> And in England, where dispute resolution through arbitration and mediation predates the common law itself, medieval lovedays evolved into formalized commercial arbitration through the procedural mechanism of penal bonds.</w:t>
      </w:r>
      <w:r>
        <w:rPr>
          <w:rStyle w:val="FootnoteReference"/>
          <w:color w:val="000000" w:themeColor="text1"/>
          <w:highlight w:val="yellow"/>
        </w:rPr>
        <w:footnoteReference w:id="357"/>
      </w:r>
      <w:r>
        <w:rPr>
          <w:highlight w:val="yellow"/>
        </w:rPr>
        <w:t xml:space="preserve"> Unlike the United States’ placement of ADR forums on the same track as litigation, Parliament’s uninterrupted support for pro-arbitration statutes from 1698 through the present has sustained a statutory policy favoring arbitration.</w:t>
      </w:r>
      <w:r>
        <w:rPr>
          <w:rStyle w:val="FootnoteReference"/>
          <w:color w:val="000000" w:themeColor="text1"/>
          <w:highlight w:val="yellow"/>
        </w:rPr>
        <w:footnoteReference w:id="358"/>
      </w:r>
    </w:p>
    <w:p w14:paraId="3B6279BF" w14:textId="77777777" w:rsidR="00A405B1" w:rsidRDefault="00A405B1" w:rsidP="00A405B1">
      <w:pPr>
        <w:spacing w:line="480" w:lineRule="auto"/>
        <w:jc w:val="both"/>
        <w:rPr>
          <w:color w:val="000000" w:themeColor="text1"/>
        </w:rPr>
      </w:pPr>
    </w:p>
    <w:p w14:paraId="2146DBDF" w14:textId="77777777" w:rsidR="00573FFD" w:rsidRPr="00A9375B" w:rsidRDefault="00573FFD" w:rsidP="003D74D8">
      <w:pPr>
        <w:pStyle w:val="ListParagraph"/>
        <w:numPr>
          <w:ilvl w:val="0"/>
          <w:numId w:val="31"/>
        </w:numPr>
        <w:spacing w:line="480" w:lineRule="auto"/>
        <w:jc w:val="center"/>
        <w:rPr>
          <w:smallCaps/>
        </w:rPr>
      </w:pPr>
      <w:r>
        <w:rPr>
          <w:smallCaps/>
        </w:rPr>
        <w:t>These Historical Practices were not Early Iterations of Modern ADR</w:t>
      </w:r>
    </w:p>
    <w:p w14:paraId="366DABC4" w14:textId="77777777" w:rsidR="009B7ADF" w:rsidRPr="00A9375B" w:rsidRDefault="009B7ADF" w:rsidP="003D74D8">
      <w:pPr>
        <w:pStyle w:val="ListParagraph"/>
        <w:spacing w:line="480" w:lineRule="auto"/>
        <w:ind w:left="1080"/>
        <w:jc w:val="both"/>
      </w:pPr>
    </w:p>
    <w:p w14:paraId="2863490F" w14:textId="77777777" w:rsidR="009B7ADF" w:rsidRPr="00A9375B" w:rsidRDefault="00573FFD" w:rsidP="003D74D8">
      <w:pPr>
        <w:pStyle w:val="BodyTextFirstIndent"/>
        <w:spacing w:line="480" w:lineRule="auto"/>
        <w:jc w:val="both"/>
      </w:pPr>
      <w:r>
        <w:t>To characterize the historical ADR practices as early iterations of modern ADR is to commit the same taxonomic error as classifying the automobile as an expedited horse. The analogy fails not because automobiles and horses both facilitate locomotion, but because the internal combustion engine reconfigures the relationship between operator and conveyance—the driver assumes neither the obligations of animal husbandry nor the existential risks of equine dependency. Similarly, the assumption that modern ADR stands further along an evolutionary continuum than the practices surveyed in the preceding section conflates institutional divergence with progressive maturation. What separates these systems is not temporal distance but a reversal in disputant accountability. Whereas traditional mechanisms imposed substantial personal costs and reputational hazards upon disputants before Externalization—rendering the very act of articulating a grievance an exercise in self-scrutiny—contemporary systems have inverted this gatekeeping function, deferring scrutiny until after filing while insulating claimants from the social and psychological consequences that once disciplined the decision to escalate.</w:t>
      </w:r>
      <w:bookmarkStart w:id="40" w:name="_Ref218967994"/>
      <w:r>
        <w:rPr>
          <w:rStyle w:val="FootnoteReference"/>
        </w:rPr>
        <w:footnoteReference w:id="359"/>
      </w:r>
      <w:bookmarkEnd w:id="40"/>
      <w:r>
        <w:t xml:space="preserve"> The defining </w:t>
      </w:r>
      <w:r>
        <w:lastRenderedPageBreak/>
        <w:t>feature of historical ADR was not its communal character or its theological foundations—features that are plainly unavailable to a secular, professionally administered legal system—but its insistence, through QCMs, that no claim could proceed without first having been scrutinized. This insistence functioned, whether by design or by fortunate accident, as both an administrative filter against weak claims and an institutional safeguard against groupthink.</w:t>
      </w:r>
      <w:r>
        <w:rPr>
          <w:rStyle w:val="FootnoteReference"/>
          <w:color w:val="000000" w:themeColor="text1"/>
        </w:rPr>
        <w:footnoteReference w:id="360"/>
      </w:r>
    </w:p>
    <w:p w14:paraId="2E90726E" w14:textId="77777777" w:rsidR="00702CFA" w:rsidRPr="00A9375B" w:rsidRDefault="00702CFA" w:rsidP="003D74D8">
      <w:pPr>
        <w:pStyle w:val="BodyTextFirstIndent"/>
        <w:spacing w:line="480" w:lineRule="auto"/>
        <w:ind w:firstLine="0"/>
        <w:jc w:val="both"/>
      </w:pPr>
    </w:p>
    <w:p w14:paraId="7682B2AF" w14:textId="77777777" w:rsidR="00453149" w:rsidRPr="00A9375B" w:rsidRDefault="007503B6" w:rsidP="003D74D8">
      <w:pPr>
        <w:pStyle w:val="ListParagraph"/>
        <w:numPr>
          <w:ilvl w:val="1"/>
          <w:numId w:val="11"/>
        </w:numPr>
        <w:spacing w:line="480" w:lineRule="auto"/>
        <w:ind w:right="17"/>
        <w:jc w:val="both"/>
        <w:rPr>
          <w:i/>
          <w:iCs/>
        </w:rPr>
      </w:pPr>
      <w:r>
        <w:rPr>
          <w:i/>
          <w:iCs/>
        </w:rPr>
        <w:t>Vacillation of Viability of Informal Forums in Colonies and Founding Era</w:t>
      </w:r>
    </w:p>
    <w:p w14:paraId="0F0DE3C8" w14:textId="77777777" w:rsidR="001F0FD7" w:rsidRPr="00A9375B" w:rsidRDefault="001F0FD7" w:rsidP="003D74D8">
      <w:pPr>
        <w:pStyle w:val="ListParagraph"/>
        <w:spacing w:line="480" w:lineRule="auto"/>
        <w:ind w:left="1440" w:right="17"/>
        <w:jc w:val="both"/>
      </w:pPr>
    </w:p>
    <w:p w14:paraId="22E81B0B" w14:textId="77777777" w:rsidR="00453149" w:rsidRPr="00A9375B" w:rsidRDefault="00453149" w:rsidP="003D74D8">
      <w:pPr>
        <w:pStyle w:val="BodyTextFirstIndent"/>
        <w:spacing w:line="480" w:lineRule="auto"/>
        <w:jc w:val="both"/>
      </w:pPr>
      <w:r>
        <w:t>Local practices germinated anew in colonial America when Plymouth Colony crossed the Atlantic and distanced itself from the imperial apparatus: Puritan church meetings, Quaker monthly meetings, and New Netherland’s Board of Nine Men, an arbitration panel established under Dutch rule.</w:t>
      </w:r>
      <w:bookmarkStart w:id="41" w:name="_Ref214125879"/>
      <w:r>
        <w:rPr>
          <w:rStyle w:val="FootnoteReference"/>
          <w:color w:val="000000" w:themeColor="text1"/>
        </w:rPr>
        <w:footnoteReference w:id="361"/>
      </w:r>
      <w:bookmarkEnd w:id="41"/>
      <w:r>
        <w:t xml:space="preserve"> The ‘costs’ of entering the formal system, exemplified by the Reverend John Cotton’s teaching that to sue a fellow church member was “a defect of brotherly love,” initially rested on geographical land tenure, ethnic solidarity, and piety.</w:t>
      </w:r>
      <w:bookmarkStart w:id="42" w:name="_Ref217241409"/>
      <w:r>
        <w:rPr>
          <w:rStyle w:val="FootnoteReference"/>
          <w:color w:val="000000" w:themeColor="text1"/>
        </w:rPr>
        <w:footnoteReference w:id="362"/>
      </w:r>
      <w:bookmarkEnd w:id="42"/>
      <w:r>
        <w:t xml:space="preserve"> For a time, it was sufficient to </w:t>
      </w:r>
      <w:r>
        <w:lastRenderedPageBreak/>
        <w:t>rely on family government preventing disorder in the state, church covenants mandating discipline under the ‘watch and care’ of the brethren, and the ‘Ordinance of God’ requiring troublemakers to face the ‘stony faces’ of Puritan magistrates.</w:t>
      </w:r>
      <w:bookmarkStart w:id="43" w:name="_Ref222229073"/>
      <w:r>
        <w:rPr>
          <w:rStyle w:val="FootnoteReference"/>
          <w:color w:val="000000" w:themeColor="text1"/>
        </w:rPr>
        <w:footnoteReference w:id="363"/>
      </w:r>
      <w:bookmarkEnd w:id="43"/>
      <w:r>
        <w:t xml:space="preserve"> Yet these dynamics attenuated as acquisitiveness, religious diversity, and transience made informal adjudication impractical.</w:t>
      </w:r>
      <w:r>
        <w:rPr>
          <w:vertAlign w:val="superscript"/>
        </w:rPr>
        <w:footnoteReference w:id="364"/>
      </w:r>
      <w:r>
        <w:t xml:space="preserve"> Formal legal procedures were necessary for recording land, vesting probate authority in secular courts, and enforcing contracts, which colonists increasingly insisted be put in writing.</w:t>
      </w:r>
      <w:bookmarkStart w:id="44" w:name="_Ref222229128"/>
      <w:r>
        <w:rPr>
          <w:rStyle w:val="FootnoteReference"/>
          <w:color w:val="000000" w:themeColor="text1"/>
        </w:rPr>
        <w:footnoteReference w:id="365"/>
      </w:r>
      <w:bookmarkEnd w:id="44"/>
      <w:r>
        <w:t xml:space="preserve"> As Richard Bushman puts it,</w:t>
      </w:r>
    </w:p>
    <w:p w14:paraId="3D622EFE" w14:textId="77777777" w:rsidR="00453149" w:rsidRPr="00A9375B" w:rsidRDefault="00453149" w:rsidP="003D74D8">
      <w:pPr>
        <w:pStyle w:val="BodyTextFirstIndent2"/>
        <w:spacing w:line="480" w:lineRule="auto"/>
        <w:ind w:left="720" w:right="720" w:firstLine="0"/>
        <w:jc w:val="both"/>
      </w:pPr>
      <w:r>
        <w:lastRenderedPageBreak/>
        <w:t>“[P]</w:t>
      </w:r>
      <w:proofErr w:type="spellStart"/>
      <w:r>
        <w:t>opular</w:t>
      </w:r>
      <w:proofErr w:type="spellEnd"/>
      <w:r>
        <w:t xml:space="preserve"> economic interests outgrew the town, which lost its capacity to satisfy the wants of its people. . . . [Church] discipline against these rebels was doomed to fail. . . . Pastors called in the wayward members for trial, but the Separates treated the church representatives with disdain, failed to come to the public hearings, and refused to admit that the congregation had any jurisdiction over them. . . . [T]he departure of a large group, undismayed by their excommunication, showed the failing strength of such sanctions.”</w:t>
      </w:r>
      <w:r>
        <w:rPr>
          <w:vertAlign w:val="superscript"/>
        </w:rPr>
        <w:footnoteReference w:id="366"/>
      </w:r>
    </w:p>
    <w:p w14:paraId="7AB19060" w14:textId="77777777" w:rsidR="00453149" w:rsidRPr="00A9375B" w:rsidRDefault="00453149" w:rsidP="003D74D8">
      <w:pPr>
        <w:pStyle w:val="BodyTextFirstIndent"/>
        <w:spacing w:line="480" w:lineRule="auto"/>
        <w:jc w:val="both"/>
      </w:pPr>
      <w:r>
        <w:t>Under these conditions, Boston residents grasping for New World opportunities turned to adjudication, while Sudbury returned to English common law after abandoning it for two decades.</w:t>
      </w:r>
      <w:r>
        <w:rPr>
          <w:vertAlign w:val="superscript"/>
        </w:rPr>
        <w:footnoteReference w:id="367"/>
      </w:r>
      <w:r>
        <w:t xml:space="preserve"> Even Quakers like William Penn, despite their hostility to hierarchy, found themselves enmeshed in the formal legal system through their adroit legal defenses against Stuart persecution.</w:t>
      </w:r>
      <w:r>
        <w:rPr>
          <w:vertAlign w:val="superscript"/>
        </w:rPr>
        <w:footnoteReference w:id="368"/>
      </w:r>
      <w:r>
        <w:t xml:space="preserve"> Virginia lawyers began citing Littleton and Coke for authoritative guidance on land tenure and inheritance, while facing pressure from the imperial Board of Trade, which “reviewed colonial legislation for conformity with the common law.”</w:t>
      </w:r>
      <w:r>
        <w:rPr>
          <w:vertAlign w:val="superscript"/>
        </w:rPr>
        <w:footnoteReference w:id="369"/>
      </w:r>
      <w:r>
        <w:t xml:space="preserve"> The courts were also partly to blame. They overturned the anticommercial doctrines of the colonial period to serve a growing commercial economy, and by the turn of the nineteenth century, they had come to reject local </w:t>
      </w:r>
      <w:r>
        <w:lastRenderedPageBreak/>
        <w:t>practices as part of a broader hostility to competing sources of legal authority.</w:t>
      </w:r>
      <w:r>
        <w:rPr>
          <w:vertAlign w:val="superscript"/>
        </w:rPr>
        <w:footnoteReference w:id="370"/>
      </w:r>
      <w:r>
        <w:t xml:space="preserve"> So was the displacement of informal forums and QCMs a product of the nation’s growth? Not exactly. </w:t>
      </w:r>
    </w:p>
    <w:p w14:paraId="08FCA55E" w14:textId="77777777" w:rsidR="00453149" w:rsidRPr="00A9375B" w:rsidRDefault="00453149" w:rsidP="003D74D8">
      <w:pPr>
        <w:pStyle w:val="BodyTextFirstIndent"/>
        <w:spacing w:line="480" w:lineRule="auto"/>
        <w:jc w:val="both"/>
      </w:pPr>
      <w:r>
        <w:rPr>
          <w:color w:val="000000" w:themeColor="text1"/>
        </w:rPr>
        <w:t>Strong arguments exist on both sides regarding the impact of the nation’s growth on informal forums and QCMs. On the one hand, the unique</w:t>
      </w:r>
      <w:r>
        <w:t xml:space="preserve"> American attitudes toward collapsing negotiation, mediation, and arbitration into a parallel track of external forums alongside trial were perhaps an inextricable companion to a growing nation and exploding capitalism.</w:t>
      </w:r>
      <w:r>
        <w:rPr>
          <w:rStyle w:val="FootnoteReference"/>
        </w:rPr>
        <w:footnoteReference w:id="371"/>
      </w:r>
      <w:r>
        <w:t xml:space="preserve"> The </w:t>
      </w:r>
      <w:r>
        <w:rPr>
          <w:rFonts w:eastAsiaTheme="majorEastAsia"/>
        </w:rPr>
        <w:t>American economy compelled a departure from the “moral economy” of debt that survived into the early eighteenth century—when debt was recorded in book accounts, the running records of face-to-face dealings between creditors and their debtors in insular local economies—toward a commercial system governed by impersonal instruments</w:t>
      </w:r>
      <w:r>
        <w:t>.</w:t>
      </w:r>
      <w:r>
        <w:rPr>
          <w:rStyle w:val="FootnoteReference"/>
        </w:rPr>
        <w:footnoteReference w:id="372"/>
      </w:r>
      <w:r>
        <w:rPr>
          <w:rFonts w:eastAsiaTheme="majorEastAsia"/>
        </w:rPr>
        <w:t xml:space="preserve"> As trade expanded beyond the local village, the “book account”—which relied on neighborly trust and allowed procedural flexibility—was replaced by formal written instruments, such as freely assignable promissory notes, that effectively </w:t>
      </w:r>
      <w:r>
        <w:rPr>
          <w:rFonts w:eastAsiaTheme="majorEastAsia"/>
        </w:rPr>
        <w:lastRenderedPageBreak/>
        <w:t>depersonalized the debtor-creditor relationship and rendered old neighborly interventions obsolete.</w:t>
      </w:r>
      <w:r>
        <w:rPr>
          <w:rStyle w:val="FootnoteReference"/>
        </w:rPr>
        <w:footnoteReference w:id="373"/>
      </w:r>
      <w:r>
        <w:rPr>
          <w:rFonts w:eastAsiaTheme="majorEastAsia"/>
        </w:rPr>
        <w:t xml:space="preserve"> Simultaneously, the communitarianism that once empowered church bodies to adjudicate disputes eroded as commercialism pushed religion toward a</w:t>
      </w:r>
      <w:r>
        <w:t xml:space="preserve"> </w:t>
      </w:r>
      <w:r>
        <w:rPr>
          <w:rFonts w:eastAsiaTheme="majorEastAsia"/>
        </w:rPr>
        <w:t>private sphere of denominationalism, separating the spiritual “City of God” from the coercive legalities of the “City on Earth.”</w:t>
      </w:r>
      <w:r>
        <w:rPr>
          <w:rStyle w:val="FootnoteReference"/>
        </w:rPr>
        <w:footnoteReference w:id="374"/>
      </w:r>
      <w:r>
        <w:rPr>
          <w:rFonts w:eastAsiaTheme="majorEastAsia"/>
        </w:rPr>
        <w:t xml:space="preserve"> The Constitution’s prohibition on state currency manipulation and its creation of an internal free-trade zone ended the era of local, idiosyncratic colonial economic policies.</w:t>
      </w:r>
      <w:r>
        <w:rPr>
          <w:rStyle w:val="FootnoteReference"/>
        </w:rPr>
        <w:footnoteReference w:id="375"/>
      </w:r>
      <w:r>
        <w:t xml:space="preserve"> Because of these developments, “Americans, compared to their counterparts in Europe, relied more on lawyers, litigation, and judges to resolve conflicts [and] to adapt the law to a nascent capitalist economy.”</w:t>
      </w:r>
      <w:r>
        <w:rPr>
          <w:rStyle w:val="FootnoteReference"/>
        </w:rPr>
        <w:footnoteReference w:id="376"/>
      </w:r>
    </w:p>
    <w:p w14:paraId="5F60CF9A" w14:textId="77777777" w:rsidR="00584B3F" w:rsidRPr="00A9375B" w:rsidRDefault="006D1A52" w:rsidP="003D74D8">
      <w:pPr>
        <w:pStyle w:val="BodyTextFirstIndent"/>
        <w:spacing w:line="480" w:lineRule="auto"/>
        <w:jc w:val="both"/>
      </w:pPr>
      <w:r>
        <w:t>On the other hand, despite society’s secularization, accompanied by an exploding industry and economy, American history scholars argue that “most ordinary business and nonbusiness disputes probably avoided the courts,” because “[c]</w:t>
      </w:r>
      <w:proofErr w:type="spellStart"/>
      <w:r>
        <w:t>ourts</w:t>
      </w:r>
      <w:proofErr w:type="spellEnd"/>
      <w:r>
        <w:t xml:space="preserve"> were too slow, too expensive,” and “[a] high price for formal law encourages alternatives to develop.”</w:t>
      </w:r>
      <w:r>
        <w:rPr>
          <w:rStyle w:val="FootnoteReference"/>
        </w:rPr>
        <w:footnoteReference w:id="377"/>
      </w:r>
      <w:r>
        <w:t xml:space="preserve"> To illustrate, consider how, in the modern </w:t>
      </w:r>
      <w:r>
        <w:lastRenderedPageBreak/>
        <w:t>era of ADR, secularized informal dispute resolution methods are scarce, yet the ones that prosper exist beyond what one may label small-scale “primitive/indigenous” societies.</w:t>
      </w:r>
      <w:r>
        <w:rPr>
          <w:rStyle w:val="FootnoteReference"/>
          <w:color w:val="000000" w:themeColor="text1"/>
        </w:rPr>
        <w:footnoteReference w:id="378"/>
      </w:r>
      <w:r>
        <w:t xml:space="preserve"> John Griffiths questions whether informal forums inevitably disappear as states consolidate their monopoly over coercive authority.</w:t>
      </w:r>
      <w:bookmarkStart w:id="45" w:name="_Ref217240807"/>
      <w:r>
        <w:rPr>
          <w:rStyle w:val="FootnoteReference"/>
          <w:color w:val="000000" w:themeColor="text1"/>
        </w:rPr>
        <w:footnoteReference w:id="379"/>
      </w:r>
      <w:bookmarkEnd w:id="45"/>
      <w:r>
        <w:t xml:space="preserve"> Those who assume that the rise of secularized state power leads to a decline in informal forums may underestimate the durability and sophistication of informal ordering in complex modern societies</w:t>
      </w:r>
      <w:bookmarkStart w:id="46" w:name="_Ref214120963"/>
      <w:r>
        <w:t>.</w:t>
      </w:r>
      <w:r>
        <w:rPr>
          <w:rStyle w:val="FootnoteReference"/>
          <w:color w:val="000000" w:themeColor="text1"/>
        </w:rPr>
        <w:footnoteReference w:id="380"/>
      </w:r>
      <w:bookmarkEnd w:id="46"/>
      <w:r>
        <w:t xml:space="preserve"> If anything, Jerold Auerbach argues that lawyers “seem so likely to dominate the search for alternatives that only their voices will be heard—and, therefore, no alternatives will be discovered or developed,” and that “[a] professional community of lawyers and judges has wrenched mediation and arbitration from local communities that once resisted law as an alien value system.”</w:t>
      </w:r>
      <w:r>
        <w:rPr>
          <w:rStyle w:val="FootnoteReference"/>
        </w:rPr>
        <w:footnoteReference w:id="381"/>
      </w:r>
    </w:p>
    <w:p w14:paraId="20093996" w14:textId="77777777" w:rsidR="00453149" w:rsidRPr="00A9375B" w:rsidRDefault="005F648B" w:rsidP="003D74D8">
      <w:pPr>
        <w:pStyle w:val="BodyTextFirstIndent"/>
        <w:spacing w:line="480" w:lineRule="auto"/>
        <w:jc w:val="both"/>
      </w:pPr>
      <w:r>
        <w:t>Shortly before the 1976 Pound Conference, concrete patterns of social regulation remained well documented in the United States in what Sally Falk Moore termed “semi-autonomous social fields.”</w:t>
      </w:r>
      <w:r>
        <w:rPr>
          <w:vertAlign w:val="superscript"/>
        </w:rPr>
        <w:footnoteReference w:id="382"/>
      </w:r>
      <w:r>
        <w:t xml:space="preserve"> These institutional settings generate internal rules and compliance mechanisms that </w:t>
      </w:r>
      <w:r>
        <w:lastRenderedPageBreak/>
        <w:t>operate as the immediate forces governing conduct.</w:t>
      </w:r>
      <w:r>
        <w:rPr>
          <w:vertAlign w:val="superscript"/>
        </w:rPr>
        <w:footnoteReference w:id="383"/>
      </w:r>
      <w:r>
        <w:t xml:space="preserve"> They maintain sufficient autonomy from formal legal systems whose reformulation of disputes into legal categories transforms and often narrows their original character.</w:t>
      </w:r>
      <w:bookmarkStart w:id="47" w:name="_Ref214120992"/>
      <w:r>
        <w:rPr>
          <w:vertAlign w:val="superscript"/>
        </w:rPr>
        <w:footnoteReference w:id="384"/>
      </w:r>
      <w:bookmarkEnd w:id="47"/>
      <w:r>
        <w:t xml:space="preserve"> Before Frank Sander persuaded the legal profession that romanticized visions of efficiency could solve the legal system’s ailments, these informal settings persisted; as Pirie puts it, “even at the heart of the modern United States, trade associations discourage their members from turning to state courts.”</w:t>
      </w:r>
      <w:r>
        <w:rPr>
          <w:vertAlign w:val="superscript"/>
        </w:rPr>
        <w:footnoteReference w:id="385"/>
      </w:r>
      <w:r>
        <w:t xml:space="preserve"> From Wisconsin’s corporate executives to New York’s garment industry, while “[</w:t>
      </w:r>
      <w:proofErr w:type="spellStart"/>
      <w:r>
        <w:t>i</w:t>
      </w:r>
      <w:proofErr w:type="spellEnd"/>
      <w:r>
        <w:t>]n theory, working practices in the industry were governed by contracts,” in practice, “[m]</w:t>
      </w:r>
      <w:proofErr w:type="spellStart"/>
      <w:r>
        <w:t>ost</w:t>
      </w:r>
      <w:proofErr w:type="spellEnd"/>
      <w:r>
        <w:t xml:space="preserve"> people were aware of their legal rights, but no one expected to enforce them.”</w:t>
      </w:r>
      <w:r>
        <w:rPr>
          <w:vertAlign w:val="superscript"/>
        </w:rPr>
        <w:footnoteReference w:id="386"/>
      </w:r>
      <w:r>
        <w:t xml:space="preserve"> Most prominently, in the diamond industry, around 80 percent of </w:t>
      </w:r>
      <w:r>
        <w:lastRenderedPageBreak/>
        <w:t>rough diamonds entering the United States in the 1980s passed through a club that required internal arbitration under its bylaws, a system that proved effective because the threat of exclusion from the club could be devastating.</w:t>
      </w:r>
      <w:r>
        <w:rPr>
          <w:vertAlign w:val="superscript"/>
        </w:rPr>
        <w:footnoteReference w:id="387"/>
      </w:r>
      <w:r>
        <w:t xml:space="preserve"> The decline of these commercial ADR systems is best explained by state penetration and displacement rather than by any structural inability of ADR to scale.</w:t>
      </w:r>
      <w:r>
        <w:rPr>
          <w:vertAlign w:val="superscript"/>
        </w:rPr>
        <w:footnoteReference w:id="388"/>
      </w:r>
      <w:r>
        <w:t xml:space="preserve"> This took the form of state-enabled capital flight from domestic manufacturing for the garment industry and regulatory diversification, which opened the diamond trade.</w:t>
      </w:r>
      <w:r>
        <w:rPr>
          <w:vertAlign w:val="superscript"/>
        </w:rPr>
        <w:footnoteReference w:id="389"/>
      </w:r>
      <w:r>
        <w:t xml:space="preserve"> </w:t>
      </w:r>
    </w:p>
    <w:p w14:paraId="1CF305E3" w14:textId="77777777" w:rsidR="00453149" w:rsidRPr="00A9375B" w:rsidRDefault="00453149" w:rsidP="003D74D8">
      <w:pPr>
        <w:pStyle w:val="BodyTextFirstIndent"/>
        <w:spacing w:line="480" w:lineRule="auto"/>
        <w:jc w:val="both"/>
      </w:pPr>
      <w:r>
        <w:t>The full relationship between capitalism and the decline of both informal forums and QCMs is beyond this Note’s scope. But I can say with confidence that the early American attitude toward disputes was one in which “[disputes] were complacently accepted phenomena” because “America was a rich country, full of adventure and could afford a considerable volume of disputes at a high cost of settlement.”</w:t>
      </w:r>
      <w:r>
        <w:rPr>
          <w:rStyle w:val="FootnoteReference"/>
        </w:rPr>
        <w:footnoteReference w:id="390"/>
      </w:r>
      <w:r>
        <w:t xml:space="preserve"> While societies worldwide searched for secular QCM substitutes, </w:t>
      </w:r>
      <w:r>
        <w:lastRenderedPageBreak/>
        <w:t xml:space="preserve">Americans instead entrenched </w:t>
      </w:r>
      <w:proofErr w:type="spellStart"/>
      <w:r>
        <w:t>adversarialism</w:t>
      </w:r>
      <w:proofErr w:type="spellEnd"/>
      <w:r>
        <w:t xml:space="preserve"> as a national disposition.</w:t>
      </w:r>
      <w:r>
        <w:rPr>
          <w:rStyle w:val="FootnoteReference"/>
        </w:rPr>
        <w:footnoteReference w:id="391"/>
      </w:r>
      <w:r>
        <w:t xml:space="preserve"> The United States became, as Auerbach observed, “a nation of competitive individuals and strangers” where “litigation is encouraged” and where “the burden of psychological deviance falls upon those who find adversary relations to be a destructive form of human behavior.”</w:t>
      </w:r>
      <w:r>
        <w:rPr>
          <w:rStyle w:val="FootnoteReference"/>
        </w:rPr>
        <w:footnoteReference w:id="392"/>
      </w:r>
      <w:r>
        <w:t xml:space="preserve"> The legal profession exploited the reality that “[t]he impetus to hire a lawyer went hand in glove with the increasing complexity and frequency of litigation. . . . Lawyers manipulated special pleading not only to further their clients’ interests but also to establish the indispensability of the legal profession.”</w:t>
      </w:r>
      <w:r>
        <w:rPr>
          <w:rStyle w:val="FootnoteReference"/>
        </w:rPr>
        <w:footnoteReference w:id="393"/>
      </w:r>
      <w:r>
        <w:t xml:space="preserve"> Yet it was not just the legal profession whose appetite for disputes expanded substantially. Every day, people wanted their share in the fun of disputes, as Bushman describes:</w:t>
      </w:r>
    </w:p>
    <w:p w14:paraId="32359980" w14:textId="77777777" w:rsidR="00453149" w:rsidRPr="00A9375B" w:rsidRDefault="00453149" w:rsidP="003D74D8">
      <w:pPr>
        <w:pStyle w:val="BodyTextFirstIndent2"/>
        <w:spacing w:line="480" w:lineRule="auto"/>
        <w:ind w:left="720" w:right="720" w:firstLine="0"/>
        <w:jc w:val="both"/>
      </w:pPr>
      <w:r>
        <w:t>“Connecticut men were extraordinarily quick to drag their neighbors to law at the least offense and to battle ferociously for justice. A trespass by a fellow subject was resented because the neighbor seemed to be exercising authority falsely. Angered by the slightest hint of oppression, Puritans jealously defended their rights against attacks from any source.”</w:t>
      </w:r>
      <w:r>
        <w:rPr>
          <w:vertAlign w:val="superscript"/>
        </w:rPr>
        <w:footnoteReference w:id="394"/>
      </w:r>
    </w:p>
    <w:p w14:paraId="4D4E9AA4" w14:textId="77777777" w:rsidR="00453149" w:rsidRPr="00A9375B" w:rsidRDefault="00453149" w:rsidP="003D74D8">
      <w:pPr>
        <w:pStyle w:val="BodyTextFirstIndent"/>
        <w:spacing w:line="480" w:lineRule="auto"/>
        <w:jc w:val="both"/>
        <w:rPr>
          <w:rStyle w:val="ng-star-inserted"/>
          <w:rFonts w:eastAsiaTheme="majorEastAsia"/>
        </w:rPr>
      </w:pPr>
      <w:r>
        <w:t>The result, as one scholar writes of the modern United States, is that “law is our national religion; lawyers constitute our priesthood; the courtroom is our cathedral.”</w:t>
      </w:r>
      <w:r>
        <w:rPr>
          <w:rStyle w:val="FootnoteReference"/>
        </w:rPr>
        <w:footnoteReference w:id="395"/>
      </w:r>
      <w:r>
        <w:t xml:space="preserve"> </w:t>
      </w:r>
      <w:r>
        <w:rPr>
          <w:color w:val="000000" w:themeColor="text1"/>
        </w:rPr>
        <w:t xml:space="preserve">In the </w:t>
      </w:r>
      <w:r>
        <w:rPr>
          <w:color w:val="000000" w:themeColor="text1"/>
        </w:rPr>
        <w:lastRenderedPageBreak/>
        <w:t>Massachusetts Superior Court, annual caseloads increased tenfold between 1700 and 1750, far outpacing population growth even though the Connecticut General Assembly had, in 1645, “urged residents to avoid unnecessary jury trials and to resolve private disputes through arbitration.”</w:t>
      </w:r>
      <w:bookmarkStart w:id="48" w:name="_Ref222230254"/>
      <w:r>
        <w:rPr>
          <w:rStyle w:val="FootnoteReference"/>
          <w:color w:val="000000" w:themeColor="text1"/>
        </w:rPr>
        <w:footnoteReference w:id="396"/>
      </w:r>
      <w:bookmarkEnd w:id="48"/>
      <w:r>
        <w:rPr>
          <w:color w:val="000000" w:themeColor="text1"/>
        </w:rPr>
        <w:t xml:space="preserve"> </w:t>
      </w:r>
      <w:r>
        <w:rPr>
          <w:rStyle w:val="ng-star-inserted"/>
          <w:rFonts w:eastAsiaTheme="majorEastAsia"/>
        </w:rPr>
        <w:t>The rapid expansion of the national market in the early nineteenth century—facilitated by the administrative reach of a robust federal state (particularly through the Post and Land Offices)—eroded the insular communities necessary for informal adjudication.</w:t>
      </w:r>
      <w:r>
        <w:rPr>
          <w:rStyle w:val="FootnoteReference"/>
          <w:rFonts w:eastAsiaTheme="majorEastAsia"/>
        </w:rPr>
        <w:footnoteReference w:id="397"/>
      </w:r>
      <w:r>
        <w:rPr>
          <w:rStyle w:val="ng-star-inserted"/>
          <w:rFonts w:eastAsiaTheme="majorEastAsia"/>
        </w:rPr>
        <w:t xml:space="preserve"> With economic relations spanning greater distances, the shared values that once compelled disputants to settle became less effective; instead, litigants relied on the </w:t>
      </w:r>
      <w:r>
        <w:t>instrumental power</w:t>
      </w:r>
      <w:r>
        <w:rPr>
          <w:rStyle w:val="ng-star-inserted"/>
          <w:rFonts w:eastAsiaTheme="majorEastAsia"/>
        </w:rPr>
        <w:t xml:space="preserve"> of formal legal rules to </w:t>
      </w:r>
      <w:r>
        <w:t xml:space="preserve">allocate </w:t>
      </w:r>
      <w:r>
        <w:lastRenderedPageBreak/>
        <w:t>resources toward economic growth</w:t>
      </w:r>
      <w:r>
        <w:rPr>
          <w:rStyle w:val="ng-star-inserted"/>
          <w:rFonts w:eastAsiaTheme="majorEastAsia"/>
        </w:rPr>
        <w:t xml:space="preserve"> and secure contracts.</w:t>
      </w:r>
      <w:r>
        <w:rPr>
          <w:rStyle w:val="FootnoteReference"/>
          <w:rFonts w:eastAsiaTheme="majorEastAsia"/>
        </w:rPr>
        <w:footnoteReference w:id="398"/>
      </w:r>
      <w:r>
        <w:rPr>
          <w:rStyle w:val="ng-star-inserted"/>
          <w:rFonts w:eastAsiaTheme="majorEastAsia"/>
        </w:rPr>
        <w:t xml:space="preserve"> As the economy became dependent on complex networks of credit and negotiable commercial paper, large mercantile creditors pressed for uniform federal enforcement rather than local control—a movement that states’ rights politics defeated, leaving a dual credit market.</w:t>
      </w:r>
      <w:bookmarkStart w:id="49" w:name="_Ref222230471"/>
      <w:r>
        <w:rPr>
          <w:rStyle w:val="FootnoteReference"/>
          <w:rFonts w:eastAsiaTheme="majorEastAsia"/>
        </w:rPr>
        <w:footnoteReference w:id="399"/>
      </w:r>
      <w:bookmarkEnd w:id="49"/>
      <w:r>
        <w:rPr>
          <w:rStyle w:val="ng-star-inserted"/>
          <w:rFonts w:eastAsiaTheme="majorEastAsia"/>
        </w:rPr>
        <w:t xml:space="preserve"> James </w:t>
      </w:r>
      <w:proofErr w:type="spellStart"/>
      <w:r>
        <w:rPr>
          <w:rStyle w:val="ng-star-inserted"/>
          <w:rFonts w:eastAsiaTheme="majorEastAsia"/>
        </w:rPr>
        <w:t>Henretta</w:t>
      </w:r>
      <w:proofErr w:type="spellEnd"/>
      <w:r>
        <w:rPr>
          <w:rStyle w:val="ng-star-inserted"/>
          <w:rFonts w:eastAsiaTheme="majorEastAsia"/>
        </w:rPr>
        <w:t xml:space="preserve"> described this transition by stating</w:t>
      </w:r>
      <w:r>
        <w:t xml:space="preserve"> “[o]</w:t>
      </w:r>
      <w:proofErr w:type="spellStart"/>
      <w:r>
        <w:t>nce</w:t>
      </w:r>
      <w:proofErr w:type="spellEnd"/>
      <w:r>
        <w:t xml:space="preserve"> voluntary, arbitration had become partly coercive and depended for its success on financial instruments enforced by the common law courts. . . . By the 1750s, the informal, community-based arbitration of seventeenth-century Connecticut had gradually given way to a formal, court-centered process.”</w:t>
      </w:r>
      <w:r>
        <w:rPr>
          <w:rStyle w:val="FootnoteReference"/>
        </w:rPr>
        <w:footnoteReference w:id="400"/>
      </w:r>
      <w:r>
        <w:t xml:space="preserve"> </w:t>
      </w:r>
      <w:r>
        <w:rPr>
          <w:rStyle w:val="ng-star-inserted"/>
          <w:rFonts w:eastAsiaTheme="majorEastAsia"/>
        </w:rPr>
        <w:t>This cultural shift elevated the legal profession, whose mastery of an increasingly complex body of case law and treatises made it indispensable.</w:t>
      </w:r>
      <w:r>
        <w:rPr>
          <w:rStyle w:val="FootnoteReference"/>
          <w:rFonts w:eastAsiaTheme="majorEastAsia"/>
        </w:rPr>
        <w:footnoteReference w:id="401"/>
      </w:r>
      <w:r>
        <w:rPr>
          <w:rStyle w:val="ng-star-inserted"/>
          <w:rFonts w:eastAsiaTheme="majorEastAsia"/>
        </w:rPr>
        <w:t xml:space="preserve"> Seizing the moment, legal elites cast law as a science—for Joseph Story, a moral science of universal principles—that belonged in a university and required specially trained guardians.</w:t>
      </w:r>
      <w:bookmarkStart w:id="50" w:name="_Ref222230421"/>
      <w:r>
        <w:rPr>
          <w:rStyle w:val="FootnoteReference"/>
          <w:rFonts w:eastAsiaTheme="majorEastAsia"/>
        </w:rPr>
        <w:footnoteReference w:id="402"/>
      </w:r>
      <w:bookmarkEnd w:id="50"/>
      <w:r>
        <w:rPr>
          <w:rStyle w:val="ng-star-inserted"/>
          <w:rFonts w:eastAsiaTheme="majorEastAsia"/>
        </w:rPr>
        <w:t xml:space="preserve"> </w:t>
      </w:r>
    </w:p>
    <w:p w14:paraId="5B8F68EF" w14:textId="77777777" w:rsidR="00453149" w:rsidRPr="00A9375B" w:rsidRDefault="00453149" w:rsidP="003D74D8">
      <w:pPr>
        <w:pStyle w:val="BodyTextFirstIndent"/>
        <w:spacing w:line="480" w:lineRule="auto"/>
        <w:jc w:val="both"/>
      </w:pPr>
      <w:r>
        <w:rPr>
          <w:rStyle w:val="ng-star-inserted"/>
          <w:rFonts w:eastAsiaTheme="majorEastAsia"/>
        </w:rPr>
        <w:lastRenderedPageBreak/>
        <w:t>Yet this transition was neither smooth nor uncontested, as a robust anti-lawyer movement emerged in the Early Republic seeking to preserve the accessibility of ADR for merchants.</w:t>
      </w:r>
      <w:r>
        <w:rPr>
          <w:rStyle w:val="FootnoteReference"/>
          <w:rFonts w:eastAsiaTheme="majorEastAsia"/>
        </w:rPr>
        <w:footnoteReference w:id="403"/>
      </w:r>
      <w:r>
        <w:rPr>
          <w:rStyle w:val="ng-star-inserted"/>
          <w:rFonts w:eastAsiaTheme="majorEastAsia"/>
        </w:rPr>
        <w:t xml:space="preserve"> Critics like Benjamin Austin and Jesse Higgins attacked the profession for multiplying litigation and proposed arbitration schemes, hoping to restore law to its “natural roots in justice”; the citizens of Braintree asked for laws to “crush or at least put a proper check or restraint on that order of Gentlemen denominated Lawyers.” These complaints later fed a movement to codify the law.</w:t>
      </w:r>
      <w:r>
        <w:rPr>
          <w:rStyle w:val="FootnoteReference"/>
          <w:rFonts w:eastAsiaTheme="majorEastAsia"/>
        </w:rPr>
        <w:footnoteReference w:id="404"/>
      </w:r>
      <w:r>
        <w:rPr>
          <w:rStyle w:val="ng-star-inserted"/>
          <w:rFonts w:eastAsiaTheme="majorEastAsia"/>
        </w:rPr>
        <w:t xml:space="preserve"> However, these populist efforts failed largely because arbitration was so disorganized, and so hobbled by the technical requirements of early statutes, that it was “far easier for parties in dispute to litigate than to arbitrate.”</w:t>
      </w:r>
      <w:r>
        <w:rPr>
          <w:rStyle w:val="FootnoteReference"/>
          <w:rFonts w:eastAsiaTheme="majorEastAsia"/>
        </w:rPr>
        <w:footnoteReference w:id="405"/>
      </w:r>
      <w:r>
        <w:rPr>
          <w:rStyle w:val="ng-star-inserted"/>
          <w:rFonts w:eastAsiaTheme="majorEastAsia"/>
        </w:rPr>
        <w:t xml:space="preserve"> While arbitration seemed promising in the newly formed New York Chamber of Commerce (1768), it otherwise lacked the institutional roots to compete with the courts.</w:t>
      </w:r>
      <w:r>
        <w:rPr>
          <w:rStyle w:val="FootnoteReference"/>
          <w:rFonts w:eastAsiaTheme="majorEastAsia"/>
        </w:rPr>
        <w:footnoteReference w:id="406"/>
      </w:r>
      <w:r>
        <w:rPr>
          <w:rStyle w:val="ng-star-inserted"/>
          <w:rFonts w:eastAsiaTheme="majorEastAsia"/>
        </w:rPr>
        <w:t xml:space="preserve"> The bar responded by branding itself as essential to check the excesses of democracy, but the populist efforts to bypass the courthouse evidenced a residual cultural attachment to ADR forums that avoided the thorns of formal law.</w:t>
      </w:r>
      <w:r>
        <w:rPr>
          <w:rStyle w:val="FootnoteReference"/>
          <w:rFonts w:eastAsiaTheme="majorEastAsia"/>
        </w:rPr>
        <w:footnoteReference w:id="407"/>
      </w:r>
      <w:r>
        <w:rPr>
          <w:rStyle w:val="ng-star-inserted"/>
          <w:rFonts w:eastAsiaTheme="majorEastAsia"/>
        </w:rPr>
        <w:t xml:space="preserve"> </w:t>
      </w:r>
    </w:p>
    <w:p w14:paraId="27B96D1F" w14:textId="77777777" w:rsidR="00453149" w:rsidRPr="00A9375B" w:rsidRDefault="00453149" w:rsidP="003D74D8">
      <w:pPr>
        <w:pStyle w:val="BodyTextFirstIndent"/>
        <w:spacing w:line="480" w:lineRule="auto"/>
        <w:jc w:val="both"/>
      </w:pPr>
      <w:r>
        <w:t>Cultural attitudes toward formal and informal law vacillated in almost the same way in the antebellum period. Initially, more than one hundred utopian communities—from John Humphrey Noyes’s Oneida to Brigham Young’s Mormon ecclesiastical courts—rejected law as antithetical to communal life, whether on Christian or secular-communitarian grounds.</w:t>
      </w:r>
      <w:r>
        <w:rPr>
          <w:vertAlign w:val="superscript"/>
        </w:rPr>
        <w:footnoteReference w:id="408"/>
      </w:r>
      <w:r>
        <w:t xml:space="preserve"> These aspirations </w:t>
      </w:r>
      <w:r>
        <w:lastRenderedPageBreak/>
        <w:t>proved chimerical, with aggressive state judiciaries and an emerging middle class confirming Noyes’s insight that “where community ended, law began.”</w:t>
      </w:r>
      <w:r>
        <w:rPr>
          <w:vertAlign w:val="superscript"/>
        </w:rPr>
        <w:footnoteReference w:id="409"/>
      </w:r>
      <w:r>
        <w:t xml:space="preserve"> Grievances were further channeled into the courts’ adversarial posture as the religious hierarchies that had absorbed them lost the “strength and unity of allegiance” they had once commanded—an erosion already well underway before disestablishment.</w:t>
      </w:r>
      <w:r>
        <w:rPr>
          <w:rStyle w:val="FootnoteReference"/>
          <w:color w:val="000000" w:themeColor="text1"/>
        </w:rPr>
        <w:footnoteReference w:id="410"/>
      </w:r>
      <w:r>
        <w:t xml:space="preserve"> Property law offers a concrete example of the interaction between the expanding legal system and informal practice. As the nineteenth century progressed, state courts came to resolve riparian conflicts within a “reasonable” balance of market interests, with judges divided over how much weight to give a property owner’s “quiet enjoyment.”</w:t>
      </w:r>
      <w:r>
        <w:rPr>
          <w:rStyle w:val="FootnoteReference"/>
          <w:color w:val="000000" w:themeColor="text1"/>
        </w:rPr>
        <w:footnoteReference w:id="411"/>
      </w:r>
    </w:p>
    <w:p w14:paraId="0F9BFF01" w14:textId="77777777" w:rsidR="007503B6" w:rsidRPr="00A9375B" w:rsidRDefault="007503B6" w:rsidP="003D74D8">
      <w:pPr>
        <w:pStyle w:val="BodyTextFirstIndent"/>
        <w:spacing w:line="480" w:lineRule="auto"/>
        <w:jc w:val="both"/>
      </w:pPr>
    </w:p>
    <w:p w14:paraId="6E927A70" w14:textId="77777777" w:rsidR="007503B6" w:rsidRPr="00A9375B" w:rsidRDefault="007503B6" w:rsidP="003D74D8">
      <w:pPr>
        <w:pStyle w:val="BodyTextFirstIndent"/>
        <w:numPr>
          <w:ilvl w:val="1"/>
          <w:numId w:val="11"/>
        </w:numPr>
        <w:spacing w:line="480" w:lineRule="auto"/>
        <w:jc w:val="both"/>
        <w:rPr>
          <w:i/>
          <w:iCs/>
        </w:rPr>
      </w:pPr>
      <w:r>
        <w:rPr>
          <w:i/>
          <w:iCs/>
        </w:rPr>
        <w:t>First Historical Factor – Choice of the Lawyer’s Role</w:t>
      </w:r>
    </w:p>
    <w:p w14:paraId="047019EB" w14:textId="77777777" w:rsidR="007503B6" w:rsidRPr="00A9375B" w:rsidRDefault="007503B6" w:rsidP="003D74D8">
      <w:pPr>
        <w:pStyle w:val="BodyTextFirstIndent"/>
        <w:spacing w:line="480" w:lineRule="auto"/>
        <w:ind w:left="1080" w:firstLine="0"/>
        <w:jc w:val="both"/>
      </w:pPr>
    </w:p>
    <w:p w14:paraId="5B9F102E" w14:textId="77777777" w:rsidR="00453149" w:rsidRPr="00A9375B" w:rsidRDefault="00F66454" w:rsidP="003D74D8">
      <w:pPr>
        <w:pStyle w:val="BodyTextFirstIndent"/>
        <w:spacing w:line="480" w:lineRule="auto"/>
        <w:jc w:val="both"/>
      </w:pPr>
      <w:proofErr w:type="spellStart"/>
      <w:proofErr w:type="spellEnd"/>
      <w:r>
        <w:t>By the turbulent mid-nineteenth century, the American legal profession stood between two irreconcilable visions of the lawyer’s purpose. On one side stood the fading ideal of the “republican lawyer,” a public sentinel who owed his primary allegiance to the moral fabric of the community and who, upon concluding that a client’s cause lacked merit, would counsel abandonment or informal settlement rather than permit it to reach the courts.</w:t>
      </w:r>
      <w:r>
        <w:rPr>
          <w:rStyle w:val="FootnoteReference"/>
          <w:color w:val="000000" w:themeColor="text1"/>
        </w:rPr>
        <w:footnoteReference w:id="412"/>
      </w:r>
      <w:r>
        <w:t xml:space="preserve"> On the other stood the market, embodied by the “zealous advocate” who sold his technical expertise to the highest bidder and pressed every advantage for his client regardless of the attendant social cost.</w:t>
      </w:r>
      <w:r>
        <w:rPr>
          <w:rStyle w:val="FootnoteReference"/>
          <w:color w:val="000000" w:themeColor="text1"/>
        </w:rPr>
        <w:footnoteReference w:id="413"/>
      </w:r>
      <w:r>
        <w:t xml:space="preserve"> Advocating the former position</w:t>
      </w:r>
      <w:ins w:id="100121" w:author="Claude" w:date="2026-09-26T12:00:00Z">
        <w:r>
          <w:t>—the</w:t>
        </w:r>
      </w:ins>
      <w:r>
        <w:t xml:space="preserve"> </w:t>
      </w:r>
      <w:ins w:id="100122" w:author="Claude" w:date="2026-09-26T12:00:00Z">
        <w:r>
          <w:t>lawyer as objective case assessor—</w:t>
        </w:r>
      </w:ins>
      <w:r>
        <w:t xml:space="preserve">was David Hoffman, known as the “father of American legal ethics,” whose </w:t>
      </w:r>
      <w:r>
        <w:rPr>
          <w:i/>
          <w:iCs/>
        </w:rPr>
        <w:t>Course of Legal Study</w:t>
      </w:r>
      <w:r>
        <w:t xml:space="preserve"> was hailed by Justice Joseph Story as “an honour to our country” and “by far the most perfect system for the study of the law that has ever been offered to the public.”</w:t>
      </w:r>
      <w:r>
        <w:rPr>
          <w:rStyle w:val="FootnoteReference"/>
          <w:color w:val="000000" w:themeColor="text1"/>
        </w:rPr>
        <w:footnoteReference w:id="414"/>
      </w:r>
      <w:r>
        <w:t xml:space="preserve"> While Lord Brougham in England famously declared that an advocate “knows but one person in all the world, and that person is his client,” Hoffman mounted a desperate, nostalgic defense of the lawyer’s independent judgment of his client’s cause.</w:t>
      </w:r>
      <w:r>
        <w:rPr>
          <w:rStyle w:val="FootnoteReference"/>
          <w:color w:val="000000" w:themeColor="text1"/>
        </w:rPr>
        <w:footnoteReference w:id="415"/>
      </w:r>
      <w:r>
        <w:t xml:space="preserve"> He demanded that the profession reject the commercialization that reduced the lawyer from a filter for the courts to a mere mercenary weapon for the client. He wrote: </w:t>
      </w:r>
    </w:p>
    <w:p w14:paraId="003C9D51" w14:textId="77777777" w:rsidR="00453149" w:rsidRPr="00A9375B" w:rsidRDefault="00EA4B00" w:rsidP="003D74D8">
      <w:pPr>
        <w:pStyle w:val="BodyTextFirstIndent2"/>
        <w:spacing w:line="480" w:lineRule="auto"/>
        <w:ind w:left="720" w:right="720" w:firstLine="0"/>
        <w:jc w:val="both"/>
      </w:pPr>
      <w:r>
        <w:t xml:space="preserve">“Should my client be disposed to insist on captious requisitions, or frivolous and vexatious </w:t>
      </w:r>
      <w:proofErr w:type="spellStart"/>
      <w:r>
        <w:t>defences</w:t>
      </w:r>
      <w:proofErr w:type="spellEnd"/>
      <w:r>
        <w:t xml:space="preserve">, they shall be neither enforced nor countenanced by me. . . . If, after duly examining a case, I am persuaded that my client’s claim or </w:t>
      </w:r>
      <w:proofErr w:type="spellStart"/>
      <w:r>
        <w:t>defence</w:t>
      </w:r>
      <w:proofErr w:type="spellEnd"/>
      <w:r>
        <w:t xml:space="preserve"> . . . cannot, or rather ought not, to be sustained, I will promptly advise him to abandon it. To press it further in such a case, with the hope of gleaning some advantage by an extorted compromise, would be lending myself to a </w:t>
      </w:r>
      <w:proofErr w:type="spellStart"/>
      <w:r>
        <w:t>dishonourable</w:t>
      </w:r>
      <w:proofErr w:type="spellEnd"/>
      <w:r>
        <w:t xml:space="preserve"> use of legal means . . . . My client’s conscience, and my own, are distinct entities: and though my vocation may sometimes justify my maintaining as facts, or principles, in doubtful cases, what may be neither one nor the other, I shall ever claim the </w:t>
      </w:r>
      <w:r>
        <w:lastRenderedPageBreak/>
        <w:t>privilege of solely judging to what extent to go. . . . [S]</w:t>
      </w:r>
      <w:proofErr w:type="spellStart"/>
      <w:r>
        <w:t>hould</w:t>
      </w:r>
      <w:proofErr w:type="spellEnd"/>
      <w:r>
        <w:t xml:space="preserve"> the principle also be wholly at variance with sound law, it would be </w:t>
      </w:r>
      <w:proofErr w:type="spellStart"/>
      <w:r>
        <w:t>dishonourable</w:t>
      </w:r>
      <w:proofErr w:type="spellEnd"/>
      <w:r>
        <w:t xml:space="preserve"> folly in me to </w:t>
      </w:r>
      <w:proofErr w:type="spellStart"/>
      <w:r>
        <w:t>endeavour</w:t>
      </w:r>
      <w:proofErr w:type="spellEnd"/>
      <w:r>
        <w:t xml:space="preserve"> to incorporate it into the jurisprudence of the country, when, if successful, it would be a gangrene that might bring death to my cause of the succeeding day.”</w:t>
      </w:r>
      <w:r>
        <w:rPr>
          <w:rStyle w:val="FootnoteReference"/>
          <w:color w:val="000000" w:themeColor="text1"/>
        </w:rPr>
        <w:footnoteReference w:id="416"/>
      </w:r>
    </w:p>
    <w:p w14:paraId="306BCF6B" w14:textId="77777777" w:rsidR="00453149" w:rsidRPr="00A9375B" w:rsidRDefault="00453149" w:rsidP="003D74D8">
      <w:pPr>
        <w:pStyle w:val="BodyTextFirstIndent"/>
        <w:spacing w:line="480" w:lineRule="auto"/>
        <w:jc w:val="both"/>
      </w:pPr>
      <w:r>
        <w:t>The profession, however, moved past Hoffman, retaining only the lawyer’s discretionary right to decline a cause at the outset.</w:t>
      </w:r>
      <w:r>
        <w:rPr>
          <w:rStyle w:val="FootnoteReference"/>
          <w:color w:val="000000" w:themeColor="text1"/>
        </w:rPr>
        <w:footnoteReference w:id="417"/>
      </w:r>
      <w:r>
        <w:t xml:space="preserve"> As Jacksonian democracy forced the relaxation of bar admissions and the homogeneous legal fraternity gave way to a more heterogeneous profession, the shared social formation and community reputation that made Hoffman’s system of self-regulation plausible dissipated</w:t>
      </w:r>
      <w:r>
        <w:rPr>
          <w:rStyle w:val="FootnoteReference"/>
          <w:color w:val="000000" w:themeColor="text1"/>
        </w:rPr>
        <w:footnoteReference w:id="418"/>
      </w:r>
      <w:r>
        <w:t>—producing, as Lawrence Friedman observed, not a more democratic profession but a “scrambling bar of shrewd entrepreneurs.”</w:t>
      </w:r>
      <w:r>
        <w:rPr>
          <w:rStyle w:val="FootnoteReference"/>
          <w:color w:val="000000" w:themeColor="text1"/>
        </w:rPr>
        <w:footnoteReference w:id="419"/>
      </w:r>
      <w:r>
        <w:t xml:space="preserve"> In this expanding market, lawyers were no longer independent republican leaders but service providers “embedded like everyone else in the marketplace,” driven by a “tremulous anxiety for the means of daily subsistence” that made turning away paying clients suicidal.</w:t>
      </w:r>
      <w:r>
        <w:rPr>
          <w:rStyle w:val="FootnoteReference"/>
          <w:color w:val="000000" w:themeColor="text1"/>
        </w:rPr>
        <w:footnoteReference w:id="420"/>
      </w:r>
      <w:r>
        <w:t xml:space="preserve"> Consequently, George </w:t>
      </w:r>
      <w:proofErr w:type="spellStart"/>
      <w:r>
        <w:t>Sharswood’s</w:t>
      </w:r>
      <w:proofErr w:type="spellEnd"/>
      <w:r>
        <w:t xml:space="preserve"> 1854 formulation became the prevailing standard: answering “any sweeping objection made to the profession in general,” </w:t>
      </w:r>
      <w:proofErr w:type="spellStart"/>
      <w:r>
        <w:t>Sharswood</w:t>
      </w:r>
      <w:proofErr w:type="spellEnd"/>
      <w:r>
        <w:t xml:space="preserve"> argued that “the lawyer, who refuses his professional assistance because in his judgment the case is unjust and indefensible, usurps the functions of both judge and jury.”</w:t>
      </w:r>
      <w:r>
        <w:rPr>
          <w:rStyle w:val="FootnoteReference"/>
          <w:color w:val="000000" w:themeColor="text1"/>
        </w:rPr>
        <w:footnoteReference w:id="421"/>
      </w:r>
      <w:r>
        <w:t xml:space="preserve"> </w:t>
      </w:r>
      <w:proofErr w:type="spellStart"/>
      <w:r>
        <w:lastRenderedPageBreak/>
        <w:t>Sharswood</w:t>
      </w:r>
      <w:proofErr w:type="spellEnd"/>
      <w:r>
        <w:t xml:space="preserve"> added that, “[s]</w:t>
      </w:r>
      <w:proofErr w:type="spellStart"/>
      <w:r>
        <w:t>ubject</w:t>
      </w:r>
      <w:proofErr w:type="spellEnd"/>
      <w:r>
        <w:t xml:space="preserve"> . . . to the qualifications which have been stated, when a cause is undertaken, the great duty which the counsel owes to his client, is an immovable fidelity.”</w:t>
      </w:r>
      <w:r>
        <w:rPr>
          <w:rStyle w:val="FootnoteReference"/>
          <w:color w:val="000000" w:themeColor="text1"/>
        </w:rPr>
        <w:footnoteReference w:id="422"/>
      </w:r>
      <w:r>
        <w:t xml:space="preserve"> Thus, Hoffman’s resolutions were set aside as what Alfred </w:t>
      </w:r>
      <w:proofErr w:type="spellStart"/>
      <w:r>
        <w:t>Konefsky</w:t>
      </w:r>
      <w:proofErr w:type="spellEnd"/>
      <w:r>
        <w:t xml:space="preserve"> calls “a nostalgia for a lost age,” and with them the profession’s last internal check on whether a dispute belonged in court or could be resolved without it.</w:t>
      </w:r>
      <w:r>
        <w:rPr>
          <w:rStyle w:val="FootnoteReference"/>
          <w:color w:val="000000" w:themeColor="text1"/>
        </w:rPr>
        <w:footnoteReference w:id="423"/>
      </w:r>
      <w:r>
        <w:t xml:space="preserve"> </w:t>
      </w:r>
    </w:p>
    <w:p w14:paraId="33010F0B" w14:textId="77777777" w:rsidR="000B08B7" w:rsidRPr="00A9375B" w:rsidRDefault="00B663C8" w:rsidP="003D74D8">
      <w:pPr>
        <w:pStyle w:val="BodyTextFirstIndent"/>
        <w:spacing w:line="480" w:lineRule="auto"/>
        <w:jc w:val="both"/>
      </w:pPr>
      <w:r>
        <w:t xml:space="preserve">The profession adopted </w:t>
      </w:r>
      <w:proofErr w:type="spellStart"/>
      <w:r>
        <w:t>Sharswood’s</w:t>
      </w:r>
      <w:proofErr w:type="spellEnd"/>
      <w:r>
        <w:t xml:space="preserve"> view as “the basis for the Canons [which] later evolved into the Model Code and the Model Rules.”</w:t>
      </w:r>
      <w:r>
        <w:rPr>
          <w:rStyle w:val="FootnoteReference"/>
        </w:rPr>
        <w:footnoteReference w:id="424"/>
      </w:r>
      <w:r>
        <w:t xml:space="preserve"> As a result, “one byproduct of an adversary model is that it polarizes the participants, imposing pressures on them to dogmatically pursue their own perceived interests or their own assessments of the proper outcomes of their cases”.</w:t>
      </w:r>
      <w:r>
        <w:rPr>
          <w:rStyle w:val="FootnoteReference"/>
          <w:color w:val="000000" w:themeColor="text1"/>
        </w:rPr>
        <w:footnoteReference w:id="425"/>
      </w:r>
      <w:r>
        <w:t xml:space="preserve"> The Model Code and Model Rules carried </w:t>
      </w:r>
      <w:proofErr w:type="spellStart"/>
      <w:r>
        <w:t>Sharswood’s</w:t>
      </w:r>
      <w:proofErr w:type="spellEnd"/>
      <w:r>
        <w:t xml:space="preserve"> principle that “the responsibility for advising as to questionable transactions, for bringing questionable suits, for urging questionable defenses, [was] the lawyer's responsibility.”</w:t>
      </w:r>
      <w:r>
        <w:rPr>
          <w:rStyle w:val="FootnoteReference"/>
        </w:rPr>
        <w:footnoteReference w:id="426"/>
      </w:r>
      <w:r>
        <w:t xml:space="preserve"> Delegating case assessment to the lawyer’s sole province proved particularly improvident in an era in which “private interests were primary” and “[w]</w:t>
      </w:r>
      <w:proofErr w:type="spellStart"/>
      <w:r>
        <w:t>hether</w:t>
      </w:r>
      <w:proofErr w:type="spellEnd"/>
      <w:r>
        <w:t xml:space="preserve"> a lawyer behaved ethically became a test of private conscience, not public honor.”</w:t>
      </w:r>
      <w:r>
        <w:rPr>
          <w:rStyle w:val="FootnoteReference"/>
        </w:rPr>
        <w:footnoteReference w:id="427"/>
      </w:r>
      <w:r>
        <w:t xml:space="preserve"> </w:t>
      </w:r>
    </w:p>
    <w:p>
      <w:pPr>
        <w:pStyle w:val="BodyTextFirstIndent"/>
        <w:spacing w:line="480" w:lineRule="auto"/>
        <w:jc w:val="both"/>
        <w:rPr>
          <w:ins w:id="200284" w:author="Claude" w:date="2026-09-27T12:00:00Z"/>
        </w:rPr>
      </w:pPr>
      <w:ins w:id="200283" w:author="Claude" w:date="2026-09-27T12:00:00Z">
        <w:r>
          <w:t>The bar’s own defense of the adversary system rests on a concession it has never followed to its conclusion. The Joint Conference of the American Bar Association and the Association of American Law Schools admitted, in its 1958 report on professional responsibility, that “what starts as a preliminary diagnosis designed to direct the inquiry tends, quickly and imperceptibly, to become a fixed conclusion, as all that confirms the diagnosis makes a strong imprint on the mind, while all that runs counter to it is received with diverted attention,” and that “[a]n adversary presentation seems the only effective means for combatting this natural human tendency to judge too swiftly in terms of the familiar that which is not yet fully known.”</w:t>
        </w:r>
        <w:r>
          <w:rPr>
            <w:rStyle w:val="FootnoteReference"/>
          </w:rPr>
          <w:footnoteReference w:id="757"/>
        </w:r>
        <w:r>
          <w:t xml:space="preserve"> I entirely agree. But the adversary system supplies the adversary only after filing, when the diagnosis has long since hardened; the Deliberative Body must supply him before. The same report set the limit of zeal: the advocate “plays his role badly, and trespasses against the obligations of professional responsibility, when his desire to win leads him to muddy the headwaters of decision.”</w:t>
        </w:r>
        <w:r>
          <w:rPr>
            <w:rStyle w:val="FootnoteReference"/>
          </w:rPr>
          <w:footnoteReference w:id="758"/>
        </w:r>
        <w:r>
          <w:t xml:space="preserve"> Dewey had made the diagnosis a generation earlier: “No lawyer ever thought out the case of a client in terms of the syllogism. He begins with a conclusion which he intends to reach, favorable to his client of course, and then analyzes the facts of the situation to find material out of which to construct a favorable statement of facts.”</w:t>
        </w:r>
        <w:r>
          <w:rPr>
            <w:rStyle w:val="FootnoteReference"/>
          </w:rPr>
          <w:footnoteReference w:id="759"/>
        </w:r>
        <w:r>
          <w:t xml:space="preserve"> Dan Simon and Minwoo Ahn describe a logic of reciprocity within the adversarial mindset. On that logic, “the reflexively and thoughtlessly conjured schemas of a biased, untrustworthy and distrusting counterpart are by and large justifiable plainly because people on both sides of an adversarial divide tend to be biased, untrustworthy and distrusting.”</w:t>
        </w:r>
        <w:r>
          <w:rPr>
            <w:rStyle w:val="FootnoteReference"/>
          </w:rPr>
          <w:footnoteReference w:id="760"/>
        </w:r>
        <w:r>
          <w:t xml:space="preserve"> Today Holger Spamann finds that law students develop this dogmatic thinking within forty minutes of being assigned an advocacy role,</w:t>
        </w:r>
        <w:r>
          <w:rPr>
            <w:rStyle w:val="FootnoteReference"/>
          </w:rPr>
          <w:footnoteReference w:id="761"/>
        </w:r>
        <w:r>
          <w:t xml:space="preserve"> with the legal mandate of zealous advocacy “bias[ing] a range of judgments automatically and without conscious control.”</w:t>
        </w:r>
        <w:r>
          <w:rPr>
            <w:rStyle w:val="FootnoteReference"/>
          </w:rPr>
          <w:footnoteReference w:id="762"/>
        </w:r>
        <w:r>
          <w:t xml:space="preserve"> In part, this occurs because the mere act of placing people in hypercompetitive roles impairs one’s ability to assess situations objectively, for “[z]eal might cloud the mind of the advocate, undermining their sensitivity to the sensibilities of their audience and blinding them to the weaknesses of their argument.”</w:t>
        </w:r>
        <w:r>
          <w:rPr>
            <w:rStyle w:val="FootnoteReference"/>
          </w:rPr>
          <w:footnoteReference w:id="763"/>
        </w:r>
        <w:r>
          <w:t xml:space="preserve"> Such bias is so pervasive that advocates cannot provide an objective assessment of their case even when they become aware of the bias itself.</w:t>
        </w:r>
        <w:r>
          <w:rPr>
            <w:rStyle w:val="FootnoteReference"/>
          </w:rPr>
          <w:footnoteReference w:id="764"/>
        </w:r>
        <w:r>
          <w:t xml:space="preserve"> </w:t>
        </w:r>
      </w:ins>
    </w:p>
    <w:p w14:paraId="4AAAF2AF" w14:textId="77777777" w:rsidR="007503B6" w:rsidRPr="00A9375B" w:rsidRDefault="007503B6" w:rsidP="003D74D8">
      <w:pPr>
        <w:pStyle w:val="BodyTextFirstIndent"/>
        <w:spacing w:line="480" w:lineRule="auto"/>
        <w:ind w:firstLine="0"/>
        <w:jc w:val="both"/>
      </w:pPr>
    </w:p>
    <w:p w14:paraId="1B2D0DAD" w14:textId="77777777" w:rsidR="007503B6" w:rsidRPr="00A9375B" w:rsidRDefault="007503B6" w:rsidP="003D74D8">
      <w:pPr>
        <w:pStyle w:val="BodyTextFirstIndent"/>
        <w:numPr>
          <w:ilvl w:val="1"/>
          <w:numId w:val="11"/>
        </w:numPr>
        <w:spacing w:line="480" w:lineRule="auto"/>
        <w:jc w:val="both"/>
        <w:rPr>
          <w:i/>
          <w:iCs/>
        </w:rPr>
      </w:pPr>
      <w:r>
        <w:rPr>
          <w:i/>
          <w:iCs/>
        </w:rPr>
        <w:t>Attitudes Towards the Utilization of Informal Options Continue to Waver</w:t>
      </w:r>
    </w:p>
    <w:p w14:paraId="2A72611E" w14:textId="77777777" w:rsidR="007503B6" w:rsidRPr="00A9375B" w:rsidRDefault="007503B6" w:rsidP="003D74D8">
      <w:pPr>
        <w:pStyle w:val="BodyTextFirstIndent"/>
        <w:spacing w:line="480" w:lineRule="auto"/>
        <w:ind w:left="1080" w:firstLine="0"/>
        <w:jc w:val="both"/>
      </w:pPr>
    </w:p>
    <w:p w14:paraId="01048961" w14:textId="77777777" w:rsidR="00453149" w:rsidRPr="00A9375B" w:rsidRDefault="00453149" w:rsidP="003D74D8">
      <w:pPr>
        <w:pStyle w:val="BodyTextFirstIndent"/>
        <w:spacing w:line="480" w:lineRule="auto"/>
        <w:jc w:val="both"/>
      </w:pPr>
      <w:r>
        <w:t>Lincoln was famously quoted as advocating a revival of early-century informal practices, but by the end of the Civil War, dire economic conditions made the uncertainty of informal ADR an unwise choice for a party holding a stake in the matter beyond sentiment.</w:t>
      </w:r>
      <w:r>
        <w:rPr>
          <w:vertAlign w:val="superscript"/>
        </w:rPr>
        <w:footnoteReference w:id="428"/>
      </w:r>
      <w:r>
        <w:t xml:space="preserve"> For the first time, ADR was no longer a “voluntary expression of communal cohesion” but an instrument of external regulation and control deployed by outsiders against disadvantaged groups.</w:t>
      </w:r>
      <w:r>
        <w:rPr>
          <w:vertAlign w:val="superscript"/>
        </w:rPr>
        <w:footnoteReference w:id="429"/>
      </w:r>
      <w:r>
        <w:t xml:space="preserve"> Union General O.O. Howard’s Freedmen’s Bureau established arbitration tribunals that reinforced planter power over formerly enslaved people. At the same time, industrial ADR proponents, such as the Chicago Civic Federation, advocated compulsory dispute resolution to prevent class warfare.</w:t>
      </w:r>
      <w:r>
        <w:rPr>
          <w:vertAlign w:val="superscript"/>
        </w:rPr>
        <w:footnoteReference w:id="430"/>
      </w:r>
      <w:r>
        <w:t xml:space="preserve"> </w:t>
      </w:r>
    </w:p>
    <w:p w14:paraId="2616FAAC" w14:textId="77777777" w:rsidR="00453149" w:rsidRPr="00A9375B" w:rsidRDefault="00453149" w:rsidP="003D74D8">
      <w:pPr>
        <w:pStyle w:val="BodyTextFirstIndent"/>
        <w:spacing w:line="480" w:lineRule="auto"/>
        <w:jc w:val="both"/>
      </w:pPr>
      <w:r>
        <w:t>Following the Civil War, state and federal courts sought to insulate the rising industrial order from democratic redistribution.</w:t>
      </w:r>
      <w:bookmarkStart w:id="53" w:name="_Ref222242702"/>
      <w:r>
        <w:rPr>
          <w:rStyle w:val="FootnoteReference"/>
        </w:rPr>
        <w:footnoteReference w:id="431"/>
      </w:r>
      <w:bookmarkEnd w:id="53"/>
      <w:r>
        <w:t xml:space="preserve"> Courts asserted themselves as the “nation’s authoritative political economist,” applying flexible, modern rules to commerce and rigid, feudal “master-</w:t>
      </w:r>
      <w:r>
        <w:lastRenderedPageBreak/>
        <w:t>servant” doctrines to organized labor.</w:t>
      </w:r>
      <w:r>
        <w:rPr>
          <w:rStyle w:val="FootnoteReference"/>
        </w:rPr>
        <w:footnoteReference w:id="432"/>
      </w:r>
      <w:r>
        <w:t xml:space="preserve"> Legal education had long rested on the common law’s adversary system, in which “a lawyer was a litigator” and “the primary objective of legal education . . . was to teach lawyers the art of arguing cases in court.”</w:t>
      </w:r>
      <w:r>
        <w:rPr>
          <w:rStyle w:val="FootnoteReference"/>
        </w:rPr>
        <w:footnoteReference w:id="433"/>
      </w:r>
      <w:r>
        <w:t xml:space="preserve"> Independently, and for reasons Jud Campbell traces to religious-freedom doctrine and “the demands of commerce,” “[g]</w:t>
      </w:r>
      <w:proofErr w:type="spellStart"/>
      <w:r>
        <w:t>radually</w:t>
      </w:r>
      <w:proofErr w:type="spellEnd"/>
      <w:r>
        <w:t xml:space="preserve"> at first, and then with growing speed, the theological underpinnings of oath taking eroded across the United States in the early nineteenth century.”</w:t>
      </w:r>
      <w:r>
        <w:rPr>
          <w:rStyle w:val="FootnoteReference"/>
        </w:rPr>
        <w:footnoteReference w:id="434"/>
      </w:r>
      <w:r>
        <w:t xml:space="preserve"> In the pre-</w:t>
      </w:r>
      <w:r>
        <w:rPr>
          <w:i/>
          <w:iCs/>
        </w:rPr>
        <w:t>Erie</w:t>
      </w:r>
      <w:r>
        <w:t xml:space="preserve"> era of civil procedure, </w:t>
      </w:r>
      <w:r>
        <w:rPr>
          <w:i/>
          <w:iCs/>
        </w:rPr>
        <w:t>Swift v. Tyson</w:t>
      </w:r>
      <w:r>
        <w:t xml:space="preserve"> empowered federal judges to create a “general commercial law” favorable to creditors, thereby naturalizing the corporation while punishing labor strikers.</w:t>
      </w:r>
      <w:r>
        <w:rPr>
          <w:rStyle w:val="FootnoteReference"/>
        </w:rPr>
        <w:footnoteReference w:id="435"/>
      </w:r>
      <w:r>
        <w:t xml:space="preserve"> While commercial reformers attempted to bypass this monopoly by creating guild boards such as the Interstate Commerce Commission to handle railroad disputes, the courts aggressively intervened to strip these agencies of their fact-finding capabilities.</w:t>
      </w:r>
      <w:r>
        <w:rPr>
          <w:rStyle w:val="FootnoteReference"/>
        </w:rPr>
        <w:footnoteReference w:id="436"/>
      </w:r>
      <w:r>
        <w:t xml:space="preserve"> Faced with this implacable judicial hostility, the American labor movement retreated from broad social reform to a defensive posture, seeking only immunity </w:t>
      </w:r>
      <w:r>
        <w:lastRenderedPageBreak/>
        <w:t>from court interference rather than positive state aid.</w:t>
      </w:r>
      <w:r>
        <w:rPr>
          <w:rStyle w:val="FootnoteReference"/>
        </w:rPr>
        <w:footnoteReference w:id="437"/>
      </w:r>
      <w:r>
        <w:t xml:space="preserve"> Consequently, arbitration seemed, in Frances Kellor’s phrase, “destined to follow a medieval design of negation, if not subjugation.”</w:t>
      </w:r>
      <w:r>
        <w:rPr>
          <w:rStyle w:val="FootnoteReference"/>
        </w:rPr>
        <w:footnoteReference w:id="438"/>
      </w:r>
      <w:r>
        <w:t xml:space="preserve"> </w:t>
      </w:r>
    </w:p>
    <w:p w14:paraId="5A9B674F" w14:textId="77777777" w:rsidR="00254412" w:rsidRPr="00A9375B" w:rsidRDefault="00254412" w:rsidP="003D74D8">
      <w:pPr>
        <w:pStyle w:val="BodyTextFirstIndent"/>
        <w:spacing w:line="480" w:lineRule="auto"/>
        <w:jc w:val="both"/>
      </w:pPr>
      <w:r>
        <w:t xml:space="preserve">In both the United States and </w:t>
      </w:r>
      <w:proofErr w:type="gramStart"/>
      <w:r>
        <w:t>England</w:t>
      </w:r>
      <w:proofErr w:type="gramEnd"/>
      <w:r>
        <w:t xml:space="preserve"> the nineteenth-century bar “shorten[ed] and dilute[d]” the lawyer’s oath until it “eliminate[d] most of its meaning.” It reduced what was once “the lawyer’s first, if not his only, personal formulation of ethical standards” to a form that is “often more symbolic than substantive.”</w:t>
      </w:r>
      <w:r>
        <w:rPr>
          <w:rStyle w:val="FootnoteReference"/>
          <w:color w:val="000000" w:themeColor="text1"/>
        </w:rPr>
        <w:footnoteReference w:id="439"/>
      </w:r>
      <w:r>
        <w:t xml:space="preserve"> I must interject here that the dilution of the oath is not merely a curiosity of professional regulation but a revealing symptom of American law’s broader tendency to dismantle, one by one, the very QCMs that had historically compelled individual legal advocates to confront the weaknesses of their own positions before presenting them—a tendency whose cumulative effect, as I shall argue, is to leave modern Deliberative Bodies defenseless against groupthink.</w:t>
      </w:r>
      <w:r>
        <w:rPr>
          <w:rStyle w:val="FootnoteReference"/>
          <w:color w:val="000000" w:themeColor="text1"/>
        </w:rPr>
        <w:footnoteReference w:id="440"/>
      </w:r>
    </w:p>
    <w:p w14:paraId="16D72A57" w14:textId="77777777" w:rsidR="007503B6" w:rsidRPr="00A9375B" w:rsidRDefault="007503B6" w:rsidP="003D74D8">
      <w:pPr>
        <w:pStyle w:val="BodyTextFirstIndent"/>
        <w:spacing w:line="480" w:lineRule="auto"/>
        <w:ind w:firstLine="0"/>
        <w:jc w:val="both"/>
      </w:pPr>
    </w:p>
    <w:p w14:paraId="5780054D" w14:textId="77777777" w:rsidR="007503B6" w:rsidRPr="00A9375B" w:rsidRDefault="007503B6" w:rsidP="003D74D8">
      <w:pPr>
        <w:pStyle w:val="BodyTextFirstIndent"/>
        <w:numPr>
          <w:ilvl w:val="1"/>
          <w:numId w:val="11"/>
        </w:numPr>
        <w:spacing w:line="480" w:lineRule="auto"/>
        <w:jc w:val="both"/>
        <w:rPr>
          <w:i/>
          <w:iCs/>
        </w:rPr>
      </w:pPr>
      <w:r>
        <w:rPr>
          <w:i/>
          <w:iCs/>
        </w:rPr>
        <w:t>Second Historical Factor – Legal System’s Institutional Capacity for Disputes</w:t>
      </w:r>
    </w:p>
    <w:p w14:paraId="65582F91" w14:textId="77777777" w:rsidR="007503B6" w:rsidRPr="00A9375B" w:rsidRDefault="007503B6" w:rsidP="003D74D8">
      <w:pPr>
        <w:pStyle w:val="BodyTextFirstIndent"/>
        <w:spacing w:line="480" w:lineRule="auto"/>
        <w:ind w:left="1080" w:firstLine="0"/>
        <w:jc w:val="both"/>
      </w:pPr>
    </w:p>
    <w:p w14:paraId="0325AA4B" w14:textId="77777777" w:rsidR="00453149" w:rsidRPr="00A9375B" w:rsidRDefault="00453149" w:rsidP="003D74D8">
      <w:pPr>
        <w:pStyle w:val="BodyTextFirstIndent"/>
        <w:spacing w:line="480" w:lineRule="auto"/>
        <w:jc w:val="both"/>
      </w:pPr>
      <w:r>
        <w:t>Communal practices briefly resurged among early-twentieth-century immigrants. Italian and Greek labor brokers, Chinese merchant elders, and Scandinavian conciliation courts adhered to traditional dispute settlement because control over conflict was necessary to preserve communal values from the corrosive pressures of assimilation.</w:t>
      </w:r>
      <w:r>
        <w:rPr>
          <w:rStyle w:val="FootnoteReference"/>
          <w:color w:val="000000" w:themeColor="text1"/>
        </w:rPr>
        <w:footnoteReference w:id="441"/>
      </w:r>
      <w:r>
        <w:t xml:space="preserve"> Counsel assisted their acculturation: in the </w:t>
      </w:r>
      <w:r>
        <w:lastRenderedPageBreak/>
        <w:t>Kehillah’s arbitration tribunals lawyers “sifted the complaints, dismissed those without merit,” while elite lawyers founded legal aid societies with the explicit goal of “</w:t>
      </w:r>
      <w:proofErr w:type="spellStart"/>
      <w:r>
        <w:t>displac</w:t>
      </w:r>
      <w:proofErr w:type="spellEnd"/>
      <w:r>
        <w:t>[</w:t>
      </w:r>
      <w:proofErr w:type="spellStart"/>
      <w:r>
        <w:t>ing</w:t>
      </w:r>
      <w:proofErr w:type="spellEnd"/>
      <w:r>
        <w:t>] immigrant legal aid societies” that they considered “over-aggressive,” insisting instead on “conciliatory approaches” managed by professionals to defuse ethnic and class tensions.</w:t>
      </w:r>
      <w:bookmarkStart w:id="54" w:name="_Ref222242775"/>
      <w:r>
        <w:rPr>
          <w:rStyle w:val="FootnoteReference"/>
          <w:color w:val="000000" w:themeColor="text1"/>
        </w:rPr>
        <w:footnoteReference w:id="442"/>
      </w:r>
      <w:bookmarkEnd w:id="54"/>
      <w:r>
        <w:t xml:space="preserve"> To complete their consolidation of control, leading judges and lawyers founded the American Law Institute in 1923, seeking to distill the discordant variety of community standards into the Restatement’s single, national “scientific” consensus.</w:t>
      </w:r>
      <w:r>
        <w:rPr>
          <w:rStyle w:val="FootnoteReference"/>
          <w:color w:val="000000" w:themeColor="text1"/>
        </w:rPr>
        <w:footnoteReference w:id="443"/>
      </w:r>
      <w:r>
        <w:t> </w:t>
      </w:r>
    </w:p>
    <w:p w14:paraId="57029FD7" w14:textId="77777777" w:rsidR="00DC61DB" w:rsidRPr="00A9375B" w:rsidRDefault="00DC61DB" w:rsidP="003D74D8">
      <w:pPr>
        <w:spacing w:line="480" w:lineRule="auto"/>
        <w:ind w:right="17" w:firstLine="360"/>
        <w:jc w:val="both"/>
        <w:rPr>
          <w:color w:val="000000" w:themeColor="text1"/>
        </w:rPr>
      </w:pPr>
      <w:proofErr w:type="spellStart"/>
      <w:proofErr w:type="spellEnd"/>
      <w:bookmarkStart w:id="55" w:name="_Ref217242120"/>
      <w:bookmarkEnd w:id="55"/>
      <w:proofErr w:type="spellStart"/>
      <w:proofErr w:type="spellEnd"/>
      <w:r>
        <w:rPr>
          <w:color w:val="000000" w:themeColor="text1"/>
        </w:rPr>
        <w:t>Reflecting the 1920s “associationalist” preference for private market organization, the 1925 Federal Arbitration Act (FAA), in line with English common-law practice,</w:t>
      </w:r>
      <w:r>
        <w:rPr>
          <w:rStyle w:val="FootnoteReference"/>
          <w:color w:val="000000" w:themeColor="text1"/>
        </w:rPr>
        <w:footnoteReference w:id="444"/>
      </w:r>
      <w:r>
        <w:rPr>
          <w:color w:val="000000" w:themeColor="text1"/>
        </w:rPr>
        <w:t xml:space="preserve"> was designed to validate a distinct track of merchant-justice where business people could bypass the courts in favor of the sort of procedures that, as Friedman writes of ADR today, “[b]usiness people appreciate” because they “are quick, simple, and private.”</w:t>
      </w:r>
      <w:r>
        <w:rPr>
          <w:rStyle w:val="FootnoteReference"/>
          <w:color w:val="000000" w:themeColor="text1"/>
        </w:rPr>
        <w:footnoteReference w:id="445"/>
      </w:r>
      <w:r>
        <w:rPr>
          <w:color w:val="000000" w:themeColor="text1"/>
        </w:rPr>
        <w:t xml:space="preserve"> The FAA was promoted by progressive reformers and backed by the New York Chamber of Commerce, which sought to protect its commercial interests</w:t>
      </w:r>
      <w:del w:id="100091" w:author="Claude" w:date="2026-09-26T12:00:00Z">
        <w:r>
          <w:rPr>
            <w:color w:val="000000" w:themeColor="text1"/>
          </w:rPr>
          <w:delText>.</w:delText>
        </w:r>
      </w:del>
      <w:ins w:id="100092" w:author="Claude" w:date="2026-09-26T12:00:00Z">
        <w:r>
          <w:rPr>
            <w:color w:val="000000" w:themeColor="text1"/>
          </w:rPr>
          <w:t>,</w:t>
        </w:r>
      </w:ins>
      <w:r>
        <w:rPr>
          <w:rStyle w:val="FootnoteReference"/>
          <w:color w:val="000000" w:themeColor="text1"/>
        </w:rPr>
        <w:footnoteReference w:id="446"/>
      </w:r>
      <w:del w:id="100093" w:author="Claude" w:date="2026-09-26T12:00:00Z">
        <w:r>
          <w:rPr>
            <w:color w:val="000000" w:themeColor="text1"/>
          </w:rPr>
          <w:delText xml:space="preserve"> Congress unambiguously expressed that the FAA was enacted as a </w:delText>
        </w:r>
        <w:r>
          <w:rPr>
            <w:i/>
            <w:iCs/>
            <w:color w:val="000000" w:themeColor="text1"/>
          </w:rPr>
          <w:delText>procedural</w:delText>
        </w:r>
        <w:r>
          <w:rPr>
            <w:color w:val="000000" w:themeColor="text1"/>
          </w:rPr>
          <w:delText xml:space="preserve"> statute, applicable </w:delText>
        </w:r>
        <w:r>
          <w:rPr>
            <w:i/>
            <w:iCs/>
            <w:color w:val="000000" w:themeColor="text1"/>
          </w:rPr>
          <w:delText>solely</w:delText>
        </w:r>
        <w:r>
          <w:rPr>
            <w:color w:val="000000" w:themeColor="text1"/>
          </w:rPr>
          <w:delText xml:space="preserve"> in federal courts to facilitate commercial arbitration between consenting merchants.</w:delText>
        </w:r>
      </w:del>
      <w:ins w:id="100094" w:author="Claude" w:date="2026-09-26T12:00:00Z">
        <w:r>
          <w:rPr>
            <w:color w:val="000000" w:themeColor="text1"/>
          </w:rPr>
          <w:t xml:space="preserve"> and it ended the vacillation I have described in favor of legal pluralism, in which industry experts rather than judges would resolve commercial disputes.</w:t>
        </w:r>
        <w:r>
          <w:rPr>
            <w:rStyle w:val="FootnoteReference"/>
            <w:color w:val="000000" w:themeColor="text1"/>
          </w:rPr>
          <w:footnoteReference w:id="752"/>
        </w:r>
        <w:r>
          <w:rPr>
            <w:color w:val="000000" w:themeColor="text1"/>
          </w:rPr>
          <w:t xml:space="preserve"> Congress unambiguously expressed that the FAA was enacted as a </w:t>
        </w:r>
        <w:r>
          <w:rPr>
            <w:i/>
            <w:color w:val="000000" w:themeColor="text1"/>
          </w:rPr>
          <w:t>procedural</w:t>
        </w:r>
        <w:r>
          <w:rPr>
            <w:color w:val="000000" w:themeColor="text1"/>
          </w:rPr>
          <w:t xml:space="preserve"> statute, applicable </w:t>
        </w:r>
        <w:r>
          <w:rPr>
            <w:i/>
            <w:color w:val="000000" w:themeColor="text1"/>
          </w:rPr>
          <w:t>solely</w:t>
        </w:r>
        <w:r>
          <w:rPr>
            <w:color w:val="000000" w:themeColor="text1"/>
          </w:rPr>
          <w:t xml:space="preserve"> in federal courts to facilitate commercial arbitration between consenting merchants.</w:t>
        </w:r>
      </w:ins>
      <w:r>
        <w:rPr>
          <w:rStyle w:val="FootnoteReference"/>
          <w:color w:val="000000" w:themeColor="text1"/>
        </w:rPr>
        <w:footnoteReference w:id="447"/>
      </w:r>
      <w:r>
        <w:rPr>
          <w:color w:val="000000" w:themeColor="text1"/>
        </w:rPr>
        <w:t xml:space="preserve"> The business community and trade associations “wanted respected elders in their specific commercial communities to resolve disputes according to the norms of the trade, rather than by external law.”</w:t>
      </w:r>
      <w:r>
        <w:rPr>
          <w:rStyle w:val="FootnoteReference"/>
          <w:color w:val="000000" w:themeColor="text1"/>
        </w:rPr>
        <w:footnoteReference w:id="448"/>
      </w:r>
      <w:r>
        <w:rPr>
          <w:color w:val="000000" w:themeColor="text1"/>
        </w:rPr>
        <w:t xml:space="preserve"> Yet courts, perhaps taking it upon themselves to answer Roscoe Pound’s relentless early-twentieth-century public critiques of their many shortcomings, came to understand the FAA as a court substitute for </w:t>
      </w:r>
      <w:r>
        <w:rPr>
          <w:i/>
          <w:iCs/>
          <w:color w:val="000000" w:themeColor="text1"/>
        </w:rPr>
        <w:t>all</w:t>
      </w:r>
      <w:r>
        <w:rPr>
          <w:color w:val="000000" w:themeColor="text1"/>
        </w:rPr>
        <w:t xml:space="preserve"> litigation.</w:t>
      </w:r>
      <w:r>
        <w:rPr>
          <w:rStyle w:val="FootnoteReference"/>
          <w:color w:val="000000" w:themeColor="text1"/>
        </w:rPr>
        <w:footnoteReference w:id="449"/>
      </w:r>
      <w:r>
        <w:rPr>
          <w:color w:val="000000" w:themeColor="text1"/>
        </w:rPr>
        <w:t xml:space="preserve"> The courts may have placed undue weight on Pound’s writings, as Henretta summarizes Stanley N. Katz’s 1984 survey, “an impressive galaxy of scholars – Roscoe Pound, Perry Miller, and Grant Gilmore – had managed to write histories of American law that largely ignored the colonial period and located the creative period of legal development during or immediately after the Revolution.”</w:t>
      </w:r>
      <w:r>
        <w:rPr>
          <w:rStyle w:val="FootnoteReference"/>
          <w:color w:val="000000" w:themeColor="text1"/>
        </w:rPr>
        <w:footnoteReference w:id="450"/>
      </w:r>
      <w:ins w:id="100095" w:author="Claude" w:date="2026-09-26T12:00:00Z">
        <w:r>
          <w:rPr>
            <w:color w:val="000000" w:themeColor="text1"/>
          </w:rPr>
          <w:t xml:space="preserve"> Although “one rarely finds a legislative history as unambiguous as the FAA’s,”</w:t>
        </w:r>
        <w:r>
          <w:rPr>
            <w:rStyle w:val="FootnoteReference"/>
            <w:color w:val="000000" w:themeColor="text1"/>
          </w:rPr>
          <w:footnoteReference w:id="753"/>
        </w:r>
      </w:ins>
      <w:r>
        <w:rPr>
          <w:color w:val="000000" w:themeColor="text1"/>
        </w:rPr>
        <w:t xml:space="preserve"> Justice O’Connor wrote that the Court had “abandoned all pretense of ascertaining congressional intent with respect to the Federal Arbitration Act, building instead, case by case, an edifice of its own creation”—a procedural statute enacted solely to enforce voluntary arbitration agreements between merchants in federal court, recast by the judiciary into substantive federal law that preempts state regulation, compels arbitration of statutory rights, and binds consumers and employees through adhesion contracts the 1925 Congress never intended to cover.</w:t>
      </w:r>
      <w:r>
        <w:rPr>
          <w:rStyle w:val="FootnoteReference"/>
          <w:color w:val="000000" w:themeColor="text1"/>
        </w:rPr>
        <w:footnoteReference w:id="451"/>
      </w:r>
      <w:r>
        <w:rPr>
          <w:color w:val="000000" w:themeColor="text1"/>
        </w:rPr>
        <w:t xml:space="preserve"> It also did not help that the American Arbitration Association, founded in 1926, failed to provide merchants with an informal dispute-resolution forum.</w:t>
      </w:r>
      <w:r>
        <w:rPr>
          <w:rStyle w:val="FootnoteReference"/>
          <w:color w:val="000000" w:themeColor="text1"/>
        </w:rPr>
        <w:footnoteReference w:id="452"/>
      </w:r>
      <w:r>
        <w:rPr>
          <w:color w:val="000000" w:themeColor="text1"/>
        </w:rPr>
        <w:t xml:space="preserve"> Combined, these led to a new era of ADR where:</w:t>
      </w:r>
    </w:p>
    <w:p w14:paraId="1ABAD579" w14:textId="77777777" w:rsidR="00DC61DB" w:rsidRPr="00A9375B" w:rsidRDefault="00DC61DB" w:rsidP="003D74D8">
      <w:pPr>
        <w:spacing w:line="480" w:lineRule="auto"/>
        <w:ind w:left="720" w:right="720"/>
        <w:jc w:val="both"/>
        <w:rPr>
          <w:color w:val="000000" w:themeColor="text1"/>
        </w:rPr>
      </w:pPr>
      <w:r>
        <w:rPr>
          <w:color w:val="000000" w:themeColor="text1"/>
        </w:rPr>
        <w:t xml:space="preserve">“[t]he recent doctrines that have expanded the scope of the FAA are based on the image of the early twentieth century trade association and exemplify a misapplication of the ancient guild ideal. The guild ideal has a descriptive </w:t>
      </w:r>
      <w:r>
        <w:rPr>
          <w:color w:val="000000" w:themeColor="text1"/>
        </w:rPr>
        <w:lastRenderedPageBreak/>
        <w:t>dimension and a prescriptive dimension: As description, it claims that there are self-regulating normative subcommunities that exist within our larger body politic; as prescription, it advocates that law should permit these communities a significant measure of autonomy from the rest of society. By treating arbitration as a creation of normative subcommunities, courts grant them wide discretion so that they can perform a self-regulatory function. . . . Current uses of arbitration, however, are a far cry from the craft guild model.”</w:t>
      </w:r>
      <w:r>
        <w:rPr>
          <w:rStyle w:val="FootnoteReference"/>
          <w:color w:val="000000" w:themeColor="text1"/>
        </w:rPr>
        <w:footnoteReference w:id="453"/>
      </w:r>
    </w:p>
    <w:p w14:paraId="0C9C4FB0" w14:textId="77777777" w:rsidR="00DC61DB" w:rsidRPr="00A9375B" w:rsidRDefault="003C188C" w:rsidP="003D74D8">
      <w:pPr>
        <w:spacing w:line="480" w:lineRule="auto"/>
        <w:ind w:firstLine="360"/>
        <w:jc w:val="both"/>
        <w:rPr>
          <w:color w:val="000000" w:themeColor="text1"/>
        </w:rPr>
      </w:pPr>
      <w:r>
        <w:rPr>
          <w:color w:val="000000" w:themeColor="text1"/>
        </w:rPr>
        <w:t>By compelling arbitration under the new statutes, and so collapsing ADR and trial onto a single dispute timeline, the courts eviscerated the autonomy of the informal forum, brought lawyers into what had been a separate space, and almost immediately turned ADR into “a shadow of conventional adjudication practices.”</w:t>
      </w:r>
      <w:r>
        <w:rPr>
          <w:rStyle w:val="FootnoteReference"/>
          <w:color w:val="000000" w:themeColor="text1"/>
        </w:rPr>
        <w:footnoteReference w:id="454"/>
      </w:r>
      <w:r>
        <w:rPr>
          <w:color w:val="000000" w:themeColor="text1"/>
        </w:rPr>
        <w:t xml:space="preserve"> By 1930, commercial arbitration was legalized in form, if not in spirit; counsel appeared in 36% of Association arbitrations in 1927, and in 91% twenty years later.</w:t>
      </w:r>
      <w:r>
        <w:rPr>
          <w:rStyle w:val="FootnoteReference"/>
          <w:color w:val="000000" w:themeColor="text1"/>
        </w:rPr>
        <w:footnoteReference w:id="455"/>
      </w:r>
      <w:r>
        <w:rPr>
          <w:color w:val="000000" w:themeColor="text1"/>
        </w:rPr>
        <w:t xml:space="preserve"> New Deal critics, led by Philip G. Phillips, encouraged the formal expansion of adjudicative power, arguing that such disputes should be resolved within the public legal system on normative grounds; the critique was sharpened by “[t]he growth of German business cartels, and their complicity with the Nazi regime,” a line pressed most directly by Heinrich </w:t>
      </w:r>
      <w:proofErr w:type="spellStart"/>
      <w:r>
        <w:rPr>
          <w:color w:val="000000" w:themeColor="text1"/>
        </w:rPr>
        <w:t>Kronstein</w:t>
      </w:r>
      <w:proofErr w:type="spellEnd"/>
      <w:r>
        <w:rPr>
          <w:color w:val="000000" w:themeColor="text1"/>
        </w:rPr>
        <w:t>.</w:t>
      </w:r>
      <w:r>
        <w:rPr>
          <w:rStyle w:val="FootnoteReference"/>
          <w:color w:val="000000" w:themeColor="text1"/>
        </w:rPr>
        <w:footnoteReference w:id="456"/>
      </w:r>
      <w:r>
        <w:rPr>
          <w:color w:val="000000" w:themeColor="text1"/>
        </w:rPr>
        <w:t xml:space="preserve"> Unfortunately for clients everywhere who deserve to have their disputes battle-tested before filing, </w:t>
      </w:r>
      <w:r>
        <w:lastRenderedPageBreak/>
        <w:t>disputants found that their “‘property’ interest in the dispute is expropriated by lawyers and the state.”</w:t>
      </w:r>
      <w:r>
        <w:rPr>
          <w:rStyle w:val="FootnoteReference"/>
        </w:rPr>
        <w:footnoteReference w:id="457"/>
      </w:r>
      <w:r>
        <w:t xml:space="preserve"> The presence of lawyers in dispute resolution is not, by itself, transformative. Roman </w:t>
      </w:r>
      <w:r>
        <w:rPr>
          <w:i/>
          <w:iCs/>
        </w:rPr>
        <w:t>advocati</w:t>
      </w:r>
      <w:r>
        <w:t xml:space="preserve"> participated in </w:t>
      </w:r>
      <w:proofErr w:type="spellStart"/>
      <w:r>
        <w:rPr>
          <w:i/>
          <w:iCs/>
        </w:rPr>
        <w:t>compromissum</w:t>
      </w:r>
      <w:proofErr w:type="spellEnd"/>
      <w:r>
        <w:t xml:space="preserve"> for centuries </w:t>
      </w:r>
      <w:r>
        <w:rPr>
          <w:lang w:val="en"/>
        </w:rPr>
        <w:t xml:space="preserve">without displacing its private, party-controlled character; by AD 529, Justinian’s legislation required counsel appearing “before arbiters whether ex </w:t>
      </w:r>
      <w:proofErr w:type="spellStart"/>
      <w:r>
        <w:rPr>
          <w:lang w:val="en"/>
        </w:rPr>
        <w:t>compromisso</w:t>
      </w:r>
      <w:proofErr w:type="spellEnd"/>
      <w:r>
        <w:rPr>
          <w:lang w:val="en"/>
        </w:rPr>
        <w:t xml:space="preserve"> or otherwise” to swear “that they will . . . introduce on behalf of their clients what they consider to be right and true,” and to “retire from the case” on discovering it to be “unprincipled or intrinsically hopeless.”</w:t>
      </w:r>
      <w:r>
        <w:rPr>
          <w:rStyle w:val="FootnoteReference"/>
        </w:rPr>
        <w:footnoteReference w:id="458"/>
      </w:r>
      <w:r>
        <w:t xml:space="preserve"> In thirteenth-century Languedoc, legal professionals appeared as advisers to arbiters, and their influence, Fredric Cheyette suggests, ran toward objective normative judgment; the decisive break came when the monarchy and its agents, “with no ties to the local landed class,” proved “not amenable to the pressures and arguments of old-style arbitration.”</w:t>
      </w:r>
      <w:r>
        <w:rPr>
          <w:rStyle w:val="FootnoteReference"/>
        </w:rPr>
        <w:footnoteReference w:id="459"/>
      </w:r>
      <w:r>
        <w:t xml:space="preserve"> Colonial American arbitration similarly transformed, not because lawyers </w:t>
      </w:r>
      <w:bookmarkStart w:id="56" w:name="_Ref218970328"/>
      <w:r>
        <w:t>entered, but because underlying social conditions changed.</w:t>
      </w:r>
      <w:r>
        <w:rPr>
          <w:rStyle w:val="FootnoteReference"/>
        </w:rPr>
        <w:footnoteReference w:id="460"/>
      </w:r>
      <w:bookmarkEnd w:id="56"/>
      <w:r>
        <w:t xml:space="preserve"> </w:t>
      </w:r>
    </w:p>
    <w:p w14:paraId="63A9C669" w14:textId="77777777" w:rsidR="00DC61DB" w:rsidRPr="00A9375B" w:rsidRDefault="003C188C" w:rsidP="003D74D8">
      <w:pPr>
        <w:pStyle w:val="BodyTextFirstIndent"/>
        <w:spacing w:line="480" w:lineRule="auto"/>
        <w:jc w:val="both"/>
      </w:pPr>
      <w:r>
        <w:t xml:space="preserve">In contrast, beginning in the 1920s, bar associations formed “unauthorized practice of law” committees to wage turf battles against accountants, collection agencies, trust companies, and title insurers, with uneven success, but with enough effect that the bar “enjoined or prosecuted competition from lay providers of such services as divorce advice, even in markets that lawyers </w:t>
      </w:r>
      <w:r>
        <w:lastRenderedPageBreak/>
        <w:t>did not serve.”</w:t>
      </w:r>
      <w:r>
        <w:rPr>
          <w:rStyle w:val="FootnoteReference"/>
          <w:color w:val="000000" w:themeColor="text1"/>
        </w:rPr>
        <w:footnoteReference w:id="461"/>
      </w:r>
      <w:r>
        <w:t xml:space="preserve"> Every court alternative that emerged in this climate seemed to fail. The “small claims court” movement, launched in 1913 to provide people experiencing poverty with easy access to informal justice, was co-opted by “doctors, utility managers, and department store heads” who used the new machinery to efficiently collect debts from people of modest income, turning a potential alternative forum into a streamlined enforcement arm of the corporate economy.</w:t>
      </w:r>
      <w:r>
        <w:rPr>
          <w:rStyle w:val="FootnoteReference"/>
          <w:color w:val="000000" w:themeColor="text1"/>
        </w:rPr>
        <w:footnoteReference w:id="462"/>
      </w:r>
      <w:r>
        <w:t xml:space="preserve"> This consolidation extended even to the rising administrative state, which, while initially promising a separate track of expert governance, eventually succumbed to the bar, which demanded that these agencies legalize their procedures.</w:t>
      </w:r>
      <w:r>
        <w:rPr>
          <w:rStyle w:val="FootnoteReference"/>
          <w:color w:val="000000" w:themeColor="text1"/>
        </w:rPr>
        <w:footnoteReference w:id="463"/>
      </w:r>
      <w:r>
        <w:t xml:space="preserve"> </w:t>
      </w:r>
    </w:p>
    <w:p w14:paraId="032DA22F" w14:textId="77777777" w:rsidR="007503B6" w:rsidRPr="000519F8" w:rsidRDefault="000519F8" w:rsidP="003D74D8">
      <w:pPr>
        <w:pStyle w:val="BodyTextFirstIndent"/>
        <w:spacing w:line="480" w:lineRule="auto"/>
        <w:jc w:val="both"/>
      </w:pPr>
      <w:r>
        <w:t>In sum, the legal system’s institutional capacity for capturing disputes largely explains the problems caused by twentieth-century American lawyers’ entry into the newly flattened dispute timeline of informal forums alongside trial.</w:t>
      </w:r>
      <w:r>
        <w:rPr>
          <w:rStyle w:val="FootnoteReference"/>
        </w:rPr>
        <w:footnoteReference w:id="464"/>
      </w:r>
      <w:r>
        <w:t xml:space="preserve"> Lawyers achieved this capture through organized bar associations capable of coordinated lobbying, professional anxiety about losing prominence, and an adversarial culture that colonized every process it touched.</w:t>
      </w:r>
      <w:r>
        <w:rPr>
          <w:rStyle w:val="FootnoteReference"/>
        </w:rPr>
        <w:footnoteReference w:id="465"/>
      </w:r>
      <w:r>
        <w:t xml:space="preserve"> Earlier informal systems maintained their distinctive character precisely because they operated where formal legal institutions were unavailable and where authority derived from communal rather than professional </w:t>
      </w:r>
      <w:r>
        <w:lastRenderedPageBreak/>
        <w:t>sources.</w:t>
      </w:r>
      <w:bookmarkStart w:id="57" w:name="_Ref218970961"/>
      <w:r>
        <w:rPr>
          <w:rStyle w:val="FootnoteReference"/>
        </w:rPr>
        <w:footnoteReference w:id="466"/>
      </w:r>
      <w:bookmarkEnd w:id="57"/>
      <w:r>
        <w:t xml:space="preserve"> The American legal profession’s particular infrastructure, such as the American Bar Association itself, dismantled those conditions.</w:t>
      </w:r>
      <w:r>
        <w:rPr>
          <w:rStyle w:val="FootnoteReference"/>
        </w:rPr>
        <w:footnoteReference w:id="467"/>
      </w:r>
      <w:r>
        <w:t xml:space="preserve"> But infrastructure alone is an insufficient scapegoat for the changing culture of ADR. The prior section’s treatment of </w:t>
      </w:r>
      <w:r>
        <w:rPr>
          <w:lang w:val="en"/>
        </w:rPr>
        <w:t>fifteenth-century England</w:t>
      </w:r>
      <w:r>
        <w:t xml:space="preserve"> served as a counterexample to the assumption that </w:t>
      </w:r>
      <w:r>
        <w:rPr>
          <w:lang w:val="en"/>
        </w:rPr>
        <w:t>“[l]aw and arbitration have been regarded as mutually exclusive: the rise of the former is taken to imply the demise of the latter.</w:t>
      </w:r>
      <w:r>
        <w:t>”</w:t>
      </w:r>
      <w:r>
        <w:rPr>
          <w:rStyle w:val="FootnoteReference"/>
        </w:rPr>
        <w:footnoteReference w:id="468"/>
      </w:r>
      <w:r>
        <w:t xml:space="preserve"> In the shire and other English provinces, </w:t>
      </w:r>
      <w:r>
        <w:rPr>
          <w:lang w:val="en"/>
        </w:rPr>
        <w:t>arbitration was “an integral part of the informal machinery of dispute settlement which existed alongside the courts of law,” complementing litigation rather than competing with it because it “continued to perform functions to which the courts could not aspire: [settling] feuds, [making] peace and [restoring] harmonious social relations between disputing neighbors.”</w:t>
      </w:r>
      <w:r>
        <w:rPr>
          <w:rStyle w:val="FootnoteReference"/>
        </w:rPr>
        <w:footnoteReference w:id="469"/>
      </w:r>
      <w:r>
        <w:rPr>
          <w:lang w:val="en"/>
        </w:rPr>
        <w:t xml:space="preserve"> Something else changed disputes, and to no one’s surprise, it was money. </w:t>
      </w:r>
    </w:p>
    <w:p w14:paraId="08B3981B" w14:textId="77777777" w:rsidR="00A46F96" w:rsidRPr="00A9375B" w:rsidRDefault="00A46F96" w:rsidP="003D74D8">
      <w:pPr>
        <w:pStyle w:val="BodyTextFirstIndent"/>
        <w:spacing w:line="480" w:lineRule="auto"/>
        <w:jc w:val="both"/>
        <w:rPr>
          <w:lang w:val="en"/>
        </w:rPr>
      </w:pPr>
    </w:p>
    <w:p w14:paraId="6CDEEBAC" w14:textId="77777777" w:rsidR="007503B6" w:rsidRPr="00A9375B" w:rsidRDefault="007503B6" w:rsidP="003D74D8">
      <w:pPr>
        <w:pStyle w:val="BodyTextFirstIndent"/>
        <w:numPr>
          <w:ilvl w:val="1"/>
          <w:numId w:val="11"/>
        </w:numPr>
        <w:spacing w:line="480" w:lineRule="auto"/>
        <w:rPr>
          <w:i/>
          <w:iCs/>
          <w:lang w:val="en"/>
        </w:rPr>
      </w:pPr>
      <w:r>
        <w:rPr>
          <w:i/>
          <w:iCs/>
          <w:lang w:val="en"/>
        </w:rPr>
        <w:t>Third Historical Factor – Monetization of Disputes</w:t>
      </w:r>
    </w:p>
    <w:p w14:paraId="3F04083B" w14:textId="77777777" w:rsidR="00A46F96" w:rsidRPr="00A9375B" w:rsidRDefault="00A46F96" w:rsidP="003D74D8">
      <w:pPr>
        <w:pStyle w:val="BodyTextFirstIndent"/>
        <w:spacing w:line="480" w:lineRule="auto"/>
        <w:ind w:firstLine="0"/>
        <w:jc w:val="both"/>
        <w:rPr>
          <w:color w:val="000000" w:themeColor="text1"/>
        </w:rPr>
      </w:pPr>
    </w:p>
    <w:p w14:paraId="18BC996D" w14:textId="77777777" w:rsidR="00DC61DB" w:rsidRPr="00A9375B" w:rsidRDefault="00573FFD" w:rsidP="003D74D8">
      <w:pPr>
        <w:pStyle w:val="BodyTextFirstIndent"/>
        <w:spacing w:line="480" w:lineRule="auto"/>
        <w:jc w:val="both"/>
      </w:pPr>
      <w:r>
        <w:rPr>
          <w:color w:val="000000" w:themeColor="text1"/>
        </w:rPr>
        <w:t xml:space="preserve">Armed with </w:t>
      </w:r>
      <w:proofErr w:type="spellStart"/>
      <w:r>
        <w:rPr>
          <w:color w:val="000000" w:themeColor="text1"/>
        </w:rPr>
        <w:t>Sharswood’s</w:t>
      </w:r>
      <w:proofErr w:type="spellEnd"/>
      <w:r>
        <w:rPr>
          <w:color w:val="000000" w:themeColor="text1"/>
        </w:rPr>
        <w:t xml:space="preserve"> demand of “immovable fidelity” to every cause undertaken—and supported by its institutional capacity for capture—the profession needed only a financial engine to convert that adversarial posture into a self-sustaining industry. The monetization of disputes </w:t>
      </w:r>
      <w:r>
        <w:rPr>
          <w:color w:val="000000" w:themeColor="text1"/>
        </w:rPr>
        <w:lastRenderedPageBreak/>
        <w:t>supplied exactly that.</w:t>
      </w:r>
      <w:r>
        <w:rPr>
          <w:rStyle w:val="FootnoteReference"/>
        </w:rPr>
        <w:footnoteReference w:id="470"/>
      </w:r>
      <w:r>
        <w:t xml:space="preserve"> </w:t>
      </w:r>
      <w:r>
        <w:rPr>
          <w:color w:val="000000" w:themeColor="text1"/>
        </w:rPr>
        <w:t xml:space="preserve">As Kristen Blankley described it, </w:t>
      </w:r>
      <w:r>
        <w:t>“[o]</w:t>
      </w:r>
      <w:proofErr w:type="spellStart"/>
      <w:r>
        <w:t>nly</w:t>
      </w:r>
      <w:proofErr w:type="spellEnd"/>
      <w:r>
        <w:t xml:space="preserve"> when lawyers became more involved did arbitration begin to import some of litigation’s worst attributes.”</w:t>
      </w:r>
      <w:r>
        <w:rPr>
          <w:rStyle w:val="FootnoteReference"/>
        </w:rPr>
        <w:footnoteReference w:id="471"/>
      </w:r>
      <w:r>
        <w:t xml:space="preserve"> </w:t>
      </w:r>
      <w:r>
        <w:rPr>
          <w:color w:val="000000" w:themeColor="text1"/>
        </w:rPr>
        <w:t>Lawyers rationalized their involvement by rehearsing familiar arguments for judicial efficiency that had been heard since the turn of the twentieth century.</w:t>
      </w:r>
      <w:r>
        <w:rPr>
          <w:rStyle w:val="FootnoteReference"/>
          <w:color w:val="000000" w:themeColor="text1"/>
        </w:rPr>
        <w:footnoteReference w:id="472"/>
      </w:r>
      <w:r>
        <w:rPr>
          <w:color w:val="000000" w:themeColor="text1"/>
        </w:rPr>
        <w:t xml:space="preserve"> But in this new ADR frontier, the mechanisms that had historically disciplined weak claims to the formal system—sacred oaths, communal pressure, the risk of personal consequences—had been dismantled, and the informal forums to which such claims would have been redirected had been absorbed into the formal system, as I have described.</w:t>
      </w:r>
      <w:r>
        <w:rPr>
          <w:rStyle w:val="FootnoteReference"/>
          <w:color w:val="000000" w:themeColor="text1"/>
        </w:rPr>
        <w:footnoteReference w:id="473"/>
      </w:r>
      <w:r>
        <w:rPr>
          <w:color w:val="000000" w:themeColor="text1"/>
        </w:rPr>
        <w:t xml:space="preserve"> What did exist as an entry fee to the formal system was the largely toothless Rule 11, which, from its inception in 1938 to 1976, produced only twenty-three reported cases in which a party even attempted to have a pleading stricken as sham and false—nineteen of them genuine Rule 11 motions, seven of which ended in “more or less affirmative findings of no violation.”</w:t>
      </w:r>
      <w:r>
        <w:rPr>
          <w:rStyle w:val="FootnoteReference"/>
        </w:rPr>
        <w:footnoteReference w:id="474"/>
      </w:r>
      <w:r>
        <w:t xml:space="preserve"> Without any form of QCMs in this new system, lawyers narrowed grievances by imposing </w:t>
      </w:r>
      <w:r>
        <w:lastRenderedPageBreak/>
        <w:t>“established categories,” deciding “which [parts] to include” while “screening out” whatever did not conform to legal conventions.</w:t>
      </w:r>
      <w:bookmarkStart w:id="58" w:name="_Ref218973253"/>
      <w:r>
        <w:rPr>
          <w:rStyle w:val="FootnoteReference"/>
        </w:rPr>
        <w:footnoteReference w:id="475"/>
      </w:r>
      <w:bookmarkEnd w:id="58"/>
      <w:r>
        <w:t xml:space="preserve"> </w:t>
      </w:r>
      <w:r>
        <w:rPr>
          <w:color w:val="000000" w:themeColor="text1"/>
        </w:rPr>
        <w:t>Legal education at the time offered few ADR courses, so lawyers introduced to this model adopted the culture that it was yet another opportunity to win and bill.</w:t>
      </w:r>
      <w:bookmarkStart w:id="59" w:name="_Ref214127688"/>
      <w:r>
        <w:rPr>
          <w:rStyle w:val="FootnoteReference"/>
          <w:color w:val="000000" w:themeColor="text1"/>
        </w:rPr>
        <w:footnoteReference w:id="476"/>
      </w:r>
      <w:bookmarkEnd w:id="59"/>
      <w:r>
        <w:rPr>
          <w:color w:val="000000" w:themeColor="text1"/>
        </w:rPr>
        <w:t xml:space="preserve"> </w:t>
      </w:r>
      <w:r>
        <w:t>Once monetization became part of a dispute, the drive to secure professional compensation further transformed the nature of claims.</w:t>
      </w:r>
      <w:r>
        <w:rPr>
          <w:rStyle w:val="FootnoteReference"/>
        </w:rPr>
        <w:footnoteReference w:id="477"/>
      </w:r>
      <w:r>
        <w:rPr>
          <w:color w:val="000000" w:themeColor="text1"/>
        </w:rPr>
        <w:t xml:space="preserve"> Lawyers </w:t>
      </w:r>
      <w:r>
        <w:t>amplified grievances to generate fees and, at other times, cooled out clients with legitimate grievances.</w:t>
      </w:r>
      <w:r>
        <w:rPr>
          <w:rStyle w:val="FootnoteReference"/>
        </w:rPr>
        <w:footnoteReference w:id="478"/>
      </w:r>
      <w:r>
        <w:t xml:space="preserve"> Unlike the Navajo system discussed in the prior section (which in many conceptual respects was what was intended by the FAA)—where a decision involving “trickery, withholding information or coercion” is void—the lawyer-</w:t>
      </w:r>
      <w:r>
        <w:lastRenderedPageBreak/>
        <w:t>dominated vertical system commoditized disputes where “‘[t]ruth’ becomes a game where people attempt to manipulate the process, or undermine it where it does not suit their advantage.”</w:t>
      </w:r>
      <w:r>
        <w:rPr>
          <w:rStyle w:val="FootnoteReference"/>
        </w:rPr>
        <w:footnoteReference w:id="479"/>
      </w:r>
      <w:r>
        <w:t xml:space="preserve"> </w:t>
      </w:r>
    </w:p>
    <w:p w14:paraId="1656A3D9" w14:textId="77777777" w:rsidR="00B53BC2" w:rsidRPr="00A9375B" w:rsidRDefault="00A565FB" w:rsidP="003D74D8">
      <w:pPr>
        <w:pStyle w:val="BodyTextFirstIndent"/>
        <w:spacing w:line="480" w:lineRule="auto"/>
        <w:jc w:val="both"/>
        <w:rPr>
          <w:color w:val="000000"/>
        </w:rPr>
      </w:pPr>
      <w:proofErr w:type="spellStart"/>
      <w:proofErr w:type="spellEnd"/>
      <w:r>
        <w:rPr>
          <w:color w:val="000000"/>
        </w:rPr>
        <w:t>Until the mid-twentieth century, attorneys largely operated under fixed-fee, task-based billing arrangements, effectively acting as insurers who personally absorbed the unpredictable costs of litigation.</w:t>
      </w:r>
      <w:r>
        <w:rPr>
          <w:rStyle w:val="FootnoteReference"/>
          <w:color w:val="000000"/>
        </w:rPr>
        <w:footnoteReference w:id="480"/>
      </w:r>
      <w:r>
        <w:rPr>
          <w:color w:val="000000"/>
        </w:rPr>
        <w:t xml:space="preserve"> The 1938 Federal Rules of Civil Procedure permanently transformed this paradigm by introducing open pretrial discovery, a change that radically increased the time, expense, and unpredictability of litigation.</w:t>
      </w:r>
      <w:r>
        <w:rPr>
          <w:rStyle w:val="FootnoteReference"/>
          <w:color w:val="000000"/>
        </w:rPr>
        <w:footnoteReference w:id="481"/>
      </w:r>
      <w:ins w:id="100098" w:author="Claude" w:date="2026-09-26T12:00:00Z">
        <w:r>
          <w:rPr>
            <w:color w:val="000000"/>
          </w:rPr>
          <w:t xml:space="preserve"> As George Shepherd and Morgan Cloud put it, “discovery focused lawyers’ efforts on pretrial maneuvering rather than trials.”</w:t>
        </w:r>
        <w:r>
          <w:rPr>
            <w:rStyle w:val="FootnoteReference"/>
            <w:color w:val="000000"/>
          </w:rPr>
          <w:footnoteReference w:id="755"/>
        </w:r>
      </w:ins>
      <w:r>
        <w:rPr>
          <w:color w:val="000000"/>
        </w:rPr>
        <w:t xml:space="preserve"> Because lawyers’ fixed fees failed to keep pace with escalating, adversary-driven discovery demands, litigators experienced a severe decline in real incomes throughout the 1940s and 1950s, falling noticeably behind the surging earnings of other professionals, such as doctors.</w:t>
      </w:r>
      <w:r>
        <w:rPr>
          <w:rStyle w:val="FootnoteReference"/>
          <w:color w:val="000000"/>
        </w:rPr>
        <w:footnoteReference w:id="482"/>
      </w:r>
      <w:r>
        <w:rPr>
          <w:color w:val="000000"/>
        </w:rPr>
        <w:t xml:space="preserve"> Seeking to reverse this economic slide and mitigate the unbearable cost uncertainty created by modern discovery, management experts and the organized bar mounted a vigorous campaign throughout the late 1950s, 1960s, and 1970s to transition the profession to hourly billing.</w:t>
      </w:r>
      <w:r>
        <w:rPr>
          <w:rStyle w:val="FootnoteReference"/>
          <w:color w:val="000000"/>
        </w:rPr>
        <w:footnoteReference w:id="483"/>
      </w:r>
      <w:r>
        <w:rPr>
          <w:color w:val="000000"/>
        </w:rPr>
        <w:t xml:space="preserve"> The English got there first. In 1778, Baker records, the Inner Temple’s “age-old obligation to moot was commuted to a cash payment,” and what remained were “perfunctory ceremonies of no educational significance.”</w:t>
      </w:r>
      <w:r>
        <w:rPr>
          <w:rStyle w:val="FootnoteReference"/>
          <w:color w:val="000000"/>
        </w:rPr>
        <w:footnoteReference w:id="484"/>
      </w:r>
      <w:r>
        <w:rPr>
          <w:color w:val="000000"/>
        </w:rPr>
        <w:t xml:space="preserve"> While </w:t>
      </w:r>
      <w:del w:id="100099" w:author="Claude" w:date="2026-09-26T12:00:00Z">
        <w:r>
          <w:rPr>
            <w:color w:val="000000"/>
          </w:rPr>
          <w:delText>this</w:delText>
        </w:r>
      </w:del>
      <w:ins w:id="100100" w:author="Claude" w:date="2026-09-26T12:00:00Z">
        <w:r>
          <w:rPr>
            <w:color w:val="000000"/>
          </w:rPr>
          <w:t>the</w:t>
        </w:r>
      </w:ins>
      <w:r>
        <w:rPr>
          <w:color w:val="000000"/>
        </w:rPr>
        <w:t xml:space="preserve"> shift</w:t>
      </w:r>
      <w:ins w:id="100101" w:author="Claude" w:date="2026-09-26T12:00:00Z">
        <w:r>
          <w:rPr>
            <w:color w:val="000000"/>
          </w:rPr>
          <w:t xml:space="preserve"> to hourly billing</w:t>
        </w:r>
      </w:ins>
      <w:r>
        <w:rPr>
          <w:color w:val="000000"/>
        </w:rPr>
        <w:t xml:space="preserve"> shielded lawyers from the financial risks of drawn-out litigation by transferring the burden entirely to the client, it reversed the direction of the profession’s moral hazard—replacing the fixed fee’s incentive to shirk with the hourly fee’s incentive to pad—a hazard under which</w:t>
      </w:r>
      <w:r>
        <w:rPr>
          <w:rStyle w:val="FootnoteReference"/>
          <w:color w:val="000000"/>
        </w:rPr>
        <w:footnoteReference w:id="485"/>
      </w:r>
      <w:r>
        <w:rPr>
          <w:color w:val="000000"/>
        </w:rPr>
        <w:t xml:space="preserve"> “ADR [became] just another stop in the ‘litigotiation’ game which provides an opportunity for the manipulation of rules, time, information, and ultimately, money.”</w:t>
      </w:r>
      <w:r>
        <w:rPr>
          <w:rStyle w:val="FootnoteReference"/>
          <w:color w:val="000000"/>
        </w:rPr>
        <w:footnoteReference w:id="486"/>
      </w:r>
      <w:r>
        <w:rPr>
          <w:color w:val="000000"/>
        </w:rPr>
        <w:t xml:space="preserve"> </w:t>
      </w:r>
    </w:p>
    <w:p w14:paraId="14D8669E" w14:textId="77777777" w:rsidR="00BD707B" w:rsidRPr="00A9375B" w:rsidRDefault="00A565FB" w:rsidP="003D74D8">
      <w:pPr>
        <w:pStyle w:val="BodyTextFirstIndent"/>
        <w:spacing w:line="480" w:lineRule="auto"/>
        <w:jc w:val="both"/>
      </w:pPr>
      <w:r>
        <w:rPr>
          <w:color w:val="000000"/>
        </w:rPr>
        <w:t>By guaranteeing profit for every additional hour worked regardless of the benefit to the client, hourly billing diminished the incentive for expeditious work and increased pretrial antics among numerous external forums.</w:t>
      </w:r>
      <w:r>
        <w:rPr>
          <w:rStyle w:val="FootnoteReference"/>
          <w:color w:val="000000"/>
        </w:rPr>
        <w:footnoteReference w:id="487"/>
      </w:r>
      <w:r>
        <w:rPr>
          <w:color w:val="000000"/>
        </w:rPr>
        <w:t xml:space="preserve"> At present, nothing suggests that Deliberative Bodies would move away from this model,</w:t>
      </w:r>
      <w:r>
        <w:rPr>
          <w:rStyle w:val="FootnoteReference"/>
          <w:color w:val="000000"/>
        </w:rPr>
        <w:footnoteReference w:id="488"/>
      </w:r>
      <w:r>
        <w:rPr>
          <w:color w:val="000000"/>
        </w:rPr>
        <w:t xml:space="preserve"> even </w:t>
      </w:r>
      <w:r>
        <w:t xml:space="preserve">when billing culture prolongs disputes, as one attorney describes: </w:t>
      </w:r>
    </w:p>
    <w:p w14:paraId="4CE58A5F" w14:textId="77777777" w:rsidR="00A565FB" w:rsidRPr="00A9375B" w:rsidRDefault="00A565FB" w:rsidP="003D74D8">
      <w:pPr>
        <w:pStyle w:val="BodyTextFirstIndent"/>
        <w:spacing w:line="480" w:lineRule="auto"/>
        <w:ind w:left="720" w:right="720" w:firstLine="0"/>
        <w:jc w:val="both"/>
        <w:rPr>
          <w:color w:val="000000"/>
        </w:rPr>
      </w:pPr>
      <w:r>
        <w:t>“When I was a new partner involved in several arbitrations in which I could easily see a settlement option early on I suggested to the other partners that this case could easily settle. The partners didn’t say anything, but the unspoken message was that such a suggestion was not acceptable because their billable hour requirements were contingent on the prolongation of the arbitration.”</w:t>
      </w:r>
      <w:r>
        <w:rPr>
          <w:rStyle w:val="FootnoteReference"/>
        </w:rPr>
        <w:footnoteReference w:id="489"/>
      </w:r>
    </w:p>
    <w:p>
      <w:pPr>
        <w:pStyle w:val="BodyTextFirstIndent"/>
        <w:spacing w:line="480" w:lineRule="auto"/>
        <w:jc w:val="both"/>
        <w:rPr>
          <w:ins w:id="200298" w:author="Claude" w:date="2026-09-27T12:00:00Z"/>
        </w:rPr>
      </w:pPr>
      <w:ins w:id="200297" w:author="Claude" w:date="2026-09-27T12:00:00Z">
        <w:r>
          <w:t>Under the fixed fee, every extra hour spent on a weak case went uncompensated and came out of the lawyer’s own profit, so the fee itself demanded rigorous pre-filing scrutiny.</w:t>
        </w:r>
        <w:r>
          <w:rPr>
            <w:rStyle w:val="FootnoteReference"/>
          </w:rPr>
          <w:footnoteReference w:id="765"/>
        </w:r>
        <w:r>
          <w:t xml:space="preserve"> The hourly model thus removes the financial penalty for indulging in cognitive biases,</w:t>
        </w:r>
        <w:r>
          <w:rPr>
            <w:rStyle w:val="FootnoteReference"/>
          </w:rPr>
          <w:footnoteReference w:id="766"/>
        </w:r>
        <w:r>
          <w:t xml:space="preserve"> as explained by one scholar:</w:t>
        </w:r>
      </w:ins>
    </w:p>
    <w:p>
      <w:pPr>
        <w:pStyle w:val="BodyTextFirstIndent"/>
        <w:spacing w:line="480" w:lineRule="auto"/>
        <w:ind w:left="720" w:right="720" w:firstLine="0"/>
        <w:jc w:val="both"/>
        <w:rPr>
          <w:ins w:id="200313" w:author="Claude" w:date="2026-09-27T12:00:00Z"/>
        </w:rPr>
      </w:pPr>
      <w:ins w:id="200312" w:author="Claude" w:date="2026-09-27T12:00:00Z">
        <w:r>
          <w:t xml:space="preserve"> “Lawyers need to feel and display overconfidence in order to attract clients, and, later, to keep those clients convinced that their interests are well served. These attitudinal demands for high levels of confidence might skew lawyers’ reasoning toward overconfidence even when they attempt to realistically assess the likelihood of success. Confidence may also increase over time to justify commitment to a goal . . . . [L]awyers may engage in wishful thinking: They might believe a certain outcome is probable simply because of a desire to reach it.”</w:t>
        </w:r>
        <w:r>
          <w:rPr>
            <w:rStyle w:val="FootnoteReference"/>
            <w:color w:val="000000" w:themeColor="text1"/>
          </w:rPr>
          <w:footnoteReference w:id="767"/>
        </w:r>
      </w:ins>
    </w:p>
    <w:p w14:paraId="456AE420" w14:textId="77777777" w:rsidR="00B06079" w:rsidRPr="00A9375B" w:rsidRDefault="00667707" w:rsidP="003D74D8">
      <w:pPr>
        <w:pStyle w:val="BodyTextFirstIndent"/>
        <w:spacing w:line="480" w:lineRule="auto"/>
        <w:jc w:val="both"/>
        <w:rPr>
          <w:ins w:id="200383" w:author="Claude" w:date="2026-09-27T12:00:00Z"/>
        </w:rPr>
      </w:pPr>
      <w:ins w:id="200369" w:author="Claude" w:date="2026-09-27T12:00:00Z">
        <w:r>
          <w:t>Professor Ian Weinstein concurs, further claiming that, as a result of overconfidence, “[t]</w:t>
        </w:r>
      </w:ins>
      <w:ins w:id="200370" w:author="Claude" w:date="2026-09-27T12:00:00Z">
        <w:r>
          <w:t>oo</w:t>
        </w:r>
      </w:ins>
      <w:ins w:id="200371" w:author="Claude" w:date="2026-09-27T12:00:00Z">
        <w:r>
          <w:t xml:space="preserve"> many lawyers . . . have been sorely tempted to accept an early decision to go to trial. . . . It can be very satisfying to stride into the courtroom and demand an early trial date.”</w:t>
        </w:r>
      </w:ins>
      <w:ins w:id="200372" w:author="Claude" w:date="2026-09-27T12:00:00Z">
        <w:r>
          <w:rPr>
            <w:rStyle w:val="FootnoteReference"/>
            <w:color w:val="000000" w:themeColor="text1"/>
          </w:rPr>
          <w:footnoteReference w:id="768"/>
        </w:r>
      </w:ins>
      <w:ins w:id="200373" w:author="Claude" w:date="2026-09-27T12:00:00Z">
        <w:r>
          <w:t xml:space="preserve"> This overconfidence leads practitioners to weigh evidence supporting their prior beliefs more heavily than evidence contradicting them—confirmation bias.</w:t>
        </w:r>
      </w:ins>
      <w:ins w:id="200374" w:author="Claude" w:date="2026-09-27T12:00:00Z">
        <w:r>
          <w:rPr>
            <w:rStyle w:val="FootnoteReference"/>
            <w:color w:val="000000" w:themeColor="text1"/>
          </w:rPr>
          <w:footnoteReference w:id="769"/>
        </w:r>
      </w:ins>
      <w:ins w:id="200375" w:author="Claude" w:date="2026-09-27T12:00:00Z">
        <w:r>
          <w:t xml:space="preserve"> If lawyers focus exclusively on selecting the optimal </w:t>
        </w:r>
      </w:ins>
      <w:ins w:id="200376" w:author="Claude" w:date="2026-09-27T12:00:00Z">
        <w:r>
          <w:t>external forum rather than scrutinizing their claims, “the motivation to achieve a certain case outcome may lead lawyers to discount the assessment of the external party if it does not fit with their preferred belief.”</w:t>
        </w:r>
      </w:ins>
      <w:ins w:id="200377" w:author="Claude" w:date="2026-09-27T12:00:00Z">
        <w:r>
          <w:rPr>
            <w:rStyle w:val="FootnoteReference"/>
            <w:color w:val="000000" w:themeColor="text1"/>
          </w:rPr>
          <w:footnoteReference w:id="770"/>
        </w:r>
      </w:ins>
      <w:ins w:id="200378" w:author="Claude" w:date="2026-09-27T12:00:00Z">
        <w:r>
          <w:t xml:space="preserve"> Even if an attorney is not rushing into the courtroom, the trouble remains: “to be really good at doing law, one has to have serious blind spots and a stunningly selective sense of curiosity.”</w:t>
        </w:r>
      </w:ins>
      <w:ins w:id="200379" w:author="Claude" w:date="2026-09-27T12:00:00Z">
        <w:r>
          <w:rPr>
            <w:rStyle w:val="FootnoteReference"/>
            <w:color w:val="000000" w:themeColor="text1"/>
          </w:rPr>
          <w:footnoteReference w:id="771"/>
        </w:r>
      </w:ins>
      <w:ins w:id="200380" w:author="Claude" w:date="2026-09-27T12:00:00Z">
        <w:r>
          <w:t xml:space="preserve"> And some of the most high-profile senior partners excel at “dismissing or reframing adverse precedent that fails to suit the position they want to take.”</w:t>
        </w:r>
      </w:ins>
      <w:ins w:id="200381" w:author="Claude" w:date="2026-09-27T12:00:00Z">
        <w:r>
          <w:rPr>
            <w:rStyle w:val="FootnoteReference"/>
            <w:color w:val="000000" w:themeColor="text1"/>
          </w:rPr>
          <w:footnoteReference w:id="772"/>
        </w:r>
      </w:ins>
      <w:ins w:id="200382" w:author="Claude" w:date="2026-09-27T12:00:00Z">
        <w:r>
          <w:t xml:space="preserve"> </w:t>
        </w:r>
      </w:ins>
    </w:p>
    <w:p w14:paraId="1CFA4996" w14:textId="77777777" w:rsidR="0032068A" w:rsidRPr="00A9375B" w:rsidRDefault="007F70E9" w:rsidP="003D74D8">
      <w:pPr>
        <w:pStyle w:val="BodyTextFirstIndent"/>
        <w:spacing w:line="480" w:lineRule="auto"/>
        <w:jc w:val="both"/>
      </w:pPr>
      <w:r>
        <w:lastRenderedPageBreak/>
        <w:t>Just as the shift to hourly billing insulated attorneys from the financial consequences of pursuing weak claims, the American Rule on attorneys’ fees—which requires each side to pay its own costs—further dismantled pre-filing scrutiny by insulating losing clients from the financial penalty of reimbursing their opponents.</w:t>
      </w:r>
      <w:r>
        <w:rPr>
          <w:rStyle w:val="FootnoteReference"/>
        </w:rPr>
        <w:footnoteReference w:id="490"/>
      </w:r>
      <w:r>
        <w:t xml:space="preserve"> Because of the American rule, “[s]</w:t>
      </w:r>
      <w:proofErr w:type="spellStart"/>
      <w:r>
        <w:t>ome</w:t>
      </w:r>
      <w:proofErr w:type="spellEnd"/>
      <w:r>
        <w:t xml:space="preserve"> studies suggest that a significant number of plaintiffs’ lawyers do a relatively poor gatekeeping job” as “it is less risky for plaintiffs to file and pursue long-shot cases.”</w:t>
      </w:r>
      <w:r>
        <w:rPr>
          <w:rStyle w:val="FootnoteReference"/>
        </w:rPr>
        <w:footnoteReference w:id="491"/>
      </w:r>
      <w:r>
        <w:t xml:space="preserve"> Where litigation outcomes are “generally rather predictable,” indemnity under two-way shifting “makes some sense on the ground that the loser probably should have known better and should not have imposed on others the costs of an unnecessary proceeding.”</w:t>
      </w:r>
      <w:r>
        <w:rPr>
          <w:rStyle w:val="FootnoteReference"/>
        </w:rPr>
        <w:footnoteReference w:id="492"/>
      </w:r>
      <w:r>
        <w:t xml:space="preserve"> Under the lodestar fee formula, as John Coffee observed, “[p]</w:t>
      </w:r>
      <w:proofErr w:type="spellStart"/>
      <w:r>
        <w:t>laintiff’s</w:t>
      </w:r>
      <w:proofErr w:type="spellEnd"/>
      <w:r>
        <w:t xml:space="preserve"> attorneys have less reason to screen their cases and may bring weak cases whose settlement value, when based simply on the litigation odds, would not normally cover the attorneys’ opportunity costs.”</w:t>
      </w:r>
      <w:r>
        <w:rPr>
          <w:rStyle w:val="FootnoteReference"/>
        </w:rPr>
        <w:footnoteReference w:id="493"/>
      </w:r>
      <w:r>
        <w:t xml:space="preserve"> Such a fee system also promotes the pursuit of weak claims regardless of whether a disputant later discovers this, because once litigation costs accrue, dissonance reduction makes it psychologically easier to stay the course and see it through in court rather than withdraw.</w:t>
      </w:r>
      <w:r>
        <w:rPr>
          <w:rStyle w:val="FootnoteReference"/>
        </w:rPr>
        <w:footnoteReference w:id="494"/>
      </w:r>
    </w:p>
    <w:p w14:paraId="48E5C89F" w14:textId="77777777" w:rsidR="009C0EC5" w:rsidRPr="00A9375B" w:rsidRDefault="00000000" w:rsidP="003D74D8">
      <w:pPr>
        <w:pStyle w:val="BodyTextFirstIndent"/>
        <w:spacing w:line="480" w:lineRule="auto"/>
        <w:jc w:val="both"/>
      </w:pPr>
      <w:r>
        <w:lastRenderedPageBreak/>
        <w:t>Contrast the American rule on fees and hourly billing with those of other countries, and the deficiencies are instructive. As it relates to billing, because the way lawyers get paid is directly linked to the lawyer’s role, “American lawyers—unlike British barristers and European lawyers—are trained to believe that their primary responsibility is not to uncover the truth and produce the correct legal disposition but to get the best possible result for their clients.”</w:t>
      </w:r>
      <w:r>
        <w:rPr>
          <w:rStyle w:val="FootnoteReference"/>
        </w:rPr>
        <w:footnoteReference w:id="495"/>
      </w:r>
      <w:r>
        <w:t xml:space="preserve"> This enables the billing exploits of filing weak cases without testing them, as the “liberal American pleading rules, in which a lawyer need only state a claim and search for evidence later via pretrial discovery, encourage[s] the tactic of making and retaining weak legal claims.”</w:t>
      </w:r>
      <w:r>
        <w:rPr>
          <w:rStyle w:val="FootnoteReference"/>
        </w:rPr>
        <w:footnoteReference w:id="496"/>
      </w:r>
      <w:r>
        <w:t xml:space="preserve"> And as it relates to the American fee rule, scholars note that compared with the English “loser pays norm,” under which “a disincentive against frivolous claims is self-reinforcing,” the American Rule thus eliminates the very financial consequence that might otherwise discipline the decision to Externalize.</w:t>
      </w:r>
      <w:r>
        <w:rPr>
          <w:rStyle w:val="FootnoteReference"/>
        </w:rPr>
        <w:footnoteReference w:id="497"/>
      </w:r>
      <w:r>
        <w:t xml:space="preserve"> In comparing the American rule to both ancient Athens and modern England, scholars note that “[b]y dispersing the costs of litigation, the American system . . . fails to deter frivolous suits.”</w:t>
      </w:r>
      <w:r>
        <w:rPr>
          <w:rStyle w:val="FootnoteReference"/>
        </w:rPr>
        <w:footnoteReference w:id="498"/>
      </w:r>
      <w:r>
        <w:t xml:space="preserve"> The opposite was true in Ancient Athens, where an accuser who brought a public case and “did not gain one-fifth of the votes . . . had to pay a fine of 1,000 drachmas and lost the right to bring public cases in the future.”</w:t>
      </w:r>
      <w:r>
        <w:rPr>
          <w:rStyle w:val="FootnoteReference"/>
        </w:rPr>
        <w:footnoteReference w:id="499"/>
      </w:r>
      <w:r>
        <w:t xml:space="preserve"> Thus, other countries’ fee rules, whereby “the party who lost a lawsuit became responsible for paying all the direct expenses that the winner incurred,”</w:t>
      </w:r>
      <w:r>
        <w:rPr>
          <w:rStyle w:val="FootnoteReference"/>
          <w:color w:val="000000" w:themeColor="text1"/>
        </w:rPr>
        <w:footnoteReference w:id="500"/>
      </w:r>
      <w:r>
        <w:rPr>
          <w:color w:val="000000" w:themeColor="text1"/>
        </w:rPr>
        <w:t xml:space="preserve"> served (and </w:t>
      </w:r>
      <w:r>
        <w:rPr>
          <w:color w:val="000000" w:themeColor="text1"/>
        </w:rPr>
        <w:lastRenderedPageBreak/>
        <w:t>serve today) as a mechanism</w:t>
      </w:r>
      <w:r>
        <w:t xml:space="preserve"> (absent from the American rule) where “anyone who brought a foolish lawsuit or defended a hopeless case potentially put [them]self in financial jeopardy.”</w:t>
      </w:r>
      <w:r>
        <w:rPr>
          <w:rStyle w:val="FootnoteReference"/>
          <w:color w:val="000000" w:themeColor="text1"/>
        </w:rPr>
        <w:footnoteReference w:id="501"/>
      </w:r>
      <w:r>
        <w:t xml:space="preserve"> </w:t>
      </w:r>
    </w:p>
    <w:p w14:paraId="324E6064" w14:textId="64990D62" w:rsidR="00573FFD" w:rsidRPr="00A9375B" w:rsidRDefault="00000000" w:rsidP="003D74D8">
      <w:pPr>
        <w:pStyle w:val="BodyTextFirstIndent"/>
        <w:spacing w:line="480" w:lineRule="auto"/>
        <w:jc w:val="both"/>
      </w:pPr>
      <w:r>
        <w:t xml:space="preserve">Here is the critical difference between American history and the prior section’s survey of </w:t>
      </w:r>
      <w:r>
        <w:rPr>
          <w:iCs/>
        </w:rPr>
        <w:t xml:space="preserve">Ancient Near Eastern, Classical Greek, Ancient Roman, Traditional Chinese, or Medieval English societies. For the latter, dynamics such as fear of the divine, the threat of harm to one’s character, and the risk of deteriorating community relations </w:t>
      </w:r>
      <w:r>
        <w:rPr>
          <w:i/>
          <w:iCs/>
        </w:rPr>
        <w:t>compelled</w:t>
      </w:r>
      <w:r>
        <w:rPr>
          <w:iCs/>
        </w:rPr>
        <w:t xml:space="preserve"> litigants to test the strength of their claims before using the formal system. In the United States, for the first time in human history, the dispute system actually encouraged unscrutinized filing while offering no separate informal forum to absorb the claims that scrutiny would have filtered out—because of the lawyer’s zealous advocacy role, the profession’s institutional capacity for disputes, and both the hourly billing culture and the American rule on fees.</w:t>
      </w:r>
      <w:r>
        <w:rPr>
          <w:rStyle w:val="FootnoteReference"/>
        </w:rPr>
        <w:footnoteReference w:id="502"/>
      </w:r>
      <w:r>
        <w:t xml:space="preserve"> The sole ‘compulsion’ against filing weak or untested claims was Rule 11, yet even after the 1983 amendments strengthened the rule, the 1993 revisions introduced a safe harbor provision that Justice Scalia correctly predicted would render it ineffective.</w:t>
      </w:r>
      <w:r>
        <w:rPr>
          <w:rStyle w:val="FootnoteReference"/>
        </w:rPr>
        <w:footnoteReference w:id="503"/>
      </w:r>
      <w:r>
        <w:rPr>
          <w:color w:val="000000" w:themeColor="text1"/>
        </w:rPr>
        <w:t xml:space="preserve"> </w:t>
      </w:r>
      <w:r>
        <w:t>Part of this has been due to a reluctance to impose sanctions and the subjectivity required to interpret the rule, yet it is hard to imagine an American system where Rule 11 would ever lead to pre-filing scrutiny.</w:t>
      </w:r>
      <w:r>
        <w:rPr>
          <w:rStyle w:val="FootnoteReference"/>
        </w:rPr>
        <w:footnoteReference w:id="504"/>
      </w:r>
      <w:r>
        <w:t xml:space="preserve"> Because Rule 11 is a post-filing cost and not, as in the other </w:t>
      </w:r>
      <w:r>
        <w:lastRenderedPageBreak/>
        <w:t>societies examined in this Note, a pre-filing one, disputants Externalize grievances without ever confronting how their own cases fare under pre-filing scrutiny.</w:t>
      </w:r>
      <w:r>
        <w:rPr>
          <w:rStyle w:val="FootnoteReference"/>
        </w:rPr>
        <w:footnoteReference w:id="505"/>
      </w:r>
      <w:r>
        <w:t xml:space="preserve"> That is not, I think, a small difference. Accountability, Philip Tetlock found, is “much more effective in preventing than in reversing the biased assimilation process”;</w:t>
      </w:r>
      <w:r>
        <w:rPr>
          <w:rStyle w:val="FootnoteReference"/>
        </w:rPr>
        <w:footnoteReference w:id="506"/>
      </w:r>
      <w:r>
        <w:t xml:space="preserve"> a judgment already formed is defended, not examined. Where the old price is still exacted, the old test survives; and it survives, quite naturally, where the advocate must face the same tribunal again and again. Rex Lee, as Solicitor General, declined “five out of every six” agency requests to seek the Court’s review,</w:t>
      </w:r>
      <w:r>
        <w:rPr>
          <w:rStyle w:val="FootnoteReference"/>
        </w:rPr>
        <w:footnoteReference w:id="507"/>
      </w:r>
      <w:r>
        <w:t xml:space="preserve"> and the Supreme Court bar, Lazarus suggests, “may be serving a useful screening function,” its members advising “clients against filing petitions, although that eliminates a business opportunity.”</w:t>
      </w:r>
      <w:r>
        <w:rPr>
          <w:rStyle w:val="FootnoteReference"/>
        </w:rPr>
        <w:footnoteReference w:id="508"/>
      </w:r>
      <w:r>
        <w:t xml:space="preserve"> One Washington lawyer, a veteran of the Solicitor General’s office, put the point to Kevin McGuire less delicately: “Fifty percent of the cert petitions filed have no chance of being granted. Anybody who read them before they were filed could have told the petitioner that.”</w:t>
      </w:r>
      <w:r>
        <w:rPr>
          <w:rStyle w:val="FootnoteReference"/>
        </w:rPr>
        <w:footnoteReference w:id="509"/>
      </w:r>
      <w:r>
        <w:t xml:space="preserve"> McGuire draws the </w:t>
      </w:r>
      <w:r>
        <w:lastRenderedPageBreak/>
        <w:t>conclusion that “in a sense, their cases are also ‘prescreened,’” and the reason is the repeat player’s reason: “The professional fortunes of these lawyers are not tied to any one case.”</w:t>
      </w:r>
      <w:r>
        <w:rPr>
          <w:rStyle w:val="FootnoteReference"/>
        </w:rPr>
        <w:footnoteReference w:id="510"/>
      </w:r>
      <w:r>
        <w:t xml:space="preserve"> </w:t>
      </w:r>
    </w:p>
    <w:p w14:paraId="03D4B400" w14:textId="77777777" w:rsidR="00556D4F" w:rsidRPr="00A9375B" w:rsidRDefault="001A6B9B" w:rsidP="003D74D8">
      <w:pPr>
        <w:pStyle w:val="BodyTextFirstIndent"/>
        <w:spacing w:line="480" w:lineRule="auto"/>
        <w:jc w:val="both"/>
      </w:pPr>
      <w:r>
        <w:t>Combined, these three historical circumstances—the profession’s choice of zealous advocacy, the unique American institutional capacity for disputes, and the culture of billable hours—have produced a present in which:</w:t>
      </w:r>
    </w:p>
    <w:p w14:paraId="120A050C" w14:textId="77777777" w:rsidR="00D13E93" w:rsidRPr="00A9375B" w:rsidRDefault="00556D4F" w:rsidP="003D74D8">
      <w:pPr>
        <w:pStyle w:val="BodyTextFirstIndent"/>
        <w:spacing w:line="480" w:lineRule="auto"/>
        <w:ind w:left="720" w:right="720" w:firstLine="0"/>
        <w:jc w:val="both"/>
      </w:pPr>
      <w:r>
        <w:t>“</w:t>
      </w:r>
      <w:proofErr w:type="gramStart"/>
      <w:r>
        <w:t>the</w:t>
      </w:r>
      <w:proofErr w:type="gramEnd"/>
      <w:r>
        <w:t xml:space="preserve"> combat mode of advocacy is far more expensive than effective . . . although earnest, forceful, and devoted representation is both zealous and proper, Rambo and kamikaze lawyers lead themselves and their clients to zealous extinction.”</w:t>
      </w:r>
      <w:r>
        <w:rPr>
          <w:rStyle w:val="FootnoteReference"/>
        </w:rPr>
        <w:footnoteReference w:id="511"/>
      </w:r>
    </w:p>
    <w:p w14:paraId="257054CF" w14:textId="77777777" w:rsidR="00C163F1" w:rsidRPr="00A9375B" w:rsidRDefault="00C163F1" w:rsidP="003D74D8">
      <w:pPr>
        <w:pStyle w:val="BodyTextFirstIndent"/>
        <w:spacing w:line="480" w:lineRule="auto"/>
        <w:jc w:val="both"/>
      </w:pPr>
    </w:p>
    <w:p w14:paraId="61724C8F" w14:textId="77777777" w:rsidR="00C163F1" w:rsidRPr="00A9375B" w:rsidRDefault="00C163F1" w:rsidP="003D74D8">
      <w:pPr>
        <w:pStyle w:val="BodyTextFirstIndent"/>
        <w:numPr>
          <w:ilvl w:val="1"/>
          <w:numId w:val="11"/>
        </w:numPr>
        <w:spacing w:line="480" w:lineRule="auto"/>
        <w:rPr>
          <w:i/>
          <w:iCs/>
        </w:rPr>
      </w:pPr>
      <w:r>
        <w:rPr>
          <w:i/>
          <w:iCs/>
        </w:rPr>
        <w:t>The 1976 Pound Conference</w:t>
      </w:r>
    </w:p>
    <w:p w14:paraId="78EFEF19" w14:textId="77777777" w:rsidR="00C163F1" w:rsidRPr="00A9375B" w:rsidRDefault="00C163F1" w:rsidP="003D74D8">
      <w:pPr>
        <w:pStyle w:val="BodyTextFirstIndent"/>
        <w:spacing w:line="480" w:lineRule="auto"/>
        <w:jc w:val="both"/>
        <w:rPr>
          <w:iCs/>
        </w:rPr>
      </w:pPr>
    </w:p>
    <w:p w14:paraId="27B49A87" w14:textId="77777777" w:rsidR="00EF2121" w:rsidRPr="00A9375B" w:rsidRDefault="00573FFD" w:rsidP="003D74D8">
      <w:pPr>
        <w:pStyle w:val="BodyTextFirstIndent"/>
        <w:spacing w:line="480" w:lineRule="auto"/>
        <w:jc w:val="both"/>
        <w:rPr>
          <w:color w:val="000000" w:themeColor="text1"/>
        </w:rPr>
      </w:pPr>
      <w:r>
        <w:t>Parties deserve adequate representation, but lawyers’ entry into the ADR space was problematic for the three historical reasons discussed above: they transformed it to align with their existing paradigms, rather than adapting to the relational purposes intended by the FAA.</w:t>
      </w:r>
      <w:r>
        <w:rPr>
          <w:rStyle w:val="FootnoteReference"/>
        </w:rPr>
        <w:footnoteReference w:id="512"/>
      </w:r>
      <w:r>
        <w:t xml:space="preserve"> Once </w:t>
      </w:r>
      <w:r>
        <w:rPr>
          <w:color w:val="000000" w:themeColor="text1"/>
        </w:rPr>
        <w:t>ADR became fully integrated into the legal system and was routinely offered alongside litigation as an alternative,</w:t>
      </w:r>
      <w:r>
        <w:rPr>
          <w:rStyle w:val="FootnoteReference"/>
          <w:color w:val="000000" w:themeColor="text1"/>
        </w:rPr>
        <w:footnoteReference w:id="513"/>
      </w:r>
      <w:r>
        <w:rPr>
          <w:color w:val="000000" w:themeColor="text1"/>
        </w:rPr>
        <w:t xml:space="preserve"> it was “a monumental tragicomedy” as one who took precautions to avoid </w:t>
      </w:r>
      <w:r>
        <w:rPr>
          <w:color w:val="000000" w:themeColor="text1"/>
        </w:rPr>
        <w:lastRenderedPageBreak/>
        <w:t>litigation found himself “eventually in court fighting not on the merits of his case but on the merits of the arbitration.”</w:t>
      </w:r>
      <w:r>
        <w:rPr>
          <w:rStyle w:val="FootnoteReference"/>
          <w:color w:val="000000" w:themeColor="text1"/>
        </w:rPr>
        <w:footnoteReference w:id="514"/>
      </w:r>
      <w:r>
        <w:rPr>
          <w:color w:val="000000" w:themeColor="text1"/>
        </w:rPr>
        <w:t xml:space="preserve"> Instead of providing true informality, ADR forums alongside trial increased litigation as they were “inevitably ‘rationalized’ to meet the dictates of bureaucratic control and economic efficiency,” trapping disputants in the very systems they sought to escape.</w:t>
      </w:r>
      <w:bookmarkStart w:id="60" w:name="_Ref217243451"/>
      <w:r>
        <w:rPr>
          <w:rStyle w:val="FootnoteReference"/>
          <w:color w:val="000000" w:themeColor="text1"/>
        </w:rPr>
        <w:footnoteReference w:id="515"/>
      </w:r>
      <w:bookmarkEnd w:id="60"/>
    </w:p>
    <w:p w14:paraId="5698FE0A" w14:textId="77777777" w:rsidR="00573FFD" w:rsidRPr="00A9375B" w:rsidRDefault="00307B1D" w:rsidP="003D74D8">
      <w:pPr>
        <w:pStyle w:val="BodyTextFirstIndent"/>
        <w:spacing w:line="480" w:lineRule="auto"/>
        <w:jc w:val="both"/>
        <w:rPr>
          <w:color w:val="000000" w:themeColor="text1"/>
        </w:rPr>
      </w:pPr>
      <w:r>
        <w:t>To be fair, in addition to the professional capture I described, the state actively invited citizens to bring their problems to court, expanding the reach of formal legal processes.</w:t>
      </w:r>
      <w:r>
        <w:rPr>
          <w:rStyle w:val="FootnoteReference"/>
        </w:rPr>
        <w:footnoteReference w:id="516"/>
      </w:r>
      <w:r>
        <w:t xml:space="preserve"> </w:t>
      </w:r>
      <w:r>
        <w:rPr>
          <w:color w:val="000000" w:themeColor="text1"/>
        </w:rPr>
        <w:t>In the decades following the FAA, rights expansions and new causes of action brought more controversies into a form cognizable by the courts.</w:t>
      </w:r>
      <w:bookmarkStart w:id="61" w:name="_Ref217242414"/>
      <w:r>
        <w:rPr>
          <w:rStyle w:val="FootnoteReference"/>
          <w:color w:val="000000" w:themeColor="text1"/>
        </w:rPr>
        <w:footnoteReference w:id="517"/>
      </w:r>
      <w:bookmarkEnd w:id="61"/>
      <w:r>
        <w:rPr>
          <w:color w:val="000000" w:themeColor="text1"/>
        </w:rPr>
        <w:t xml:space="preserve"> By the 1970s, dockets were overcrowded, spurred by the social and political developments of the time.</w:t>
      </w:r>
      <w:r>
        <w:rPr>
          <w:rStyle w:val="FootnoteReference"/>
          <w:color w:val="000000" w:themeColor="text1"/>
        </w:rPr>
        <w:footnoteReference w:id="518"/>
      </w:r>
      <w:r>
        <w:rPr>
          <w:color w:val="000000" w:themeColor="text1"/>
        </w:rPr>
        <w:t xml:space="preserve"> Once people observed activist-driven courts ready to intervene and redress harm, previously excluded parties turned to courts as the sole surviving </w:t>
      </w:r>
      <w:r>
        <w:rPr>
          <w:color w:val="000000" w:themeColor="text1"/>
        </w:rPr>
        <w:lastRenderedPageBreak/>
        <w:t>repository of vindication.</w:t>
      </w:r>
      <w:bookmarkStart w:id="62" w:name="_Ref217242520"/>
      <w:r>
        <w:rPr>
          <w:rStyle w:val="FootnoteReference"/>
          <w:color w:val="000000" w:themeColor="text1"/>
        </w:rPr>
        <w:footnoteReference w:id="519"/>
      </w:r>
      <w:bookmarkEnd w:id="62"/>
      <w:r>
        <w:rPr>
          <w:color w:val="000000" w:themeColor="text1"/>
        </w:rPr>
        <w:t xml:space="preserve"> It was undoubtedly a good thing for new groups of people to be granted the right to have their day in court, but equally undoubtedly, courts were struggling to keep up with their dockets.</w:t>
      </w:r>
      <w:r>
        <w:rPr>
          <w:rStyle w:val="FootnoteReference"/>
          <w:color w:val="000000" w:themeColor="text1"/>
        </w:rPr>
        <w:footnoteReference w:id="520"/>
      </w:r>
      <w:r>
        <w:rPr>
          <w:color w:val="000000" w:themeColor="text1"/>
        </w:rPr>
        <w:t xml:space="preserve"> </w:t>
      </w:r>
    </w:p>
    <w:p w14:paraId="4656AD09" w14:textId="77777777" w:rsidR="00573FFD" w:rsidRPr="00A9375B" w:rsidRDefault="00813A8F" w:rsidP="003D74D8">
      <w:pPr>
        <w:pStyle w:val="BodyTextFirstIndent"/>
        <w:spacing w:line="480" w:lineRule="auto"/>
        <w:jc w:val="both"/>
        <w:rPr>
          <w:color w:val="000000" w:themeColor="text1"/>
        </w:rPr>
      </w:pPr>
      <w:r>
        <w:rPr>
          <w:color w:val="000000" w:themeColor="text1"/>
        </w:rPr>
        <w:t>Before the 1976 Pound Conference (which I argue below was the end of historical ADR for good), overflowing dockets were not the only judicial ailment on the agenda for correction. First, in the flattened configuration of ADR forums alongside trial, advocates had become “far too single-minded when it comes to dispute resolution,” having “tended to assume that the courts are the natural and obvious dispute resolvers.”</w:t>
      </w:r>
      <w:r>
        <w:rPr>
          <w:rStyle w:val="FootnoteReference"/>
          <w:color w:val="000000" w:themeColor="text1"/>
        </w:rPr>
        <w:footnoteReference w:id="521"/>
      </w:r>
      <w:r>
        <w:rPr>
          <w:color w:val="000000" w:themeColor="text1"/>
        </w:rPr>
        <w:t xml:space="preserve"> Second, courts, for better or worse, were in fact overwhelmed. What brought many cases to court was the</w:t>
      </w:r>
      <w:r>
        <w:t xml:space="preserve"> cultural shift toward a rights-based </w:t>
      </w:r>
      <w:r>
        <w:lastRenderedPageBreak/>
        <w:t>vindication ideology that emphasized individual entitlement over the traditional emphasis on social harmony and relationship preservation.</w:t>
      </w:r>
      <w:r>
        <w:rPr>
          <w:rStyle w:val="FootnoteReference"/>
        </w:rPr>
        <w:footnoteReference w:id="522"/>
      </w:r>
      <w:r>
        <w:t xml:space="preserve"> However, it is imprecise to characterize this path (overwhelmed dockets leading to drastic change) as an inevitable outcome of an expanding American society. Japan illustrates that viable informal forums can keep disputes out of court without impairing judicial influence, whereas American ADR, having been captured by adversarial processes, displaced rather than supplemented judicial influence.</w:t>
      </w:r>
      <w:r>
        <w:rPr>
          <w:rStyle w:val="FootnoteReference"/>
        </w:rPr>
        <w:footnoteReference w:id="523"/>
      </w:r>
      <w:r>
        <w:t xml:space="preserve"> Likewise, the European approach to consumer ADR stands in striking contrast to the FAA as interpreted, explicitly preserving court access as an inviolable right rather than diverting disputes from adjudication.</w:t>
      </w:r>
      <w:r>
        <w:rPr>
          <w:rStyle w:val="FootnoteReference"/>
        </w:rPr>
        <w:footnoteReference w:id="524"/>
      </w:r>
    </w:p>
    <w:p w14:paraId="0638FF3A" w14:textId="77777777" w:rsidR="00573FFD" w:rsidRPr="00A9375B" w:rsidRDefault="00573FFD" w:rsidP="003D74D8">
      <w:pPr>
        <w:pStyle w:val="BodyTextFirstIndent"/>
        <w:spacing w:line="480" w:lineRule="auto"/>
        <w:jc w:val="both"/>
      </w:pPr>
      <w:r>
        <w:t>Some scholars explain the expansion of American rights as a social phenomenon, arguing that the rising use of the courts was an expression of individualism</w:t>
      </w:r>
      <w:r>
        <w:rPr>
          <w:rStyle w:val="FootnoteReference"/>
          <w:color w:val="000000" w:themeColor="text1"/>
        </w:rPr>
        <w:footnoteReference w:id="525"/>
      </w:r>
      <w:r>
        <w:t xml:space="preserve"> and that ADR’s subsequent response to new voices in the courts was an elitist effort to divert grievances away from the courts and insulate formal venues from the disadvantaged.</w:t>
      </w:r>
      <w:bookmarkStart w:id="63" w:name="_Ref217242690"/>
      <w:r>
        <w:rPr>
          <w:rStyle w:val="FootnoteReference"/>
          <w:color w:val="000000" w:themeColor="text1"/>
        </w:rPr>
        <w:footnoteReference w:id="526"/>
      </w:r>
      <w:bookmarkEnd w:id="63"/>
      <w:r>
        <w:t xml:space="preserve"> These scholars argue that efforts to limit </w:t>
      </w:r>
      <w:r>
        <w:lastRenderedPageBreak/>
        <w:t>the growth of lawsuits through misguided ADR often fall into what Jethro Lieberman called the “Canine Fallacy”—condemning litigiousness “without at the same time condemning the flaws and faults of those whose activities stand in need of correction”—while funneling claims into alternative venues that treat the invocation of law as a personality quirk rather than a necessary exercise of state power to bridge the gap between social reality and public ideals.</w:t>
      </w:r>
      <w:r>
        <w:rPr>
          <w:rStyle w:val="FootnoteReference"/>
          <w:color w:val="000000" w:themeColor="text1"/>
        </w:rPr>
        <w:footnoteReference w:id="527"/>
      </w:r>
      <w:r>
        <w:t xml:space="preserve"> Regardless of the explanation, the expansion of rights, coupled with public frustration with the courts, culminated in the 1976 National Conference on the Causes of Popular Dissatisfaction with the Administration of Justice (Pound)—marking the point of no return for ADR’s “legalization of informal alternatives.”</w:t>
      </w:r>
      <w:bookmarkStart w:id="64" w:name="_Ref214127147"/>
      <w:r>
        <w:rPr>
          <w:rStyle w:val="FootnoteReference"/>
          <w:color w:val="000000" w:themeColor="text1"/>
        </w:rPr>
        <w:footnoteReference w:id="528"/>
      </w:r>
      <w:bookmarkEnd w:id="64"/>
    </w:p>
    <w:p w14:paraId="53A3F616" w14:textId="77777777" w:rsidR="008331A8" w:rsidRPr="00A9375B" w:rsidRDefault="00573FFD" w:rsidP="003D74D8">
      <w:pPr>
        <w:pStyle w:val="BodyTextFirstIndent"/>
        <w:spacing w:line="480" w:lineRule="auto"/>
        <w:jc w:val="both"/>
      </w:pPr>
      <w:bookmarkStart w:id="65" w:name="_Ref217242774"/>
      <w:bookmarkEnd w:id="65"/>
      <w:bookmarkStart w:id="66" w:name="_Ref218976427"/>
      <w:bookmarkEnd w:id="66"/>
      <w:r>
        <w:t>Pound speakers Chief Justice Warren Burger and Professor Frank Sander invoked the buzzwords “neighborhood tribunals” and “community” dispute resolution, but they took an “administrative-technocratic” approach: their explicit purpose was to reduce judicial “overload” and protect courts from cases “that do not require their unique capabilities.”</w:t>
      </w:r>
      <w:r>
        <w:rPr>
          <w:rStyle w:val="FootnoteReference"/>
          <w:color w:val="000000" w:themeColor="text1"/>
        </w:rPr>
        <w:footnoteReference w:id="529"/>
      </w:r>
      <w:r>
        <w:t xml:space="preserve"> Sander proposed</w:t>
      </w:r>
      <w:ins w:id="100096" w:author="Claude" w:date="2026-09-26T12:00:00Z">
        <w:r>
          <w:t xml:space="preserve"> a “multi-door courthouse,”</w:t>
        </w:r>
      </w:ins>
      <w:r>
        <w:t xml:space="preserve"> a Dispute Resolution Center whose lobby directory would list various rooms for screening, mediation, arbitration, fact-finding, malpractice panels, court proceedings, and ombudsperson services.</w:t>
      </w:r>
      <w:r>
        <w:rPr>
          <w:rStyle w:val="FootnoteReference"/>
          <w:color w:val="000000" w:themeColor="text1"/>
        </w:rPr>
        <w:footnoteReference w:id="530"/>
      </w:r>
      <w:ins w:id="100097" w:author="Claude" w:date="2026-09-26T12:00:00Z">
        <w:r>
          <w:rPr>
            <w:rStyle w:val="FootnoteReference"/>
            <w:color w:val="000000" w:themeColor="text1"/>
          </w:rPr>
          <w:footnoteReference w:id="754"/>
        </w:r>
      </w:ins>
      <w:r>
        <w:t xml:space="preserve"> This “civil diversion” system attempts to solve the ‘problems’ of disputes by presuming that disputes already exist as fully formed claims, requiring only efficient sorting among external forums to protect courts from excessive caseloads.</w:t>
      </w:r>
      <w:r>
        <w:rPr>
          <w:rStyle w:val="FootnoteReference"/>
          <w:color w:val="000000" w:themeColor="text1"/>
        </w:rPr>
        <w:footnoteReference w:id="531"/>
      </w:r>
      <w:r>
        <w:t xml:space="preserve"> The conference gave little attention to the other option—whether weak claims should be filed at all—and following the conference, a Task Force recommended piloting these revolving-door systems, which the Justice Department first sponsored in Atlanta, Kansas City, and Los Angeles.</w:t>
      </w:r>
      <w:r>
        <w:rPr>
          <w:rStyle w:val="FootnoteReference"/>
          <w:color w:val="000000" w:themeColor="text1"/>
        </w:rPr>
        <w:footnoteReference w:id="532"/>
      </w:r>
      <w:r>
        <w:t xml:space="preserve"> Yet, as Judge A. Leon Higginbotham and anthropologist Laura Nader warned at the conference, and Solicitor General Wade McCree warned soon after, placing the burden of filtering disputes onto the legal system, rather than on the disputant (which was the practice throughout human history), reflected a besotted faith in administrative efficiency.</w:t>
      </w:r>
      <w:r>
        <w:rPr>
          <w:rStyle w:val="FootnoteReference"/>
          <w:color w:val="000000" w:themeColor="text1"/>
        </w:rPr>
        <w:footnoteReference w:id="533"/>
      </w:r>
      <w:r>
        <w:t xml:space="preserve"> Consequently, the modern ADR movement, though it “was to be apart from the legal system,” found that “nearly immediately these alternative processes were taken in and subsumed so that it became a part of that very system,” and that “it was still transformed to fit within the legal paradigm.”</w:t>
      </w:r>
      <w:r>
        <w:rPr>
          <w:rStyle w:val="FootnoteReference"/>
          <w:color w:val="000000" w:themeColor="text1"/>
        </w:rPr>
        <w:footnoteReference w:id="534"/>
      </w:r>
      <w:r>
        <w:t xml:space="preserve"> </w:t>
      </w:r>
    </w:p>
    <w:p w14:paraId="542495AA" w14:textId="77777777" w:rsidR="00D879FE" w:rsidRDefault="00000000">
      <w:pPr>
        <w:pStyle w:val="BodyTextFirstIndent"/>
        <w:spacing w:line="480" w:lineRule="auto"/>
        <w:jc w:val="both"/>
      </w:pPr>
      <w:r>
        <w:t>After initial experiments with multi-door courthouses failed because courts lacked both infrastructure and methodology, the legal system subsumed ADR into a single system of “</w:t>
      </w:r>
      <w:proofErr w:type="spellStart"/>
      <w:r>
        <w:t>litigotiation</w:t>
      </w:r>
      <w:proofErr w:type="spellEnd"/>
      <w:r>
        <w:t>,” in which litigation and ADR are now “inseparably entwined” as standard, legalized steps in the process.</w:t>
      </w:r>
      <w:r>
        <w:rPr>
          <w:rStyle w:val="FootnoteReference"/>
        </w:rPr>
        <w:footnoteReference w:id="535"/>
      </w:r>
      <w:r>
        <w:t xml:space="preserve"> As Amos </w:t>
      </w:r>
      <w:proofErr w:type="spellStart"/>
      <w:r>
        <w:t>Gabrieli</w:t>
      </w:r>
      <w:proofErr w:type="spellEnd"/>
      <w:r>
        <w:t xml:space="preserve"> and Michal </w:t>
      </w:r>
      <w:proofErr w:type="spellStart"/>
      <w:r>
        <w:t>Alberstein</w:t>
      </w:r>
      <w:proofErr w:type="spellEnd"/>
      <w:r>
        <w:t xml:space="preserve"> describe it,  </w:t>
      </w:r>
    </w:p>
    <w:p w14:paraId="1A8E7546" w14:textId="77777777" w:rsidR="00B573FE" w:rsidRPr="00A9375B" w:rsidRDefault="00B573FE" w:rsidP="003D74D8">
      <w:pPr>
        <w:pStyle w:val="BodyTextFirstIndent"/>
        <w:spacing w:line="480" w:lineRule="auto"/>
        <w:ind w:left="720" w:right="720" w:firstLine="0"/>
        <w:jc w:val="both"/>
      </w:pPr>
      <w:r>
        <w:t>“The institutional need to shift legal disputes to external dispute-resolution forums emerged from . . . the significant caseload in legal systems,” and “the center of gravity of the legal process has shifted from the evidentiary stage to the preliminary stages . . . . This process has inevitably led to changes in the roles of litigators.”</w:t>
      </w:r>
      <w:r>
        <w:rPr>
          <w:rStyle w:val="FootnoteReference"/>
        </w:rPr>
        <w:footnoteReference w:id="536"/>
      </w:r>
    </w:p>
    <w:p w14:paraId="60E8ADF4" w14:textId="77777777" w:rsidR="002914DE" w:rsidRPr="00A9375B" w:rsidRDefault="00143D39" w:rsidP="003D74D8">
      <w:pPr>
        <w:pStyle w:val="BodyTextFirstIndent"/>
        <w:spacing w:line="480" w:lineRule="auto"/>
        <w:jc w:val="both"/>
        <w:rPr>
          <w:ins w:id="200451" w:author="Claude" w:date="2026-09-27T12:00:00Z"/>
        </w:rPr>
      </w:pPr>
      <w:ins w:id="200435" w:author="Claude" w:date="2026-09-27T12:00:00Z">
        <w:r>
          <w:t>Unsurprisingly, with today’s generous pleading standards, modern Deliberative Bodies can circumvent any assessment of their cases’ legal and factual merit and instead focus on efficiently pursuing “settlement through mobilizing the court process.”</w:t>
        </w:r>
      </w:ins>
      <w:ins w:id="200436" w:author="Claude" w:date="2026-09-27T12:00:00Z">
        <w:r>
          <w:rPr>
            <w:rStyle w:val="FootnoteReference"/>
          </w:rPr>
          <w:footnoteReference w:id="773"/>
        </w:r>
      </w:ins>
      <w:ins w:id="200437" w:author="Claude" w:date="2026-09-27T12:00:00Z">
        <w:r>
          <w:t xml:space="preserve"> When Deliberative Bodies orient themselves around this goal, the trouble follows. In big law firms, the practice of delegating </w:t>
        </w:r>
      </w:ins>
      <w:ins w:id="200438" w:author="Claude" w:date="2026-09-27T12:00:00Z">
        <w:r>
          <w:t>casework to inexperienced associates—who lack the judgment to recognize what matters and the incentive to report bad facts—means decision-making partners often decide a case is ripe for externalization based on information that was never tested to begin with.</w:t>
        </w:r>
      </w:ins>
      <w:ins w:id="200439" w:author="Claude" w:date="2026-09-27T12:00:00Z">
        <w:r>
          <w:rPr>
            <w:rStyle w:val="FootnoteReference"/>
          </w:rPr>
          <w:footnoteReference w:id="774"/>
        </w:r>
      </w:ins>
      <w:ins w:id="200440" w:author="Claude" w:date="2026-09-27T12:00:00Z">
        <w:r>
          <w:t xml:space="preserve"> This bureaucratic division is further exacerbated by a legal culture in which attorneys specialize in a narrow area of law, whose members experience their shared beliefs as objective fact and attribute bias only to outsider</w:t>
        </w:r>
      </w:ins>
      <w:ins w:id="200441" w:author="Claude" w:date="2026-09-27T12:00:00Z">
        <w:r>
          <w:rPr>
            <w:color w:val="000000" w:themeColor="text1"/>
          </w:rPr>
          <w:t>s.</w:t>
        </w:r>
      </w:ins>
      <w:ins w:id="200442" w:author="Claude" w:date="2026-09-27T12:00:00Z">
        <w:r>
          <w:rPr>
            <w:rStyle w:val="FootnoteReference"/>
            <w:color w:val="000000" w:themeColor="text1"/>
          </w:rPr>
          <w:footnoteReference w:id="775"/>
        </w:r>
      </w:ins>
      <w:ins w:id="200443" w:author="Claude" w:date="2026-09-27T12:00:00Z">
        <w:r>
          <w:rPr>
            <w:color w:val="000000" w:themeColor="text1"/>
          </w:rPr>
          <w:t xml:space="preserve"> </w:t>
        </w:r>
      </w:ins>
      <w:ins w:id="200444" w:author="Claude" w:date="2026-09-27T12:00:00Z">
        <w:r>
          <w:t>Within specialized practice groups, most firms experience insufficient employee voice, particularly regarding decisions employees perceive as unwise.</w:t>
        </w:r>
      </w:ins>
      <w:ins w:id="200445" w:author="Claude" w:date="2026-09-27T12:00:00Z">
        <w:r>
          <w:rPr>
            <w:rStyle w:val="FootnoteReference"/>
          </w:rPr>
          <w:footnoteReference w:id="776"/>
        </w:r>
      </w:ins>
      <w:ins w:id="200446" w:author="Claude" w:date="2026-09-27T12:00:00Z">
        <w:r>
          <w:t xml:space="preserve"> Most importantly, unlike accounting or medicine, law firms often lack rigorous peer-review policies, relying instead on highly subjective professional judgment and deference to individual attorneys.</w:t>
        </w:r>
      </w:ins>
      <w:ins w:id="200447" w:author="Claude" w:date="2026-09-27T12:00:00Z">
        <w:r>
          <w:rPr>
            <w:rStyle w:val="FootnoteReference"/>
          </w:rPr>
          <w:footnoteReference w:id="777"/>
        </w:r>
      </w:ins>
      <w:ins w:id="200448" w:author="Claude" w:date="2026-09-27T12:00:00Z">
        <w:r>
          <w:t xml:space="preserve"> Especially regarding leadership, most leaders neither seek nor receive honest feedback, and most law firms fail to institutionalize assessments from subordinates.</w:t>
        </w:r>
      </w:ins>
      <w:ins w:id="200449" w:author="Claude" w:date="2026-09-27T12:00:00Z">
        <w:r>
          <w:rPr>
            <w:rStyle w:val="FootnoteReference"/>
          </w:rPr>
          <w:footnoteReference w:id="778"/>
        </w:r>
      </w:ins>
      <w:ins w:id="200450" w:author="Claude" w:date="2026-09-27T12:00:00Z">
        <w:r>
          <w:t xml:space="preserve"> </w:t>
        </w:r>
      </w:ins>
    </w:p>
    <w:p w14:paraId="6635C217" w14:textId="77777777" w:rsidR="00D879FE" w:rsidRDefault="00000000">
      <w:pPr>
        <w:pStyle w:val="BodyTextFirstIndent"/>
        <w:spacing w:line="480" w:lineRule="auto"/>
        <w:jc w:val="both"/>
      </w:pPr>
      <w:r>
        <w:t xml:space="preserve">Contemporary Alternative Dispute Resolution (ADR) has lost the plot. On the prevailing understanding, a “dispute” is a conflict that a Deliberative Body has already Externalized. Negotiation, mediation, and arbitration earn the name “alternatives” because each can relieve a </w:t>
      </w:r>
      <w:r>
        <w:lastRenderedPageBreak/>
        <w:t>party’s normative demands.</w:t>
      </w:r>
      <w:r>
        <w:rPr>
          <w:rStyle w:val="FootnoteReference"/>
          <w:color w:val="000000" w:themeColor="text1"/>
        </w:rPr>
        <w:footnoteReference w:id="537"/>
      </w:r>
      <w:r>
        <w:t xml:space="preserve"> Choosing among these parallel forums is now the first step in the dispute-resolution process, and whether Externalization is merited at all is no longer a question. Mary Douglas was not writing about lawyers, but she might as well have been: “The individual tends to leave the important decisions to his institutions while busying himself with tactics and details.”</w:t>
      </w:r>
      <w:r>
        <w:rPr>
          <w:rStyle w:val="FootnoteReference"/>
          <w:color w:val="000000" w:themeColor="text1"/>
        </w:rPr>
        <w:footnoteReference w:id="538"/>
      </w:r>
      <w:r>
        <w:t xml:space="preserve"> That neglect stems from a sustained separation from historical practice.</w:t>
      </w:r>
      <w:r>
        <w:rPr>
          <w:rStyle w:val="FootnoteReference"/>
          <w:color w:val="000000" w:themeColor="text1"/>
        </w:rPr>
        <w:footnoteReference w:id="539"/>
      </w:r>
      <w:r>
        <w:t xml:space="preserve"> The 1976 Pound Conference ratified the divorce, when “Frank Sander delivered his famous remarks [and] the modern dispute resolution movement was born.”</w:t>
      </w:r>
      <w:r>
        <w:rPr>
          <w:rStyle w:val="FootnoteReference"/>
          <w:color w:val="000000" w:themeColor="text1"/>
        </w:rPr>
        <w:footnoteReference w:id="540"/>
      </w:r>
      <w:r>
        <w:t xml:space="preserve"> This romanticized vision of bureaucratic triage—sorting already Externalized grievances among forums of mediation, arbitration, fact-finding, and trial—has captivated a generation of practitioners and “is often considered to be the point of origin for contemporary dispute resolution.”</w:t>
      </w:r>
      <w:r>
        <w:rPr>
          <w:rStyle w:val="FootnoteReference"/>
          <w:color w:val="000000" w:themeColor="text1"/>
        </w:rPr>
        <w:footnoteReference w:id="541"/>
      </w:r>
      <w:r>
        <w:t xml:space="preserve"> Perhaps the ignorance of modern </w:t>
      </w:r>
      <w:r>
        <w:lastRenderedPageBreak/>
        <w:t>practitioners is forgivable. Like the prisoners in Plato’s cave, chained to face the wall and mistaking the shadows projected before them for the whole of reality,</w:t>
      </w:r>
      <w:r>
        <w:rPr>
          <w:rStyle w:val="FootnoteReference"/>
          <w:color w:val="000000" w:themeColor="text1"/>
        </w:rPr>
        <w:footnoteReference w:id="542"/>
      </w:r>
      <w:r>
        <w:t xml:space="preserve"> Deliberative Bodies are chained to Sander’s vision of selecting among external forums and mistake it for the whole of dispute resolution. The field’s theoretical ambitions have narrowed as it matured.</w:t>
      </w:r>
      <w:r>
        <w:rPr>
          <w:rStyle w:val="FootnoteReference"/>
          <w:color w:val="000000" w:themeColor="text1"/>
        </w:rPr>
        <w:footnoteReference w:id="543"/>
      </w:r>
    </w:p>
    <w:p w14:paraId="3763C705" w14:textId="77777777" w:rsidR="00B27292" w:rsidRPr="00A9375B" w:rsidRDefault="00B27292" w:rsidP="003D74D8">
      <w:pPr>
        <w:pStyle w:val="BodyTextFirstIndent"/>
        <w:spacing w:line="480" w:lineRule="auto"/>
        <w:jc w:val="both"/>
      </w:pPr>
      <w:r>
        <w:t>In the prior section, timelines illustrated that informal dispute resolution systems throughout earlier civilizations operated on a parallel track to the formal systems, separated by gatekeeping mechanisms designed to preserve the formal system for claims of merit. The institutional framework that emerged from the Pound Conference, designed to manage caseloads efficiently, finalized ADR’s collapse into the formal legal system.</w:t>
      </w:r>
      <w:r>
        <w:rPr>
          <w:rStyle w:val="FootnoteReference"/>
        </w:rPr>
        <w:footnoteReference w:id="544"/>
      </w:r>
      <w:r>
        <w:t xml:space="preserve"> In American ADR, for the first time in human history, the timeline instead looked like this:</w:t>
      </w:r>
    </w:p>
    <w:p w14:paraId="09D6DC6B" w14:textId="77777777" w:rsidR="00B27292" w:rsidRPr="00A9375B" w:rsidRDefault="003B6B30" w:rsidP="003D74D8">
      <w:pPr>
        <w:spacing w:line="480" w:lineRule="auto"/>
        <w:jc w:val="both"/>
      </w:pPr>
      <w:r>
        <w:rPr>
          <w:noProof/>
        </w:rPr>
        <w:lastRenderedPageBreak/>
        <w:drawing>
          <wp:inline distT="0" distB="0" distL="0" distR="0" wp14:anchorId="68C2CA9C" wp14:editId="13E39F83">
            <wp:extent cx="5943600" cy="3114259"/>
            <wp:effectExtent l="0" t="0" r="0" b="0"/>
            <wp:docPr id="241827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27495" name="Picture 241827495"/>
                    <pic:cNvPicPr/>
                  </pic:nvPicPr>
                  <pic:blipFill rotWithShape="1">
                    <a:blip r:embed="rId16" cstate="print">
                      <a:extLst>
                        <a:ext uri="{28A0092B-C50C-407E-A947-70E740481C1C}">
                          <a14:useLocalDpi xmlns:a14="http://schemas.microsoft.com/office/drawing/2010/main" val="0"/>
                        </a:ext>
                      </a:extLst>
                    </a:blip>
                    <a:srcRect t="3931"/>
                    <a:stretch/>
                  </pic:blipFill>
                  <pic:spPr bwMode="auto">
                    <a:xfrm>
                      <a:off x="0" y="0"/>
                      <a:ext cx="5943600" cy="3114259"/>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rPr>
        <w:footnoteReference w:id="545"/>
      </w:r>
    </w:p>
    <w:p w14:paraId="12D2A0EF" w14:textId="77777777" w:rsidR="00D879FE" w:rsidRDefault="00000000">
      <w:pPr>
        <w:pStyle w:val="BodyTextFirstIndent"/>
        <w:spacing w:line="480" w:lineRule="auto"/>
        <w:jc w:val="both"/>
      </w:pPr>
      <w:r>
        <w:t>Once Deliberative Bodies drop the question “should this dispute be externalized at all?”, they orient their strategic development toward preparing disputes for external forums, working backward from what those forums expect and thereby forfeiting the only occasion to subject their own assumptions, and the biases embedded in them, to authentically cultivated dissent.</w:t>
      </w:r>
      <w:r>
        <w:rPr>
          <w:rStyle w:val="FootnoteReference"/>
          <w:color w:val="000000" w:themeColor="text1"/>
        </w:rPr>
        <w:footnoteReference w:id="546"/>
      </w:r>
      <w:r>
        <w:t xml:space="preserve"> This is </w:t>
      </w:r>
      <w:r>
        <w:lastRenderedPageBreak/>
        <w:t>not to say that every claim belongs in an informal forum; some grievances can obtain full relief only through formal adjudication, and Deliberative Bodies that elect to seek it are entitled to that choice—but that choice is best made after, not instead of, testing the claim.</w:t>
      </w:r>
      <w:r>
        <w:rPr>
          <w:rStyle w:val="FootnoteReference"/>
          <w:color w:val="000000" w:themeColor="text1"/>
        </w:rPr>
        <w:footnoteReference w:id="547"/>
      </w:r>
    </w:p>
    <w:p w14:paraId="35749CCF" w14:textId="77777777" w:rsidR="00573FFD" w:rsidRPr="00A9375B" w:rsidRDefault="00B27292" w:rsidP="003D74D8">
      <w:pPr>
        <w:pStyle w:val="BodyTextFirstIndent"/>
        <w:spacing w:line="480" w:lineRule="auto"/>
        <w:jc w:val="both"/>
      </w:pPr>
      <w:r>
        <w:t>The Pound Conference—by confirming to the legal profession that mediation, negotiation, arbitration, and trial were equals—persuaded a generation of practitioners that their duty as advocates was to disregard any internal, pre-filing checks on the strength of their claims and instead narrowly focus on the best forum for their disputes.</w:t>
      </w:r>
      <w:r>
        <w:rPr>
          <w:rStyle w:val="FootnoteReference"/>
          <w:color w:val="000000" w:themeColor="text1"/>
        </w:rPr>
        <w:footnoteReference w:id="548"/>
      </w:r>
      <w:r>
        <w:t xml:space="preserve"> By extinguishing the last remnants of QCMs, the conference ensured that the unchecked proliferation of antecedent conditions for groupthink would mar the future of American ADR.</w:t>
      </w:r>
      <w:r>
        <w:rPr>
          <w:rStyle w:val="FootnoteReference"/>
          <w:color w:val="000000" w:themeColor="text1"/>
        </w:rPr>
        <w:footnoteReference w:id="549"/>
      </w:r>
      <w:r>
        <w:t xml:space="preserve"> Frank Sander’s famous remarks, that “one might envision by the year 2000 not simply a court house but a Dispute Resolution Center, where the grievant would first be </w:t>
      </w:r>
      <w:proofErr w:type="spellStart"/>
      <w:r>
        <w:t>channelled</w:t>
      </w:r>
      <w:proofErr w:type="spellEnd"/>
      <w:r>
        <w:t xml:space="preserve"> through a screening clerk,”</w:t>
      </w:r>
      <w:r>
        <w:rPr>
          <w:rStyle w:val="FootnoteReference"/>
        </w:rPr>
        <w:footnoteReference w:id="550"/>
      </w:r>
      <w:r>
        <w:t xml:space="preserve"> sent the legal profession retrograde. Sander and his fellow romantics soon faced encroaching legalism—summed up by one practitioner who stated “[w]e haven’t created an alternative to the courts. We’ve become an </w:t>
      </w:r>
      <w:r>
        <w:lastRenderedPageBreak/>
        <w:t>alternative to the courtroom.”</w:t>
      </w:r>
      <w:r>
        <w:rPr>
          <w:rStyle w:val="FootnoteReference"/>
        </w:rPr>
        <w:footnoteReference w:id="551"/>
      </w:r>
      <w:r>
        <w:t xml:space="preserve"> Because of the combination of state intervention and lawyers’ importation of litigation tactics into ADR—“litigating” without any of the personal stakes or communal accountability that once preceded Externalization—no reform of the post-filing apparatus can restore what was lost.</w:t>
      </w:r>
      <w:r>
        <w:rPr>
          <w:rStyle w:val="FootnoteReference"/>
        </w:rPr>
        <w:footnoteReference w:id="552"/>
      </w:r>
      <w:r>
        <w:t xml:space="preserve"> The forge must be rebuilt where it can still operate: within the Deliberative Bodies that generate claims and through institutional mechanisms that subject legal theories to the adversarial testing that exposes the biases embedded in them before those theories harden into formal assertions.</w:t>
      </w:r>
    </w:p>
    <w:p>
      <w:pPr>
        <w:pStyle w:val="BodyTextFirstIndent"/>
        <w:spacing w:line="480" w:lineRule="auto"/>
        <w:jc w:val="both"/>
        <w:rPr>
          <w:ins w:id="200504" w:author="Claude" w:date="2026-09-27T12:00:00Z"/>
        </w:rPr>
      </w:pPr>
      <w:ins w:id="200503" w:author="Claude" w:date="2026-09-27T12:00:00Z">
        <w:r>
          <w:t>The Pound Conference completed what the three developments began. Put simply, history impacts the present, where the accepted institutional practice of enthusiastically bringing as many disputes as possible into the adversarial arena, ostensibly to further both zealous advocacy and billable-hour goals, allows cognitive biases to go unchecked and overlooks the occasion to weed out weak claims. Yet the modern Quality Control Mechanism proposed in this Note can neutralize these biases: authentic dissent generated by a cognitively diverse team.</w:t>
        </w:r>
        <w:r>
          <w:rPr>
            <w:rStyle w:val="FootnoteReference"/>
            <w:color w:val="000000" w:themeColor="text1"/>
          </w:rPr>
          <w:footnoteReference w:id="779"/>
        </w:r>
        <w:r>
          <w:t xml:space="preserve"> Authentic dissent cannot simply be mandated; it only emerges when team members operate with a high degree of psychological safety—defined as the shared conviction that the group will welcome unfiltered questions, the identification of risks, and the disclosure of strategic uncertainties without the threat of professional or interpersonal retribution.</w:t>
        </w:r>
        <w:r>
          <w:rPr>
            <w:rStyle w:val="FootnoteReference"/>
            <w:color w:val="000000" w:themeColor="text1"/>
          </w:rPr>
          <w:footnoteReference w:id="780"/>
        </w:r>
        <w:r>
          <w:t xml:space="preserve"> Unfortunately, a high degree of psychological safety “is the exception in organizations, not the norm.”</w:t>
        </w:r>
        <w:r>
          <w:rPr>
            <w:rStyle w:val="FootnoteReference"/>
            <w:color w:val="000000" w:themeColor="text1"/>
          </w:rPr>
          <w:footnoteReference w:id="781"/>
        </w:r>
        <w:r>
          <w:t xml:space="preserve"> As the next Section develops, cultivating this necessary dissent requires leaders who actively invite critique, a firm culture that rosters and celebrates cognitively diverse perspectives, and structured case consultations designed to ensure that the collective intelligence of the entire team informs the decision to externalize a claim.</w:t>
        </w:r>
        <w:r>
          <w:rPr>
            <w:rStyle w:val="FootnoteReference"/>
            <w:color w:val="000000" w:themeColor="text1"/>
          </w:rPr>
          <w:footnoteReference w:id="782"/>
        </w:r>
        <w:r>
          <w:t xml:space="preserve"> A Deliberative Body serves its own interest by considering my suggestions, as research demonstrates that a team’s output quality improves through the inclusion of authentic dissent.</w:t>
        </w:r>
        <w:r>
          <w:rPr>
            <w:rStyle w:val="FootnoteReference"/>
            <w:color w:val="000000" w:themeColor="text1"/>
          </w:rPr>
          <w:footnoteReference w:id="783"/>
        </w:r>
        <w:r>
          <w:t xml:space="preserve"> </w:t>
        </w:r>
      </w:ins>
    </w:p>
    <w:p w14:paraId="55B07C93" w14:textId="77777777" w:rsidR="0082615B" w:rsidRPr="00A9375B" w:rsidRDefault="0082615B" w:rsidP="003D74D8">
      <w:pPr>
        <w:pStyle w:val="BodyTextFirstIndent"/>
        <w:spacing w:line="480" w:lineRule="auto"/>
        <w:jc w:val="both"/>
      </w:pPr>
    </w:p>
    <w:p w14:paraId="6EA80943" w14:textId="77777777" w:rsidR="00285CFF" w:rsidRPr="00A9375B" w:rsidRDefault="00C35A14" w:rsidP="003D74D8">
      <w:pPr>
        <w:pStyle w:val="ListParagraph"/>
        <w:numPr>
          <w:ilvl w:val="0"/>
          <w:numId w:val="31"/>
        </w:numPr>
        <w:spacing w:line="480" w:lineRule="auto"/>
        <w:jc w:val="center"/>
        <w:rPr>
          <w:smallCaps/>
        </w:rPr>
      </w:pPr>
      <w:r>
        <w:rPr>
          <w:smallCaps/>
        </w:rPr>
        <w:t>The Case For Institutional Dissent</w:t>
      </w:r>
    </w:p>
    <w:p w14:paraId="3F7844D4" w14:textId="77777777" w:rsidR="005D5035" w:rsidRPr="00A9375B" w:rsidRDefault="005D5035" w:rsidP="003D74D8">
      <w:pPr>
        <w:spacing w:line="480" w:lineRule="auto"/>
        <w:ind w:left="360"/>
        <w:jc w:val="both"/>
        <w:rPr>
          <w:smallCaps/>
        </w:rPr>
      </w:pPr>
    </w:p>
    <w:p w14:paraId="03F54BAA" w14:textId="77777777" w:rsidR="00C33A15" w:rsidRPr="00A9375B" w:rsidRDefault="00F95D11" w:rsidP="003D74D8">
      <w:pPr>
        <w:pStyle w:val="BodyText"/>
        <w:spacing w:after="0" w:line="480" w:lineRule="auto"/>
        <w:ind w:firstLine="360"/>
        <w:jc w:val="both"/>
        <w:rPr>
          <w:iCs/>
        </w:rPr>
      </w:pPr>
      <w:r>
        <w:t>Across human history—whether</w:t>
      </w:r>
      <w:r>
        <w:rPr>
          <w:iCs/>
        </w:rPr>
        <w:t xml:space="preserve"> in Ancient Near Eastern, Classical Greek, Ancient Roman, Traditional Chinese, or Medieval English societies—entry fees were required to enter the formal </w:t>
      </w:r>
      <w:r>
        <w:rPr>
          <w:iCs/>
        </w:rPr>
        <w:lastRenderedPageBreak/>
        <w:t>system, which a would-be litigant could pay by testing the strength of their dispute. Those who believed their claims were strong enough proceeded into court with impunity, understanding that a loss on the merits would not bring retribution upon them. And the litigant who was set on vindicating their rights in formal court, but upon testing their claim discovered it was weak, could use the pre-filing scrutiny as an opportunity to improve the facts, law, and legal strategy of their case. The other option for weak claims was for the disputant to turn to the independent informal forum, which operated on its own authority and resolved grievances on its own terms, providing lesser relief than the formal system. Perhaps no better example of this dynamic existed than:</w:t>
      </w:r>
    </w:p>
    <w:p w14:paraId="746479A5" w14:textId="77777777" w:rsidR="00C33A15" w:rsidRPr="00A9375B" w:rsidRDefault="00D20AB8" w:rsidP="003D74D8">
      <w:pPr>
        <w:pStyle w:val="BodyText"/>
        <w:spacing w:after="0" w:line="480" w:lineRule="auto"/>
        <w:ind w:left="720" w:right="720"/>
        <w:jc w:val="both"/>
        <w:rPr>
          <w:iCs/>
        </w:rPr>
      </w:pPr>
      <w:r>
        <w:rPr>
          <w:iCs/>
        </w:rPr>
        <w:t>“</w:t>
      </w:r>
      <w:proofErr w:type="gramStart"/>
      <w:r>
        <w:rPr>
          <w:iCs/>
        </w:rPr>
        <w:t>twelfth</w:t>
      </w:r>
      <w:proofErr w:type="gramEnd"/>
      <w:r>
        <w:rPr>
          <w:iCs/>
        </w:rPr>
        <w:t xml:space="preserve">-century </w:t>
      </w:r>
      <w:proofErr w:type="spellStart"/>
      <w:r>
        <w:rPr>
          <w:iCs/>
        </w:rPr>
        <w:t>decretists</w:t>
      </w:r>
      <w:proofErr w:type="spellEnd"/>
      <w:r>
        <w:rPr>
          <w:iCs/>
        </w:rPr>
        <w:t xml:space="preserve"> [who] adopted [the Roman calumny oath] position </w:t>
      </w:r>
      <w:r>
        <w:t xml:space="preserve">and taught </w:t>
      </w:r>
      <w:r>
        <w:rPr>
          <w:iCs/>
        </w:rPr>
        <w:t xml:space="preserve">that advocates and </w:t>
      </w:r>
      <w:proofErr w:type="spellStart"/>
      <w:r>
        <w:rPr>
          <w:iCs/>
        </w:rPr>
        <w:t>iurisperiti</w:t>
      </w:r>
      <w:proofErr w:type="spellEnd"/>
      <w:r>
        <w:rPr>
          <w:iCs/>
        </w:rPr>
        <w:t xml:space="preserve"> were obliged to discourage any client whose case they deemed unfounded either in fact or in law from pursuing litigation and instead to seek some alternative way of dealing with the </w:t>
      </w:r>
      <w:r>
        <w:t xml:space="preserve">problem. As </w:t>
      </w:r>
      <w:proofErr w:type="spellStart"/>
      <w:r>
        <w:t>Huguccio</w:t>
      </w:r>
      <w:proofErr w:type="spellEnd"/>
      <w:r>
        <w:t xml:space="preserve"> put it: . . . If therefore I see</w:t>
      </w:r>
      <w:r>
        <w:rPr>
          <w:iCs/>
        </w:rPr>
        <w:t xml:space="preserve"> that someone is bringing a case that lacks merit, one should not embrace his cause nor advise him to pursue it, but instead either to settle or otherwise compromise it or else to abandon it”.”</w:t>
      </w:r>
      <w:r>
        <w:rPr>
          <w:rStyle w:val="FootnoteReference"/>
          <w:iCs/>
        </w:rPr>
        <w:footnoteReference w:id="553"/>
      </w:r>
      <w:r>
        <w:rPr>
          <w:iCs/>
        </w:rPr>
        <w:t xml:space="preserve"> </w:t>
      </w:r>
    </w:p>
    <w:p w14:paraId="4D9B9452" w14:textId="77777777" w:rsidR="00A17D66" w:rsidRPr="00A9375B" w:rsidRDefault="00F95D11" w:rsidP="003D74D8">
      <w:pPr>
        <w:pStyle w:val="BodyText"/>
        <w:spacing w:after="0" w:line="480" w:lineRule="auto"/>
        <w:ind w:firstLine="360"/>
        <w:jc w:val="both"/>
      </w:pPr>
      <w:r>
        <w:rPr>
          <w:iCs/>
        </w:rPr>
        <w:t xml:space="preserve">America abandoned the forge of pre-filing scrutiny in exchange for a process that treats disputing as nothing more than a selection among forums. The two disputing tracks collapsed into one (which I have represented visually in the figures throughout this Note). The ‘costs’ of disputing disappeared. Unsurprisingly, without any pushback against this ADR model, which was solidified at the 1976 Pound Conference, </w:t>
      </w:r>
      <w:r>
        <w:t>history continues to govern the present w</w:t>
      </w:r>
      <w:r>
        <w:rPr>
          <w:iCs/>
        </w:rPr>
        <w:t>here the choice of what to do with a case is “what is the best forum?” rather than “should this claim be externalized at all?”</w:t>
      </w:r>
      <w:r>
        <w:t xml:space="preserve"> </w:t>
      </w:r>
      <w:r>
        <w:lastRenderedPageBreak/>
        <w:t xml:space="preserve">As a result, a slew of cognitive biases operating at both the individual and group level have been left free to compromise legal strategy. </w:t>
      </w:r>
    </w:p>
    <w:p w14:paraId="6495DE7C" w14:textId="77777777" w:rsidR="00A17D66" w:rsidRPr="00A9375B" w:rsidRDefault="00A17D66" w:rsidP="003D74D8">
      <w:pPr>
        <w:pStyle w:val="BodyText"/>
        <w:spacing w:after="0" w:line="480" w:lineRule="auto"/>
        <w:ind w:firstLine="360"/>
        <w:jc w:val="both"/>
      </w:pPr>
      <w:r>
        <w:t xml:space="preserve">The legal community chose George </w:t>
      </w:r>
      <w:proofErr w:type="spellStart"/>
      <w:r>
        <w:t>Sharswood’s</w:t>
      </w:r>
      <w:proofErr w:type="spellEnd"/>
      <w:r>
        <w:t xml:space="preserve"> model of zealous advocacy over David Hoffman’s model of objective case assessor. One design defect, unknown at the time, was that a byproduct of our “adversary system [is the production of] biasing pressures that exacerbate natural cognitive biases,” particularly “tunnel vision” toward Externalizing a claim.</w:t>
      </w:r>
      <w:r>
        <w:rPr>
          <w:rStyle w:val="FootnoteReference"/>
        </w:rPr>
        <w:footnoteReference w:id="554"/>
      </w:r>
      <w:r>
        <w:t xml:space="preserve"> Indeed, Hoffman predicted as much—as he wrote that “the disputes and controversies with which even eminent lawyers are often engaged, are frequently founded on bad, if not the worst of passions…[and] the indomitable pride of opinion, exacerbated by opposition, may mislead the counsel, and render him blind to the real merits of the controversy.”</w:t>
      </w:r>
      <w:r>
        <w:rPr>
          <w:rStyle w:val="FootnoteReference"/>
        </w:rPr>
        <w:footnoteReference w:id="555"/>
      </w:r>
      <w:r>
        <w:t xml:space="preserve"> Zealous advocacy has been equated with the idea that everything deserves to be taken to a forum and as a result, “[a]</w:t>
      </w:r>
      <w:proofErr w:type="spellStart"/>
      <w:r>
        <w:t>ttorneys</w:t>
      </w:r>
      <w:proofErr w:type="spellEnd"/>
      <w:r>
        <w:t xml:space="preserve"> become myopic. [They] become so immersed in the fight [they] only see the strengths, not the weaknesses. [They] become intoxicated with [their] own facts and turn a blind eye to the negative aspects of [their] case.”</w:t>
      </w:r>
      <w:r>
        <w:rPr>
          <w:rStyle w:val="FootnoteReference"/>
        </w:rPr>
        <w:footnoteReference w:id="556"/>
      </w:r>
    </w:p>
    <w:p w14:paraId="64852CF0" w14:textId="77777777" w:rsidR="00D879FE" w:rsidRDefault="00000000">
      <w:pPr>
        <w:pStyle w:val="BodyTextFirstIndent"/>
        <w:spacing w:line="480" w:lineRule="auto"/>
        <w:jc w:val="both"/>
        <w:rPr>
          <w:del w:id="200122" w:author="Claude" w:date="2026-09-27T12:00:00Z"/>
        </w:rPr>
      </w:pPr>
      <w:del w:id="200093" w:author="Claude" w:date="2026-09-27T12:00:00Z">
        <w:r>
          <w:delText xml:space="preserve">The bar’s own defense of the adversary system rests on a concession it has never followed to its conclusion. The Joint Conference of the American Bar Association and the Association of American Law Schools admitted, in its 1958 report on professional responsibility, that “what starts as a preliminary diagnosis designed to direct the inquiry tends, quickly and imperceptibly, to </w:delText>
        </w:r>
      </w:del>
      <w:del w:id="200094" w:author="Claude" w:date="2026-09-27T12:00:00Z">
        <w:r>
          <w:lastRenderedPageBreak/>
          <w:delText>become a fixed conclusion, as all that confirms the diagnosis makes a strong imprint on the mind, while all that runs counter to it is received with diverted attention,” and that “[a]n adversary presentation seems the only effective means for combatting this natural human tendency to judge too swiftly in terms of the familiar that which is not yet fully known.”</w:delText>
        </w:r>
      </w:del>
      <w:del w:id="200095" w:author="Claude" w:date="2026-09-27T12:00:00Z">
        <w:r>
          <w:rPr>
            <w:rStyle w:val="FootnoteReference"/>
          </w:rPr>
          <w:footnoteReference w:id="557"/>
        </w:r>
      </w:del>
      <w:del w:id="200096" w:author="Claude" w:date="2026-09-27T12:00:00Z">
        <w:r>
          <w:delText xml:space="preserve"> I entirely agree. But the adversary system supplies the adversary only after filing, when the diagnosis has long since hardened; the Deliberative Body must supply him before. The same report set the limit of zeal: the advocate “plays his role badly, and trespasses against the obligations of professional responsibility, when his desire to win leads him to muddy the headwaters of decision.”</w:delText>
        </w:r>
      </w:del>
      <w:del w:id="200097" w:author="Claude" w:date="2026-09-27T12:00:00Z">
        <w:r>
          <w:rPr>
            <w:rStyle w:val="FootnoteReference"/>
          </w:rPr>
          <w:footnoteReference w:id="558"/>
        </w:r>
      </w:del>
      <w:del w:id="200098" w:author="Claude" w:date="2026-09-27T12:00:00Z">
        <w:r>
          <w:delText xml:space="preserve"> Dewey had made the diagnosis a generation earlier: “No lawyer ever thought out the case of a client in terms of the syllogism. He begins with a conclusion which he intends to reach, favorable to his client of course, and then analyzes the facts of the situation to find material out of which to construct a favorable statement of facts.”</w:delText>
        </w:r>
      </w:del>
      <w:del w:id="200099" w:author="Claude" w:date="2026-09-27T12:00:00Z">
        <w:r>
          <w:rPr>
            <w:rStyle w:val="FootnoteReference"/>
          </w:rPr>
          <w:footnoteReference w:id="559"/>
        </w:r>
      </w:del>
      <w:del w:id="200100" w:author="Claude" w:date="2026-09-27T12:00:00Z">
        <w:r>
          <w:delText xml:space="preserve"> Dan Simon and </w:delText>
        </w:r>
      </w:del>
      <w:proofErr w:type="spellStart"/>
      <w:del w:id="200101" w:author="Claude" w:date="2026-09-27T12:00:00Z">
        <w:r>
          <w:delText>Minwoo</w:delText>
        </w:r>
      </w:del>
      <w:proofErr w:type="spellEnd"/>
      <w:del w:id="200102" w:author="Claude" w:date="2026-09-27T12:00:00Z">
        <w:r>
          <w:delText xml:space="preserve"> Ahn describe a logic of reciprocity within the adversarial mindset. On that logic, “the reflexively and thoughtlessly conjured schemas of a biased, untrustworthy and distrusting counterpart are by and large justifiable plainly because people on both sides of an adversarial divide tend to be biased, untrustworthy and distrusting.”</w:delText>
        </w:r>
      </w:del>
      <w:del w:id="200103" w:author="Claude" w:date="2026-09-27T12:00:00Z">
        <w:r>
          <w:rPr>
            <w:rStyle w:val="FootnoteReference"/>
          </w:rPr>
          <w:footnoteReference w:id="560"/>
        </w:r>
      </w:del>
      <w:del w:id="200104" w:author="Claude" w:date="2026-09-27T12:00:00Z">
        <w:r>
          <w:delText xml:space="preserve"> Today Holger </w:delText>
        </w:r>
      </w:del>
      <w:proofErr w:type="spellStart"/>
      <w:del w:id="200105" w:author="Claude" w:date="2026-09-27T12:00:00Z">
        <w:r>
          <w:delText>Spamann</w:delText>
        </w:r>
      </w:del>
      <w:proofErr w:type="spellEnd"/>
      <w:del w:id="200106" w:author="Claude" w:date="2026-09-27T12:00:00Z">
        <w:r>
          <w:delText xml:space="preserve"> finds that law students develop this dogmatic thinking within forty minutes of being assigned an advocacy role,</w:delText>
        </w:r>
      </w:del>
      <w:del w:id="200107" w:author="Claude" w:date="2026-09-27T12:00:00Z">
        <w:r>
          <w:rPr>
            <w:rStyle w:val="FootnoteReference"/>
          </w:rPr>
          <w:footnoteReference w:id="561"/>
        </w:r>
      </w:del>
      <w:del w:id="200108" w:author="Claude" w:date="2026-09-27T12:00:00Z">
        <w:r>
          <w:delText xml:space="preserve"> with the legal mandate of zealous advocacy “bias[</w:delText>
        </w:r>
      </w:del>
      <w:proofErr w:type="spellStart"/>
      <w:del w:id="200109" w:author="Claude" w:date="2026-09-27T12:00:00Z">
        <w:r>
          <w:delText>ing</w:delText>
        </w:r>
      </w:del>
      <w:proofErr w:type="spellEnd"/>
      <w:del w:id="200110" w:author="Claude" w:date="2026-09-27T12:00:00Z">
        <w:r>
          <w:delText xml:space="preserve">] a range </w:delText>
        </w:r>
      </w:del>
      <w:del w:id="200111" w:author="Claude" w:date="2026-09-27T12:00:00Z">
        <w:r>
          <w:lastRenderedPageBreak/>
          <w:delText>of judgments automatically and without conscious control.”</w:delText>
        </w:r>
      </w:del>
      <w:del w:id="200112" w:author="Claude" w:date="2026-09-27T12:00:00Z">
        <w:r>
          <w:rPr>
            <w:rStyle w:val="FootnoteReference"/>
          </w:rPr>
          <w:footnoteReference w:id="562"/>
        </w:r>
      </w:del>
      <w:del w:id="200113" w:author="Claude" w:date="2026-09-27T12:00:00Z">
        <w:r>
          <w:delText xml:space="preserve"> In part, this occurs because the mere act of placing people in hypercompetitive roles impairs one’s ability to assess situations objectively.</w:delText>
        </w:r>
      </w:del>
      <w:del w:id="200114" w:author="Claude" w:date="2026-09-27T12:00:00Z">
        <w:r>
          <w:rPr>
            <w:rStyle w:val="FootnoteReference"/>
          </w:rPr>
          <w:footnoteReference w:id="563"/>
        </w:r>
      </w:del>
      <w:del w:id="200115" w:author="Claude" w:date="2026-09-27T12:00:00Z">
        <w:r>
          <w:delText xml:space="preserve"> “[z]</w:delText>
        </w:r>
      </w:del>
      <w:proofErr w:type="spellStart"/>
      <w:del w:id="200116" w:author="Claude" w:date="2026-09-27T12:00:00Z">
        <w:r>
          <w:delText>eal</w:delText>
        </w:r>
      </w:del>
      <w:proofErr w:type="spellEnd"/>
      <w:del w:id="200117" w:author="Claude" w:date="2026-09-27T12:00:00Z">
        <w:r>
          <w:delText xml:space="preserve"> might cloud the mind of the advocate, undermining their sensitivity to the sensibilities of their audience and blinding them to the weaknesses of their argument.”</w:delText>
        </w:r>
      </w:del>
      <w:del w:id="200118" w:author="Claude" w:date="2026-09-27T12:00:00Z">
        <w:r>
          <w:rPr>
            <w:rStyle w:val="FootnoteReference"/>
          </w:rPr>
          <w:footnoteReference w:id="564"/>
        </w:r>
      </w:del>
      <w:del w:id="200119" w:author="Claude" w:date="2026-09-27T12:00:00Z">
        <w:r>
          <w:delText xml:space="preserve"> Such bias is so pervasive that advocates cannot provide an objective assessment of their case even when they become aware of the bias itself.</w:delText>
        </w:r>
      </w:del>
      <w:del w:id="200120" w:author="Claude" w:date="2026-09-27T12:00:00Z">
        <w:r>
          <w:rPr>
            <w:rStyle w:val="FootnoteReference"/>
          </w:rPr>
          <w:footnoteReference w:id="565"/>
        </w:r>
      </w:del>
      <w:del w:id="200121" w:author="Claude" w:date="2026-09-27T12:00:00Z">
        <w:r>
          <w:delText xml:space="preserve"> </w:delText>
        </w:r>
      </w:del>
    </w:p>
    <w:p w14:paraId="6419D09F" w14:textId="77777777" w:rsidR="00A17D66" w:rsidRPr="00A9375B" w:rsidRDefault="00A17D66" w:rsidP="003D74D8">
      <w:pPr>
        <w:pStyle w:val="BodyText"/>
        <w:spacing w:after="0" w:line="480" w:lineRule="auto"/>
        <w:ind w:firstLine="360"/>
        <w:jc w:val="both"/>
      </w:pPr>
      <w:r>
        <w:t xml:space="preserve">The second historical factor, the institutional capacity for disputes, further amplified zealous advocacy-induced biases and, from the 1925 FAA to the 1976 Pound Conference, created an “America [which] does not have two systems, one of litigation and one of negotiation, but a single </w:t>
      </w:r>
      <w:r>
        <w:lastRenderedPageBreak/>
        <w:t>system of ‘</w:t>
      </w:r>
      <w:proofErr w:type="spellStart"/>
      <w:r>
        <w:t>litigotiation</w:t>
      </w:r>
      <w:proofErr w:type="spellEnd"/>
      <w:r>
        <w:t>.’”</w:t>
      </w:r>
      <w:r>
        <w:rPr>
          <w:rStyle w:val="FootnoteReference"/>
        </w:rPr>
        <w:footnoteReference w:id="566"/>
      </w:r>
      <w:r>
        <w:t xml:space="preserve"> Under this system, disputing without pre-filing scrutiny has become so commonplace that when a case </w:t>
      </w:r>
      <w:r>
        <w:rPr>
          <w:i/>
          <w:iCs/>
        </w:rPr>
        <w:t>is</w:t>
      </w:r>
      <w:r>
        <w:t xml:space="preserve"> scrutinized, it often falls on deaf ears as “[n]</w:t>
      </w:r>
      <w:proofErr w:type="spellStart"/>
      <w:r>
        <w:t>ew</w:t>
      </w:r>
      <w:proofErr w:type="spellEnd"/>
      <w:r>
        <w:t xml:space="preserve"> attorneys don’t want to hear what’s wrong with their cases” and frequently “take umbrage when you point out the problems.”</w:t>
      </w:r>
      <w:r>
        <w:rPr>
          <w:rStyle w:val="FootnoteReference"/>
        </w:rPr>
        <w:footnoteReference w:id="567"/>
      </w:r>
    </w:p>
    <w:p w14:paraId="4D655102" w14:textId="77777777" w:rsidR="00CC2DF6" w:rsidRPr="00A9375B" w:rsidRDefault="00A17D66" w:rsidP="003D74D8">
      <w:pPr>
        <w:pStyle w:val="BodyText"/>
        <w:spacing w:after="0" w:line="480" w:lineRule="auto"/>
        <w:ind w:firstLine="360"/>
        <w:jc w:val="both"/>
        <w:rPr>
          <w:iCs/>
        </w:rPr>
      </w:pPr>
      <w:r>
        <w:t>Due to the monetization of the picking amongst forums model, “lawyers gain utility from processing evidence with a myside bias (because it pays off to be a zealous advocate), which leaves the parties worse off.”</w:t>
      </w:r>
      <w:r>
        <w:rPr>
          <w:rStyle w:val="FootnoteReference"/>
        </w:rPr>
        <w:footnoteReference w:id="568"/>
      </w:r>
      <w:r>
        <w:t xml:space="preserve"> It pays to prioritize the discovery of congenial facts over the objective assessment of case strength, because, depending on the fee structure, the longer a dispute is prolonged, the more hours are billed.</w:t>
      </w:r>
      <w:r>
        <w:rPr>
          <w:rStyle w:val="FootnoteReference"/>
        </w:rPr>
        <w:footnoteReference w:id="569"/>
      </w:r>
      <w:r>
        <w:t xml:space="preserve"> Making matters worse, because “most lawyers excel at </w:t>
      </w:r>
      <w:r>
        <w:lastRenderedPageBreak/>
        <w:t>critiquing, analyzing</w:t>
      </w:r>
      <w:r>
        <w:rPr>
          <w:color w:val="000000"/>
        </w:rPr>
        <w:t xml:space="preserve"> </w:t>
      </w:r>
      <w:r>
        <w:t>and identifying risks,” lawyers inadvertently use these skills to enhance bias</w:t>
      </w:r>
      <w:r>
        <w:rPr>
          <w:rStyle w:val="FootnoteReference"/>
        </w:rPr>
        <w:footnoteReference w:id="570"/>
      </w:r>
      <w:r>
        <w:t xml:space="preserve"> when one holds contradictory information to a higher level of scrutiny than consistent information.</w:t>
      </w:r>
      <w:r>
        <w:rPr>
          <w:rStyle w:val="FootnoteReference"/>
        </w:rPr>
        <w:footnoteReference w:id="571"/>
      </w:r>
      <w:r>
        <w:t xml:space="preserve"> Despite these present challenges, combating this bias is in a lawyer’s best interest.</w:t>
      </w:r>
      <w:r>
        <w:rPr>
          <w:rStyle w:val="FootnoteReference"/>
        </w:rPr>
        <w:footnoteReference w:id="572"/>
      </w:r>
      <w:r>
        <w:t xml:space="preserve"> </w:t>
      </w:r>
    </w:p>
    <w:p w14:paraId="42E18D1F" w14:textId="77777777" w:rsidR="00D879FE" w:rsidRDefault="00000000">
      <w:pPr>
        <w:pStyle w:val="BodyTextFirstIndent"/>
        <w:spacing w:line="480" w:lineRule="auto"/>
        <w:jc w:val="both"/>
        <w:rPr>
          <w:del w:id="200129" w:author="Claude" w:date="2026-09-27T12:00:00Z"/>
        </w:rPr>
      </w:pPr>
      <w:del w:id="200123" w:author="Claude" w:date="2026-09-27T12:00:00Z">
        <w:r>
          <w:delText>Whereas the previous era of fixed-fee billing demanded rigorous pre-filing scrutiny because the lawyer received a set amount regardless of the time expended (meaning every extra hour spent on a weak case went uncompensated and directly cannibalized their own overall profits), the widespread shift to hourly billing transferred the financial burden of protracted litigation entirely to the client.</w:delText>
        </w:r>
      </w:del>
      <w:del w:id="200124" w:author="Claude" w:date="2026-09-27T12:00:00Z">
        <w:r>
          <w:rPr>
            <w:rStyle w:val="FootnoteReference"/>
          </w:rPr>
          <w:footnoteReference w:id="573"/>
        </w:r>
      </w:del>
      <w:del w:id="200125" w:author="Claude" w:date="2026-09-27T12:00:00Z">
        <w:r>
          <w:delText xml:space="preserve"> By creating an incentive structure where pretrial maneuvering is lucrative </w:delText>
        </w:r>
      </w:del>
      <w:del w:id="200126" w:author="Claude" w:date="2026-09-27T12:00:00Z">
        <w:r>
          <w:lastRenderedPageBreak/>
          <w:delText>regardless of a case’s ultimate success, the hourly model effectively removes the financial penalty for indulging in cognitive biases,</w:delText>
        </w:r>
      </w:del>
      <w:del w:id="200127" w:author="Claude" w:date="2026-09-27T12:00:00Z">
        <w:r>
          <w:rPr>
            <w:rStyle w:val="FootnoteReference"/>
          </w:rPr>
          <w:footnoteReference w:id="574"/>
        </w:r>
      </w:del>
      <w:del w:id="200128" w:author="Claude" w:date="2026-09-27T12:00:00Z">
        <w:r>
          <w:delText xml:space="preserve"> as explained by one scholar:</w:delText>
        </w:r>
      </w:del>
    </w:p>
    <w:p w14:paraId="61EFBE78" w14:textId="77777777" w:rsidR="00AA189D" w:rsidRPr="00A9375B" w:rsidRDefault="00EB1107" w:rsidP="003D74D8">
      <w:pPr>
        <w:pStyle w:val="BodyTextFirstIndent"/>
        <w:spacing w:line="480" w:lineRule="auto"/>
        <w:ind w:left="720" w:right="720" w:firstLine="0"/>
        <w:jc w:val="both"/>
        <w:rPr>
          <w:del w:id="200134" w:author="Claude" w:date="2026-09-27T12:00:00Z"/>
        </w:rPr>
      </w:pPr>
      <w:del w:id="200130" w:author="Claude" w:date="2026-09-27T12:00:00Z">
        <w:r>
          <w:delText xml:space="preserve"> “Lawyers need to feel and display overconfidence in order to attract clients, and, later, to keep those clients convinced that their interests are well served. These attitudinal demands for high levels of confidence might skew lawyers’ reasoning toward overconfidence even when they attempt to realistically assess the likelihood of success. Confidence may also increase over time to justify commitment to a goal . . . . [L]</w:delText>
        </w:r>
      </w:del>
      <w:proofErr w:type="spellStart"/>
      <w:del w:id="200131" w:author="Claude" w:date="2026-09-27T12:00:00Z">
        <w:r>
          <w:delText>awyers</w:delText>
        </w:r>
      </w:del>
      <w:proofErr w:type="spellEnd"/>
      <w:del w:id="200132" w:author="Claude" w:date="2026-09-27T12:00:00Z">
        <w:r>
          <w:delText xml:space="preserve"> may engage in wishful thinking: They might believe a certain outcome is probable simply because of a desire to reach it”</w:delText>
        </w:r>
      </w:del>
      <w:del w:id="200133" w:author="Claude" w:date="2026-09-27T12:00:00Z">
        <w:r>
          <w:rPr>
            <w:rStyle w:val="FootnoteReference"/>
            <w:color w:val="000000" w:themeColor="text1"/>
          </w:rPr>
          <w:footnoteReference w:id="575"/>
        </w:r>
      </w:del>
    </w:p>
    <w:p w14:paraId="456AE420" w14:textId="77777777" w:rsidR="00B06079" w:rsidRPr="00A9375B" w:rsidRDefault="00667707" w:rsidP="003D74D8">
      <w:pPr>
        <w:pStyle w:val="BodyTextFirstIndent"/>
        <w:spacing w:line="480" w:lineRule="auto"/>
        <w:jc w:val="both"/>
        <w:rPr>
          <w:del w:id="200149" w:author="Claude" w:date="2026-09-27T12:00:00Z"/>
        </w:rPr>
      </w:pPr>
      <w:del w:id="200135" w:author="Claude" w:date="2026-09-27T12:00:00Z">
        <w:r>
          <w:delText>Professor Ian Weinstein concurs, further claiming that, as a result of overconfidence, “[t]</w:delText>
        </w:r>
      </w:del>
      <w:proofErr w:type="spellStart"/>
      <w:del w:id="200136" w:author="Claude" w:date="2026-09-27T12:00:00Z">
        <w:r>
          <w:delText>oo</w:delText>
        </w:r>
      </w:del>
      <w:proofErr w:type="spellEnd"/>
      <w:del w:id="200137" w:author="Claude" w:date="2026-09-27T12:00:00Z">
        <w:r>
          <w:delText xml:space="preserve"> many lawyers . . . have been sorely tempted to accept an early decision to go to trial. . . . It can be very satisfying to stride into the courtroom and demand an early trial date.”</w:delText>
        </w:r>
      </w:del>
      <w:del w:id="200138" w:author="Claude" w:date="2026-09-27T12:00:00Z">
        <w:r>
          <w:rPr>
            <w:rStyle w:val="FootnoteReference"/>
            <w:color w:val="000000" w:themeColor="text1"/>
          </w:rPr>
          <w:footnoteReference w:id="576"/>
        </w:r>
      </w:del>
      <w:del w:id="200139" w:author="Claude" w:date="2026-09-27T12:00:00Z">
        <w:r>
          <w:delText xml:space="preserve"> This overconfidence leads practitioners to weigh evidence supporting their prior beliefs more heavily than evidence contradicting them—confirmation bias.</w:delText>
        </w:r>
      </w:del>
      <w:del w:id="200140" w:author="Claude" w:date="2026-09-27T12:00:00Z">
        <w:r>
          <w:rPr>
            <w:rStyle w:val="FootnoteReference"/>
            <w:color w:val="000000" w:themeColor="text1"/>
          </w:rPr>
          <w:footnoteReference w:id="577"/>
        </w:r>
      </w:del>
      <w:del w:id="200141" w:author="Claude" w:date="2026-09-27T12:00:00Z">
        <w:r>
          <w:delText xml:space="preserve"> If lawyers focus exclusively on selecting the optimal </w:delText>
        </w:r>
      </w:del>
      <w:del w:id="200142" w:author="Claude" w:date="2026-09-27T12:00:00Z">
        <w:r>
          <w:lastRenderedPageBreak/>
          <w:delText>external forum rather than scrutinizing their claims, “the motivation to achieve a certain case outcome may lead lawyers to discount the assessment of the external party if it does not fit with their preferred belief.”</w:delText>
        </w:r>
      </w:del>
      <w:del w:id="200143" w:author="Claude" w:date="2026-09-27T12:00:00Z">
        <w:r>
          <w:rPr>
            <w:rStyle w:val="FootnoteReference"/>
            <w:color w:val="000000" w:themeColor="text1"/>
          </w:rPr>
          <w:footnoteReference w:id="578"/>
        </w:r>
      </w:del>
      <w:del w:id="200144" w:author="Claude" w:date="2026-09-27T12:00:00Z">
        <w:r>
          <w:delText xml:space="preserve"> Even if an attorney is not rushing into the courtroom, the trouble remains: “to be really good at doing law, one has to have serious blind spots and a stunningly selective sense of curiosity.”</w:delText>
        </w:r>
      </w:del>
      <w:del w:id="200145" w:author="Claude" w:date="2026-09-27T12:00:00Z">
        <w:r>
          <w:rPr>
            <w:rStyle w:val="FootnoteReference"/>
            <w:color w:val="000000" w:themeColor="text1"/>
          </w:rPr>
          <w:footnoteReference w:id="579"/>
        </w:r>
      </w:del>
      <w:del w:id="200146" w:author="Claude" w:date="2026-09-27T12:00:00Z">
        <w:r>
          <w:delText xml:space="preserve"> And some of the most high-profile senior partners excel at “dismissing or reframing adverse precedent that fails to suit the position they want to take.”</w:delText>
        </w:r>
      </w:del>
      <w:del w:id="200147" w:author="Claude" w:date="2026-09-27T12:00:00Z">
        <w:r>
          <w:rPr>
            <w:rStyle w:val="FootnoteReference"/>
            <w:color w:val="000000" w:themeColor="text1"/>
          </w:rPr>
          <w:footnoteReference w:id="580"/>
        </w:r>
      </w:del>
      <w:del w:id="200148" w:author="Claude" w:date="2026-09-27T12:00:00Z">
        <w:r>
          <w:delText xml:space="preserve"> </w:delText>
        </w:r>
      </w:del>
    </w:p>
    <w:p w14:paraId="30BE73FF" w14:textId="77777777" w:rsidR="00152091" w:rsidRPr="00A9375B" w:rsidRDefault="00BE0FAD" w:rsidP="003D74D8">
      <w:pPr>
        <w:spacing w:line="480" w:lineRule="auto"/>
        <w:ind w:firstLine="360"/>
        <w:jc w:val="both"/>
        <w:rPr>
          <w:iCs/>
        </w:rPr>
      </w:pPr>
      <w:r>
        <w:rPr>
          <w:iCs/>
        </w:rPr>
        <w:t xml:space="preserve">While it is not a moment I celebrate, the void left by American history has allowed me to propose a modern QCM. Sometimes, if you cannot compel an action, you can incentivize it. With the American ADR model, I cannot create a QCM that would compel lawyers to test the strength of their claim, but I can </w:t>
      </w:r>
      <w:r>
        <w:rPr>
          <w:i/>
        </w:rPr>
        <w:t>incentivize</w:t>
      </w:r>
      <w:r>
        <w:rPr>
          <w:iCs/>
        </w:rPr>
        <w:t xml:space="preserve"> them to do so. What I suggest below will not only improve a Deliberative Body’s legal outputs (in furtherance of their zealous advocacy), but also, lawyers will be pleased to know, allow them to bill their time for my pre-filing scrutiny (in furtherance of our disputing culture, where even weak cases are monetized). I promised in this Note’s introduction that no dramatic renovation was required to see my suggestions realized, and this section stays true to my word. Put simply, I suggest Deliberative Bodies can restore the original meaning of Alternative Dispute Resolution by cultivating authentic dissent that scrutinizes whether a case needs to be Externalized at all, and that in doing so, they will counteract the cognitive biases that </w:t>
      </w:r>
      <w:r>
        <w:rPr>
          <w:iCs/>
        </w:rPr>
        <w:lastRenderedPageBreak/>
        <w:t>the absence of historical QCMs has left free to compound unchecked. Research supports the feasibility, effectiveness, and efficiency of implementing my QCM without compromising a Deliberative Body’s zealous advocacy for its clients, profit capabilities, or pro bono/social justice goals.</w:t>
      </w:r>
      <w:r>
        <w:rPr>
          <w:rStyle w:val="FootnoteReference"/>
          <w:iCs/>
        </w:rPr>
        <w:footnoteReference w:id="581"/>
      </w:r>
      <w:r>
        <w:rPr>
          <w:iCs/>
        </w:rPr>
        <w:t xml:space="preserve"> The point is not to filter claims along a binary path of formal or informal forums, but for cases bound for the formal system, like </w:t>
      </w:r>
      <w:proofErr w:type="spellStart"/>
      <w:r>
        <w:rPr>
          <w:i/>
        </w:rPr>
        <w:t>Skrmetti</w:t>
      </w:r>
      <w:proofErr w:type="spellEnd"/>
      <w:r>
        <w:rPr>
          <w:iCs/>
        </w:rPr>
        <w:t>, my QCM should ensure the case enters court without untested assumptions and unchecked biases.</w:t>
      </w:r>
      <w:r>
        <w:rPr>
          <w:rStyle w:val="FootnoteReference"/>
          <w:color w:val="000000" w:themeColor="text1"/>
        </w:rPr>
        <w:footnoteReference w:id="582"/>
      </w:r>
      <w:r>
        <w:rPr>
          <w:iCs/>
        </w:rPr>
        <w:t xml:space="preserve"> My QCM requires only a psychologically safe work environment where one feels safe to provide authentic dissent, as</w:t>
      </w:r>
      <w:r>
        <w:t xml:space="preserve"> </w:t>
      </w:r>
      <w:r>
        <w:rPr>
          <w:color w:val="000000" w:themeColor="text1"/>
        </w:rPr>
        <w:t>a diverse work environment that values uncomfortable, authentic dissenting voices over contrived harmony,</w:t>
      </w:r>
      <w:r>
        <w:rPr>
          <w:rStyle w:val="FootnoteReference"/>
          <w:color w:val="000000" w:themeColor="text1"/>
        </w:rPr>
        <w:footnoteReference w:id="583"/>
      </w:r>
      <w:r>
        <w:rPr>
          <w:color w:val="000000" w:themeColor="text1"/>
        </w:rPr>
        <w:t xml:space="preserve"> will encourage employees to dissent against</w:t>
      </w:r>
      <w:r>
        <w:rPr>
          <w:lang w:bidi="en-US"/>
        </w:rPr>
        <w:t xml:space="preserve"> “what [employees] perceive as the prevailing ‘climate of opinion.’” (majority viewpoint).</w:t>
      </w:r>
      <w:r>
        <w:rPr>
          <w:rStyle w:val="FootnoteReference"/>
        </w:rPr>
        <w:footnoteReference w:id="584"/>
      </w:r>
      <w:r>
        <w:rPr>
          <w:iCs/>
        </w:rPr>
        <w:t xml:space="preserve"> </w:t>
      </w:r>
    </w:p>
    <w:p w14:paraId="1574C559" w14:textId="77777777" w:rsidR="00D879FE" w:rsidRDefault="00000000">
      <w:pPr>
        <w:pStyle w:val="BodyTextFirstIndent"/>
        <w:spacing w:line="480" w:lineRule="auto"/>
        <w:jc w:val="both"/>
        <w:rPr>
          <w:del w:id="200160" w:author="Claude" w:date="2026-09-27T12:00:00Z"/>
        </w:rPr>
      </w:pPr>
      <w:del w:id="200150" w:author="Claude" w:date="2026-09-27T12:00:00Z">
        <w:r>
          <w:delText xml:space="preserve">Authentic dissent cannot simply be mandated; it only emerges when team members operate with a high degree of psychological safety—defined as the shared conviction that the group will welcome unfiltered questions, the identification of risks, and the disclosure of strategic </w:delText>
        </w:r>
      </w:del>
      <w:del w:id="200151" w:author="Claude" w:date="2026-09-27T12:00:00Z">
        <w:r>
          <w:lastRenderedPageBreak/>
          <w:delText>uncertainties without the threat of professional or interpersonal retribution.</w:delText>
        </w:r>
      </w:del>
      <w:del w:id="200152" w:author="Claude" w:date="2026-09-27T12:00:00Z">
        <w:r>
          <w:rPr>
            <w:rStyle w:val="FootnoteReference"/>
            <w:color w:val="000000" w:themeColor="text1"/>
          </w:rPr>
          <w:footnoteReference w:id="585"/>
        </w:r>
      </w:del>
      <w:del w:id="200153" w:author="Claude" w:date="2026-09-27T12:00:00Z">
        <w:r>
          <w:delText xml:space="preserve"> Unfortunately, a high degree of psychological safety “is the exception in organizations, not the norm.”</w:delText>
        </w:r>
      </w:del>
      <w:del w:id="200154" w:author="Claude" w:date="2026-09-27T12:00:00Z">
        <w:r>
          <w:rPr>
            <w:rStyle w:val="FootnoteReference"/>
            <w:color w:val="000000" w:themeColor="text1"/>
          </w:rPr>
          <w:footnoteReference w:id="586"/>
        </w:r>
      </w:del>
      <w:del w:id="200155" w:author="Claude" w:date="2026-09-27T12:00:00Z">
        <w:r>
          <w:delText xml:space="preserve"> As this section develops, cultivating this necessary dissent requires leaders who actively invite critique, a firm culture that rosters and celebrates cognitively diverse perspectives, and structured case consultations designed to ensure that the collective intelligence of the entire team informs the decision to externalize a claim.</w:delText>
        </w:r>
      </w:del>
      <w:del w:id="200156" w:author="Claude" w:date="2026-09-27T12:00:00Z">
        <w:r>
          <w:rPr>
            <w:rStyle w:val="FootnoteReference"/>
            <w:color w:val="000000" w:themeColor="text1"/>
          </w:rPr>
          <w:footnoteReference w:id="587"/>
        </w:r>
      </w:del>
      <w:del w:id="200157" w:author="Claude" w:date="2026-09-27T12:00:00Z">
        <w:r>
          <w:delText xml:space="preserve"> A Deliberative Body serves its own interest by considering my suggestions, as research demonstrates that a team’s output quality improves through the inclusion of authentic dissent.</w:delText>
        </w:r>
      </w:del>
      <w:del w:id="200158" w:author="Claude" w:date="2026-09-27T12:00:00Z">
        <w:r>
          <w:rPr>
            <w:rStyle w:val="FootnoteReference"/>
            <w:color w:val="000000" w:themeColor="text1"/>
          </w:rPr>
          <w:footnoteReference w:id="588"/>
        </w:r>
      </w:del>
      <w:del w:id="200159" w:author="Claude" w:date="2026-09-27T12:00:00Z">
        <w:r>
          <w:delText xml:space="preserve"> </w:delText>
        </w:r>
      </w:del>
    </w:p>
    <w:p w14:paraId="3BC3944A" w14:textId="3B8014F6" w:rsidR="00152091" w:rsidRPr="00A9375B" w:rsidRDefault="00152091" w:rsidP="003D74D8">
      <w:pPr>
        <w:pStyle w:val="BodyText"/>
        <w:spacing w:after="0" w:line="480" w:lineRule="auto"/>
        <w:ind w:firstLine="360"/>
        <w:jc w:val="both"/>
        <w:rPr>
          <w:iCs/>
        </w:rPr>
      </w:pPr>
      <w:r>
        <w:rPr>
          <w:iCs/>
        </w:rPr>
        <w:lastRenderedPageBreak/>
        <w:t xml:space="preserve">My proposed QCM is not as easy as assigning one person the role of “dissenter.” </w:t>
      </w:r>
      <w:r>
        <w:t>Empirical studies confirm that team members recognize the comments’ artificiality and fail to take the critique seriously, sometimes even increasing their confidence in their original theory.</w:t>
      </w:r>
      <w:r>
        <w:rPr>
          <w:rStyle w:val="FootnoteReference"/>
        </w:rPr>
        <w:footnoteReference w:id="589"/>
      </w:r>
      <w:r>
        <w:t xml:space="preserve"> Mill made the point, and he made it by pointing at Cicero. The objections must come, he wrote, from “persons who actually believe them; who defend them in earnest, and do their very utmost for them,” for “the weakest part of what everybody says in </w:t>
      </w:r>
      <w:proofErr w:type="spellStart"/>
      <w:r>
        <w:t>defence</w:t>
      </w:r>
      <w:proofErr w:type="spellEnd"/>
      <w:r>
        <w:t xml:space="preserve"> of his opinion, is what he intends as a reply to antagonists.”</w:t>
      </w:r>
      <w:r>
        <w:rPr>
          <w:rStyle w:val="FootnoteReference"/>
        </w:rPr>
        <w:footnoteReference w:id="590"/>
      </w:r>
      <w:r>
        <w:t xml:space="preserve"> Stanley Fish asks the question that ends the matter: “Just how does one distance oneself from oneself? With what part of oneself can one be tentative about oneself?”</w:t>
      </w:r>
      <w:r>
        <w:rPr>
          <w:rStyle w:val="FootnoteReference"/>
        </w:rPr>
        <w:footnoteReference w:id="591"/>
      </w:r>
      <w:r>
        <w:t xml:space="preserve"> Directing one person to produce a dissenting viewpoint artificially assumes that person has the freethinking personality type needed to challenge the team’s assumptions truly.</w:t>
      </w:r>
      <w:r>
        <w:rPr>
          <w:rStyle w:val="FootnoteReference"/>
        </w:rPr>
        <w:footnoteReference w:id="592"/>
      </w:r>
      <w:r>
        <w:t xml:space="preserve"> In contrast, when dissent is natural, benefits from dissenting opinions arise regardless of whether the dissenter is correct because dissent itself provokes reappraisal and the identification of legal theories that would otherwise go unexamined.</w:t>
      </w:r>
      <w:r>
        <w:rPr>
          <w:rStyle w:val="FootnoteReference"/>
        </w:rPr>
        <w:footnoteReference w:id="593"/>
      </w:r>
      <w:r>
        <w:t xml:space="preserve"> One study further found that “those facing authentic dissent showed a balance in considering both sides of the issue [but] those facing a[n] [assigned] devil’s advocate did not.”</w:t>
      </w:r>
      <w:r>
        <w:rPr>
          <w:rStyle w:val="FootnoteReference"/>
        </w:rPr>
        <w:footnoteReference w:id="594"/>
      </w:r>
    </w:p>
    <w:p w14:paraId="591CB41F" w14:textId="77777777" w:rsidR="00152091" w:rsidRPr="00A9375B" w:rsidRDefault="00152091" w:rsidP="003D74D8">
      <w:pPr>
        <w:pStyle w:val="BodyTextFirstIndent"/>
        <w:spacing w:line="480" w:lineRule="auto"/>
        <w:jc w:val="both"/>
      </w:pPr>
      <w:r>
        <w:lastRenderedPageBreak/>
        <w:t>The natural dissenter’s individual contributions may also be superior. As Stefan Schulz-Hardt and his coauthors hypothesized, “a person who argues for a position he/she is convinced of (genuine dissent) should find better arguments than a person who argues for a position because his/her role calls for it (contrived dissent).”</w:t>
      </w:r>
      <w:r>
        <w:rPr>
          <w:rStyle w:val="FootnoteReference"/>
        </w:rPr>
        <w:footnoteReference w:id="595"/>
      </w:r>
      <w:r>
        <w:t xml:space="preserve"> Natural dissent means genuine disagreement about case theory,</w:t>
      </w:r>
      <w:r>
        <w:rPr>
          <w:rStyle w:val="FootnoteReference"/>
        </w:rPr>
        <w:footnoteReference w:id="596"/>
      </w:r>
      <w:r>
        <w:t xml:space="preserve"> and its value has been recorded extensively across writings and experiments, enabling one to speak about its benefits with certainty: </w:t>
      </w:r>
    </w:p>
    <w:p w14:paraId="3D36EFEA" w14:textId="77777777" w:rsidR="00152091" w:rsidRPr="00A9375B" w:rsidRDefault="00152091" w:rsidP="003D74D8">
      <w:pPr>
        <w:pStyle w:val="BodyTextFirstIndent2"/>
        <w:spacing w:line="480" w:lineRule="auto"/>
        <w:ind w:left="720" w:right="720" w:firstLine="0"/>
        <w:jc w:val="both"/>
      </w:pPr>
      <w:r>
        <w:t>“Dissent, as has been repeatedly documented, ‘opens’ the mind. People search for information, consider more options, and, on balance, make better decisions and are more creative. Dissenters, rather than rogues or obstacles, provide value: They liberate people to say what they believe, and they stimulate divergent and creative thought even when they are wrong.”</w:t>
      </w:r>
      <w:r>
        <w:rPr>
          <w:rStyle w:val="FootnoteReference"/>
        </w:rPr>
        <w:footnoteReference w:id="597"/>
      </w:r>
      <w:r>
        <w:t xml:space="preserve"> </w:t>
      </w:r>
    </w:p>
    <w:p w14:paraId="7F9EB800" w14:textId="77777777" w:rsidR="00926E86" w:rsidRPr="00A9375B" w:rsidRDefault="00152091" w:rsidP="003D74D8">
      <w:pPr>
        <w:pStyle w:val="BodyTextFirstIndent"/>
        <w:spacing w:line="480" w:lineRule="auto"/>
        <w:jc w:val="both"/>
      </w:pPr>
      <w:r>
        <w:t xml:space="preserve">Instead of mere assignment, leaders can enact my proposed QCM by composing cognitively diverse teams, conducting themselves in ways that promote psychological safety, and implementing structured debates. Together, these three measures will bring real value to a Deliberative Body’s clients by disrupting groupthink, which inflates decision-makers’ confidence </w:t>
      </w:r>
      <w:r>
        <w:lastRenderedPageBreak/>
        <w:t>without improving the quality of their decisions.</w:t>
      </w:r>
      <w:r>
        <w:rPr>
          <w:rStyle w:val="FootnoteReference"/>
        </w:rPr>
        <w:footnoteReference w:id="598"/>
      </w:r>
      <w:r>
        <w:t xml:space="preserve"> It is no wonder, then, that firms embracing a culture designed to combat groupthink are successful. Cass Sunstein and Reid Hastie report that “in the United States, the highest-performing companies tend to have ‘extremely contentious boards that regard dissent as an obligation’ and that ‘have a good fight now and then.’”</w:t>
      </w:r>
      <w:r>
        <w:rPr>
          <w:rStyle w:val="FootnoteReference"/>
        </w:rPr>
        <w:footnoteReference w:id="599"/>
      </w:r>
      <w:r>
        <w:t xml:space="preserve"> Further, Randall Kiser’s study of 78 elite trial lawyers found that a “special skill of the study attorneys is their deliberate use of multiple sources to maintain connectedness and test their opinions.”</w:t>
      </w:r>
      <w:r>
        <w:rPr>
          <w:rStyle w:val="FootnoteReference"/>
        </w:rPr>
        <w:footnoteReference w:id="600"/>
      </w:r>
      <w:r>
        <w:t xml:space="preserve"> Organizations adopting a less favorable attitude towards dissent are less successful. The intelligence community has long recognized that “failure to question a consensus judgment, or a long-established mental model, has been a consistent feature of most significant intelligence failures.”</w:t>
      </w:r>
      <w:r>
        <w:rPr>
          <w:rStyle w:val="FootnoteReference"/>
        </w:rPr>
        <w:footnoteReference w:id="601"/>
      </w:r>
      <w:r>
        <w:t xml:space="preserve"> Research indicates that the absence of dissent raises the risk of error, in part because leaders may fall prey to the fallacy of interpreting silence as agreement.</w:t>
      </w:r>
      <w:r>
        <w:rPr>
          <w:rStyle w:val="FootnoteReference"/>
          <w:color w:val="000000" w:themeColor="text1"/>
        </w:rPr>
        <w:footnoteReference w:id="602"/>
      </w:r>
    </w:p>
    <w:p w14:paraId="0705C998" w14:textId="3BB0ECAC" w:rsidR="00926E86" w:rsidRPr="00A9375B" w:rsidRDefault="00926E86" w:rsidP="003D74D8">
      <w:pPr>
        <w:pStyle w:val="BodyTextFirstIndent"/>
        <w:spacing w:line="480" w:lineRule="auto"/>
        <w:jc w:val="both"/>
      </w:pPr>
      <w:r>
        <w:t>Although the three suggestions below are directed toward leaders, every team must adopt a René Descartes-type disposition where “every assumption [one] hold[s], every claim, every assertion, every single one of them must be challenged.”</w:t>
      </w:r>
      <w:r>
        <w:rPr>
          <w:rStyle w:val="FootnoteReference"/>
        </w:rPr>
        <w:footnoteReference w:id="603"/>
      </w:r>
      <w:r>
        <w:t xml:space="preserve"> Returning to Section III’s treatment of the Constitutional Convention (which I revisit periodically below), this was the attitude of the </w:t>
      </w:r>
      <w:r>
        <w:lastRenderedPageBreak/>
        <w:t xml:space="preserve">delegates, exemplified by Benjamin Franklin’s speech to his peers where he claimed “I have experienced many Instances of being </w:t>
      </w:r>
      <w:proofErr w:type="spellStart"/>
      <w:r>
        <w:t>oblig’d</w:t>
      </w:r>
      <w:proofErr w:type="spellEnd"/>
      <w:r>
        <w:t>, by better Information or fuller Consideration, to change Opinions even on important Subjects, which I once thought right, but found to be otherwise.”</w:t>
      </w:r>
      <w:r>
        <w:rPr>
          <w:rStyle w:val="FootnoteReference"/>
        </w:rPr>
        <w:footnoteReference w:id="604"/>
      </w:r>
      <w:r>
        <w:t xml:space="preserve">   </w:t>
      </w:r>
    </w:p>
    <w:p w14:paraId="04138DC9" w14:textId="77777777" w:rsidR="00481776" w:rsidRPr="00A9375B" w:rsidRDefault="00481776" w:rsidP="003D74D8">
      <w:pPr>
        <w:spacing w:line="480" w:lineRule="auto"/>
        <w:jc w:val="both"/>
        <w:rPr>
          <w:i/>
          <w:iCs/>
        </w:rPr>
      </w:pPr>
    </w:p>
    <w:p w14:paraId="7D330905" w14:textId="77777777" w:rsidR="00394356" w:rsidRPr="00A9375B" w:rsidRDefault="00394356" w:rsidP="003D74D8">
      <w:pPr>
        <w:pStyle w:val="ListParagraph"/>
        <w:numPr>
          <w:ilvl w:val="0"/>
          <w:numId w:val="32"/>
        </w:numPr>
        <w:spacing w:line="480" w:lineRule="auto"/>
        <w:jc w:val="both"/>
        <w:rPr>
          <w:i/>
          <w:iCs/>
        </w:rPr>
      </w:pPr>
      <w:r>
        <w:rPr>
          <w:i/>
          <w:iCs/>
        </w:rPr>
        <w:t>Leaders’ Responsibility to Compose Cognitively Diverse Teams</w:t>
      </w:r>
    </w:p>
    <w:p w14:paraId="29EDFD14" w14:textId="77777777" w:rsidR="00926E86" w:rsidRPr="00A9375B" w:rsidRDefault="00926E86" w:rsidP="003D74D8">
      <w:pPr>
        <w:spacing w:line="480" w:lineRule="auto"/>
        <w:jc w:val="both"/>
        <w:rPr>
          <w:iCs/>
        </w:rPr>
      </w:pPr>
    </w:p>
    <w:p w14:paraId="2A12B046" w14:textId="77777777" w:rsidR="00A30EBC" w:rsidRPr="00A9375B" w:rsidRDefault="00926E86" w:rsidP="003D74D8">
      <w:pPr>
        <w:pStyle w:val="BodyTextFirstIndent"/>
        <w:spacing w:line="480" w:lineRule="auto"/>
        <w:jc w:val="both"/>
      </w:pPr>
      <w:r>
        <w:t>Although much has been said about Diversity, Equity, and Inclusion, affirmative action, and other forms of identity-based diversity,</w:t>
      </w:r>
      <w:r>
        <w:rPr>
          <w:rStyle w:val="FootnoteReference"/>
        </w:rPr>
        <w:footnoteReference w:id="605"/>
      </w:r>
      <w:r>
        <w:t xml:space="preserve"> scant attention has been paid to cognitive diversity. Lu Hong and Scott Page find that a team of randomly selected, cognitively diverse problem-solvers can outperform a team of the best individual performers because the gains in individual abilities are more than offset by the loss of cognitive diversity.</w:t>
      </w:r>
      <w:r>
        <w:rPr>
          <w:rStyle w:val="FootnoteReference"/>
        </w:rPr>
        <w:footnoteReference w:id="606"/>
      </w:r>
      <w:r>
        <w:t xml:space="preserve"> To use dissent mechanisms effectively, legal leaders must deliberately compose litigation teams based on differences in legal education, practice experience, and jurisprudential perspective—rather than relying solely on law school </w:t>
      </w:r>
      <w:r>
        <w:lastRenderedPageBreak/>
        <w:t>pedigree or partnership track.</w:t>
      </w:r>
      <w:r>
        <w:rPr>
          <w:rStyle w:val="FootnoteReference"/>
        </w:rPr>
        <w:footnoteReference w:id="607"/>
      </w:r>
      <w:r>
        <w:t xml:space="preserve"> This form of diversity is different from “demographic diversity, [which] does not ensure diversity of perspective [because] the fact that a group includes men and women, a mix of races and ethnicities, people of different educational and socioeconomic levels, and so forth, doesn’t ensure heterogeneity of opinion or perspective.”</w:t>
      </w:r>
      <w:r>
        <w:rPr>
          <w:rStyle w:val="FootnoteReference"/>
        </w:rPr>
        <w:footnoteReference w:id="608"/>
      </w:r>
      <w:r>
        <w:t xml:space="preserve"> </w:t>
      </w:r>
    </w:p>
    <w:p w14:paraId="2A013643" w14:textId="77777777" w:rsidR="00E03A6E" w:rsidRPr="00A9375B" w:rsidRDefault="00B04266" w:rsidP="003D74D8">
      <w:pPr>
        <w:pStyle w:val="BodyTextFirstIndent"/>
        <w:spacing w:line="480" w:lineRule="auto"/>
        <w:jc w:val="both"/>
      </w:pPr>
      <w:r>
        <w:t>Every litigation team should comprise members who identify with a wide range of jurisprudential schools of thought—from originalists to progressive/</w:t>
      </w:r>
      <w:proofErr w:type="spellStart"/>
      <w:r>
        <w:t>purposivists</w:t>
      </w:r>
      <w:proofErr w:type="spellEnd"/>
      <w:r>
        <w:t xml:space="preserve"> to formalists.</w:t>
      </w:r>
      <w:r>
        <w:rPr>
          <w:rStyle w:val="FootnoteReference"/>
        </w:rPr>
        <w:footnoteReference w:id="609"/>
      </w:r>
      <w:r>
        <w:t xml:space="preserve"> In doing so, firms must depart from “try[</w:t>
      </w:r>
      <w:proofErr w:type="spellStart"/>
      <w:r>
        <w:t>ing</w:t>
      </w:r>
      <w:proofErr w:type="spellEnd"/>
      <w:r>
        <w:t xml:space="preserve">] to create cohesion, harmony and alignment . . . but . . . not </w:t>
      </w:r>
      <w:proofErr w:type="spellStart"/>
      <w:r>
        <w:t>embrac</w:t>
      </w:r>
      <w:proofErr w:type="spellEnd"/>
      <w:r>
        <w:t>[</w:t>
      </w:r>
      <w:proofErr w:type="spellStart"/>
      <w:r>
        <w:t>ing</w:t>
      </w:r>
      <w:proofErr w:type="spellEnd"/>
      <w:r>
        <w:t>] the idea of welcoming dissent.”</w:t>
      </w:r>
      <w:r>
        <w:rPr>
          <w:rStyle w:val="FootnoteReference"/>
        </w:rPr>
        <w:footnoteReference w:id="610"/>
      </w:r>
      <w:r>
        <w:t xml:space="preserve"> Cognitively diverse teams “are more creative, achieve better negotiation results and display stronger problem-solving capabilities than homogeneous teams,” and “[</w:t>
      </w:r>
      <w:proofErr w:type="spellStart"/>
      <w:r>
        <w:t>i</w:t>
      </w:r>
      <w:proofErr w:type="spellEnd"/>
      <w:r>
        <w:t>]n attempting to apply uniform recruiting standards, law firms may be promoting uniform thinking patterns to the detriment of their clients.”</w:t>
      </w:r>
      <w:r>
        <w:rPr>
          <w:rStyle w:val="FootnoteReference"/>
        </w:rPr>
        <w:footnoteReference w:id="611"/>
      </w:r>
      <w:r>
        <w:t xml:space="preserve"> Without cognitive </w:t>
      </w:r>
      <w:r>
        <w:lastRenderedPageBreak/>
        <w:t>diversity, teams will satisfy the homogeneity condition of groupthink and be resistant to pre-filing scrutiny.</w:t>
      </w:r>
      <w:r>
        <w:rPr>
          <w:rStyle w:val="FootnoteReference"/>
        </w:rPr>
        <w:footnoteReference w:id="612"/>
      </w:r>
    </w:p>
    <w:p w14:paraId="0B8B7119" w14:textId="416EABB3" w:rsidR="00481776" w:rsidRPr="00A9375B" w:rsidRDefault="00000000" w:rsidP="003D74D8">
      <w:pPr>
        <w:pStyle w:val="BodyTextFirstIndent"/>
        <w:spacing w:line="480" w:lineRule="auto"/>
        <w:jc w:val="both"/>
      </w:pPr>
      <w:r>
        <w:t>Returning to the Convention, Cass Sunstein argues that the “principal contribution of the framers of the American Constitution lay…in their insistence that diversity is an affirmative good, likely to improve deliberation.”</w:t>
      </w:r>
      <w:r>
        <w:rPr>
          <w:rStyle w:val="FootnoteReference"/>
        </w:rPr>
        <w:footnoteReference w:id="613"/>
      </w:r>
      <w:r>
        <w:t xml:space="preserve"> Their backgrounds were similar, as Section III noted. But the American colonies were far from a monolithic entity; they evolved into thirteen separate legal systems, shaped by distinct geographies, religious ideologies, and settlement dates, effectively serving as unique political and legal laboratories before 1787.</w:t>
      </w:r>
      <w:r>
        <w:rPr>
          <w:rStyle w:val="FootnoteReference"/>
        </w:rPr>
        <w:footnoteReference w:id="614"/>
      </w:r>
      <w:r>
        <w:t xml:space="preserve"> This created a form of cognitive diversity,</w:t>
      </w:r>
      <w:r>
        <w:rPr>
          <w:rStyle w:val="FootnoteReference"/>
        </w:rPr>
        <w:footnoteReference w:id="615"/>
      </w:r>
      <w:r>
        <w:t xml:space="preserve"> where “the delegates had experiences with twelve very different state political systems, [and] could pool solution proposals with, in some cases, remarkable results.”</w:t>
      </w:r>
      <w:r>
        <w:rPr>
          <w:rStyle w:val="FootnoteReference"/>
        </w:rPr>
        <w:footnoteReference w:id="616"/>
      </w:r>
      <w:r>
        <w:t xml:space="preserve"> The delegates were also, in our terms, interpretively multilingual. Justice Story complained that in the founding generation “the rules of interpretation have often been shifted to suit the emergency,”</w:t>
      </w:r>
      <w:r>
        <w:rPr>
          <w:rStyle w:val="FootnoteReference"/>
        </w:rPr>
        <w:footnoteReference w:id="617"/>
      </w:r>
      <w:r>
        <w:t xml:space="preserve"> </w:t>
      </w:r>
      <w:r>
        <w:lastRenderedPageBreak/>
        <w:t>and a recent study of the period concludes that the era “was distinguished by its interpretive pluralism, not interpretive consensus.”</w:t>
      </w:r>
      <w:r>
        <w:rPr>
          <w:rStyle w:val="FootnoteReference"/>
        </w:rPr>
        <w:footnoteReference w:id="618"/>
      </w:r>
      <w:r>
        <w:t xml:space="preserve"> </w:t>
      </w:r>
    </w:p>
    <w:p w14:paraId="7F7E8DDE" w14:textId="77777777" w:rsidR="00715AD7" w:rsidRPr="00A9375B" w:rsidRDefault="00715AD7" w:rsidP="003D74D8">
      <w:pPr>
        <w:pStyle w:val="BodyTextFirstIndent2"/>
        <w:spacing w:line="480" w:lineRule="auto"/>
        <w:ind w:firstLine="0"/>
        <w:jc w:val="both"/>
      </w:pPr>
    </w:p>
    <w:p w14:paraId="351569EC" w14:textId="77777777" w:rsidR="00394356" w:rsidRPr="00A9375B" w:rsidRDefault="00006317" w:rsidP="003D74D8">
      <w:pPr>
        <w:pStyle w:val="ListParagraph"/>
        <w:numPr>
          <w:ilvl w:val="0"/>
          <w:numId w:val="32"/>
        </w:numPr>
        <w:spacing w:line="480" w:lineRule="auto"/>
        <w:jc w:val="both"/>
        <w:rPr>
          <w:i/>
          <w:iCs/>
        </w:rPr>
      </w:pPr>
      <w:r>
        <w:rPr>
          <w:i/>
          <w:iCs/>
        </w:rPr>
        <w:t>Legal Leaders’ Responsibility to be Cognizant of Psychological and Structural Barriers</w:t>
      </w:r>
    </w:p>
    <w:p w14:paraId="118D4859" w14:textId="77777777" w:rsidR="005D5035" w:rsidRPr="00A9375B" w:rsidRDefault="005D5035" w:rsidP="003D74D8">
      <w:pPr>
        <w:spacing w:line="480" w:lineRule="auto"/>
        <w:ind w:left="360"/>
        <w:jc w:val="both"/>
      </w:pPr>
    </w:p>
    <w:p w14:paraId="741D27FD" w14:textId="77777777" w:rsidR="00926E86" w:rsidRPr="00A9375B" w:rsidRDefault="00926E86" w:rsidP="003D74D8">
      <w:pPr>
        <w:pStyle w:val="BodyTextFirstIndent"/>
        <w:spacing w:line="480" w:lineRule="auto"/>
        <w:jc w:val="both"/>
      </w:pPr>
      <w:r>
        <w:t>Psychological safety is essential to bringing out the contributions of a cognitively diverse team, as only when employees trust their environment do they “feel reinforced, validated, and supported, even when [their] ideas are not always accepted [and] as a result, are far more likely to plunge in, to be creative and generous with [their] talents.”</w:t>
      </w:r>
      <w:r>
        <w:rPr>
          <w:rStyle w:val="FootnoteReference"/>
        </w:rPr>
        <w:footnoteReference w:id="619"/>
      </w:r>
      <w:r>
        <w:t xml:space="preserve"> Authentic dissent depends on psychological safety, as team members will speak up only when their organization affirmatively recognizes and values diverse intellectual perspectives.</w:t>
      </w:r>
      <w:r>
        <w:rPr>
          <w:rStyle w:val="FootnoteReference"/>
        </w:rPr>
        <w:footnoteReference w:id="620"/>
      </w:r>
      <w:r>
        <w:t xml:space="preserve"> Unfortunately, at present, “[t]his idea of psychological safety is not talked about much (or enough) in legal training,” even though “unbridled and unchecked fear blocks learning and performance.”</w:t>
      </w:r>
      <w:r>
        <w:rPr>
          <w:rStyle w:val="FootnoteReference"/>
        </w:rPr>
        <w:footnoteReference w:id="621"/>
      </w:r>
      <w:r>
        <w:t xml:space="preserve"> </w:t>
      </w:r>
    </w:p>
    <w:p w14:paraId="1D9414D1" w14:textId="77777777" w:rsidR="00117252" w:rsidRPr="00A9375B" w:rsidRDefault="00BF64C5" w:rsidP="003D74D8">
      <w:pPr>
        <w:pStyle w:val="BodyTextFirstIndent2"/>
        <w:spacing w:line="480" w:lineRule="auto"/>
        <w:ind w:left="0"/>
        <w:jc w:val="both"/>
      </w:pPr>
      <w:r>
        <w:t xml:space="preserve">When team members are reluctant to contribute, they may self-censor due to fear of concrete professional consequences—worrying that by raising concerns about case strategy they “will be viewed as a troublemaker or complainer” and will cause them to “lose respect or support from </w:t>
      </w:r>
      <w:r>
        <w:lastRenderedPageBreak/>
        <w:t>others, receive a negative performance review, get assigned to undesirable projects, not be considered for promotion, or even get fired.”</w:t>
      </w:r>
      <w:r>
        <w:rPr>
          <w:rStyle w:val="FootnoteReference"/>
        </w:rPr>
        <w:footnoteReference w:id="622"/>
      </w:r>
      <w:r>
        <w:t xml:space="preserve"> These fears manifest,</w:t>
      </w:r>
      <w:r>
        <w:rPr>
          <w:rStyle w:val="FootnoteReference"/>
        </w:rPr>
        <w:footnoteReference w:id="623"/>
      </w:r>
      <w:r>
        <w:t xml:space="preserve"> as a dissenter—even when their dissent was correct or otherwise beneficial to the group—may nonetheless face those consequences.</w:t>
      </w:r>
      <w:r>
        <w:rPr>
          <w:rStyle w:val="FootnoteReference"/>
        </w:rPr>
        <w:footnoteReference w:id="624"/>
      </w:r>
      <w:r>
        <w:t xml:space="preserve"> James </w:t>
      </w:r>
      <w:proofErr w:type="spellStart"/>
      <w:r>
        <w:t>Detert</w:t>
      </w:r>
      <w:proofErr w:type="spellEnd"/>
      <w:r>
        <w:t xml:space="preserve"> and Amy Edmondson find that even if a would-be dissenter is not thinking of these explicit consequences, on an implicit, subconscious level, “sometimes unwillingness to speak up is not experienced as [an] intense, discrete fear but rather as a sense of inappropriateness; voice seems risky because it seems wrong or out of place.”</w:t>
      </w:r>
      <w:r>
        <w:rPr>
          <w:rStyle w:val="FootnoteReference"/>
        </w:rPr>
        <w:footnoteReference w:id="625"/>
      </w:r>
      <w:r>
        <w:t xml:space="preserve"> Data reported in popular rather than academic sources indicate that only 29 percent of first-level supervisors believed their firm encouraged employees to express opinions openly, and over 70 percent of employees felt afraid to speak up about problems they encountered at work, citing fear of negative repercussions and the belief that their contributions would be futile.</w:t>
      </w:r>
      <w:r>
        <w:rPr>
          <w:rStyle w:val="FootnoteReference"/>
        </w:rPr>
        <w:footnoteReference w:id="626"/>
      </w:r>
      <w:r>
        <w:t xml:space="preserve">  </w:t>
      </w:r>
    </w:p>
    <w:p w14:paraId="54EF4BCC" w14:textId="77777777" w:rsidR="00926E86" w:rsidRPr="00A9375B" w:rsidRDefault="00BF64C5" w:rsidP="003D74D8">
      <w:pPr>
        <w:pStyle w:val="BodyTextFirstIndent2"/>
        <w:spacing w:line="480" w:lineRule="auto"/>
        <w:ind w:left="0"/>
        <w:jc w:val="both"/>
      </w:pPr>
      <w:r>
        <w:lastRenderedPageBreak/>
        <w:t>Especially when starting, consider “a young lawyer who is prepared to tell senior members of a law firm that their current litigation strategy is way off course. It may well be that the young lawyer will risk her own position inside the firm, and the potential winner—the firm itself—is unwilling to reward that particular malcontent, at least in the short run.”</w:t>
      </w:r>
      <w:r>
        <w:rPr>
          <w:rStyle w:val="FootnoteReference"/>
        </w:rPr>
        <w:footnoteReference w:id="627"/>
      </w:r>
      <w:r>
        <w:t xml:space="preserve"> A primary contributor to the low psychologically safe environment—aside from lack of training—is “the tendency of firms to turn partners into demigods, who must have never made a mistake on the way to their current position.”</w:t>
      </w:r>
      <w:r>
        <w:rPr>
          <w:rStyle w:val="FootnoteReference"/>
        </w:rPr>
        <w:footnoteReference w:id="628"/>
      </w:r>
      <w:r>
        <w:t xml:space="preserve"> Even when dissenting contributions are not ‘mistakes,’ they are viewed as such: </w:t>
      </w:r>
    </w:p>
    <w:p w14:paraId="7B3BC1F3" w14:textId="77777777" w:rsidR="00926E86" w:rsidRPr="00A9375B" w:rsidRDefault="00926E86" w:rsidP="003D74D8">
      <w:pPr>
        <w:pStyle w:val="BodyTextFirstIndent2"/>
        <w:spacing w:line="480" w:lineRule="auto"/>
        <w:ind w:left="720" w:right="720" w:firstLine="0"/>
        <w:jc w:val="both"/>
      </w:pPr>
      <w:r>
        <w:t>“We don’t like disagreement with our beliefs, and we are very capable of inflicting punishment on those who oppose our views when we are in the majority. … Students who are normally polite and tolerant have no trouble laughing at the lone dissenter…he is clearly wrong, he may even be pathological, and he is certainly cold. … Dissenters are rarely liked. The majority will try to convince the dissenter to change and, if unsuccessful, will reject him. … For this reason, daring to dissent takes courage. What is interesting, however, is that this courage, when summoned, is contagious. Dissent can actually increase the likelihood that others will also show courage when faced with consensus in another situation. It is another form of liberation. Dissent can increase the likelihood that we will speak up.”</w:t>
      </w:r>
      <w:r>
        <w:rPr>
          <w:rStyle w:val="FootnoteReference"/>
        </w:rPr>
        <w:footnoteReference w:id="629"/>
      </w:r>
    </w:p>
    <w:p w14:paraId="3E8C763F" w14:textId="77777777" w:rsidR="00926E86" w:rsidRPr="00A9375B" w:rsidRDefault="00926E86" w:rsidP="003D74D8">
      <w:pPr>
        <w:spacing w:line="480" w:lineRule="auto"/>
        <w:ind w:firstLine="360"/>
        <w:jc w:val="both"/>
      </w:pPr>
      <w:r>
        <w:lastRenderedPageBreak/>
        <w:t>Without psychological safety, lawyers will continue to calculate the perceived risk of dissent against the minimal gains of challenging the choice to Externalize.</w:t>
      </w:r>
      <w:bookmarkStart w:id="67" w:name="_Ref217224132"/>
      <w:r>
        <w:rPr>
          <w:rStyle w:val="FootnoteReference"/>
          <w:color w:val="000000" w:themeColor="text1"/>
        </w:rPr>
        <w:footnoteReference w:id="630"/>
      </w:r>
      <w:bookmarkEnd w:id="67"/>
      <w:r>
        <w:t xml:space="preserve"> This dynamic is compounded when consensus within a litigation team is prized and widely recognized by leadership, as self-silencing among associates becomes more likely.</w:t>
      </w:r>
      <w:r>
        <w:rPr>
          <w:rStyle w:val="FootnoteReference"/>
        </w:rPr>
        <w:footnoteReference w:id="631"/>
      </w:r>
      <w:r>
        <w:t xml:space="preserve"> Associates may observe senior partners’ negative reactions to pre-filing case scrutiny and interpret it as evidence that speaking up is futile or dangerous.</w:t>
      </w:r>
      <w:r>
        <w:rPr>
          <w:rStyle w:val="FootnoteReference"/>
        </w:rPr>
        <w:footnoteReference w:id="632"/>
      </w:r>
      <w:r>
        <w:t xml:space="preserve"> When attorneys remain silent, litigation strategy faces the “hidden profile” problem, in which case weaknesses known to individual attorneys go undisclosed because group discussion favors information that members already share and that supports their existing preferences.</w:t>
      </w:r>
      <w:r>
        <w:rPr>
          <w:rStyle w:val="FootnoteReference"/>
        </w:rPr>
        <w:footnoteReference w:id="633"/>
      </w:r>
      <w:r>
        <w:t xml:space="preserve"> “A law firm might press a doomed litigation strategy,” and one of the four usual explanations is that “[g]</w:t>
      </w:r>
      <w:proofErr w:type="spellStart"/>
      <w:r>
        <w:t>roups</w:t>
      </w:r>
      <w:proofErr w:type="spellEnd"/>
      <w:r>
        <w:t xml:space="preserve"> focus on shared information—what everybody knows already—at the expense of unshared information.”</w:t>
      </w:r>
      <w:r>
        <w:rPr>
          <w:rStyle w:val="FootnoteReference"/>
        </w:rPr>
        <w:footnoteReference w:id="634"/>
      </w:r>
      <w:r>
        <w:t xml:space="preserve"> In these situations, studies find “the beneficial effect of dissent on group decision quality” is “mediated primarily by greater discussion intensity and to </w:t>
      </w:r>
      <w:r>
        <w:lastRenderedPageBreak/>
        <w:t>some extent also by less discussion bias in dissent groups.”</w:t>
      </w:r>
      <w:r>
        <w:rPr>
          <w:rStyle w:val="FootnoteReference"/>
        </w:rPr>
        <w:footnoteReference w:id="635"/>
      </w:r>
      <w:r>
        <w:t xml:space="preserve"> And dissent comes out once “a team operates in a psychologically safe environment, [where] every member feels empowered to contribute their thoughts and expertise, leading to more thorough discussions and well-rounded decisions.”</w:t>
      </w:r>
      <w:r>
        <w:rPr>
          <w:rStyle w:val="FootnoteReference"/>
        </w:rPr>
        <w:footnoteReference w:id="636"/>
      </w:r>
    </w:p>
    <w:p w14:paraId="2DA1292D" w14:textId="77777777" w:rsidR="003B04F8" w:rsidRPr="00A9375B" w:rsidRDefault="0089302D" w:rsidP="003D74D8">
      <w:pPr>
        <w:pStyle w:val="BodyTextFirstIndent"/>
        <w:spacing w:line="480" w:lineRule="auto"/>
        <w:jc w:val="both"/>
      </w:pPr>
      <w:r>
        <w:t>Research demonstrates that mere awareness of the factors that inhibit one’s willingness to dissent is insufficient to bring it out.</w:t>
      </w:r>
      <w:r>
        <w:rPr>
          <w:rStyle w:val="FootnoteReference"/>
        </w:rPr>
        <w:footnoteReference w:id="637"/>
      </w:r>
      <w:r>
        <w:t xml:space="preserve"> Leaders therefore have a duty to take proactive steps to enhance psychological safety.</w:t>
      </w:r>
      <w:r>
        <w:rPr>
          <w:rStyle w:val="FootnoteReference"/>
        </w:rPr>
        <w:footnoteReference w:id="638"/>
      </w:r>
      <w:r>
        <w:t xml:space="preserve"> A leader “cannot wait for dissent to come to them; they must actively go seek it out in their organizations. . . . The mere existence of passive leadership constitutes a substantial barrier to candid dialogue and debate within organizations.”</w:t>
      </w:r>
      <w:r>
        <w:rPr>
          <w:rStyle w:val="FootnoteReference"/>
        </w:rPr>
        <w:footnoteReference w:id="639"/>
      </w:r>
      <w:r>
        <w:t xml:space="preserve"> One thing “any partner or firm leader [can do in] enhance[</w:t>
      </w:r>
      <w:proofErr w:type="spellStart"/>
      <w:r>
        <w:t>ing</w:t>
      </w:r>
      <w:proofErr w:type="spellEnd"/>
      <w:r>
        <w:t>] psychological safety [is] explicitly acknowledging and valuing the contributions of team members with diverse skill sets.”</w:t>
      </w:r>
      <w:r>
        <w:rPr>
          <w:rStyle w:val="FootnoteReference"/>
        </w:rPr>
        <w:footnoteReference w:id="640"/>
      </w:r>
      <w:r>
        <w:t xml:space="preserve"> </w:t>
      </w:r>
    </w:p>
    <w:p w14:paraId="1AB57878" w14:textId="77777777" w:rsidR="000E6581" w:rsidRPr="00A9375B" w:rsidRDefault="00F313FE" w:rsidP="003D74D8">
      <w:pPr>
        <w:pStyle w:val="BodyTextFirstIndent"/>
        <w:spacing w:line="480" w:lineRule="auto"/>
        <w:jc w:val="both"/>
      </w:pPr>
      <w:r>
        <w:lastRenderedPageBreak/>
        <w:t xml:space="preserve">As Fred Walumbwa and John </w:t>
      </w:r>
      <w:proofErr w:type="spellStart"/>
      <w:r>
        <w:t>Schaubroeck</w:t>
      </w:r>
      <w:proofErr w:type="spellEnd"/>
      <w:r>
        <w:t xml:space="preserve"> have observed, “</w:t>
      </w:r>
      <w:r>
        <w:rPr>
          <w:lang w:bidi="en-US"/>
        </w:rPr>
        <w:t xml:space="preserve">leaders are pivotal for removing the </w:t>
      </w:r>
      <w:r>
        <w:t xml:space="preserve">[psychological] </w:t>
      </w:r>
      <w:r>
        <w:rPr>
          <w:lang w:bidi="en-US"/>
        </w:rPr>
        <w:t>constraints that often discourage followers from expressing their concerns and other idea</w:t>
      </w:r>
      <w:r>
        <w:t>s.”</w:t>
      </w:r>
      <w:r>
        <w:rPr>
          <w:rStyle w:val="FootnoteReference"/>
        </w:rPr>
        <w:footnoteReference w:id="641"/>
      </w:r>
      <w:r>
        <w:t xml:space="preserve"> Research confirms that the successful institutionalization of the specific dissent mechanisms discussed below depends entirely on active leadership from managing partners and litigation team leaders, who visibly signal their support for the effort and its results.</w:t>
      </w:r>
      <w:r>
        <w:rPr>
          <w:rStyle w:val="FootnoteReference"/>
        </w:rPr>
        <w:footnoteReference w:id="642"/>
      </w:r>
      <w:r>
        <w:t xml:space="preserve"> Professor William Ross, the leading expert on legal fees, argues that “senior attorneys should foster an environment in which junior colleagues are encouraged to ask questions rather than engage in costly research or other activities that could be averted by talking with other attorneys.”</w:t>
      </w:r>
      <w:r>
        <w:rPr>
          <w:rStyle w:val="FootnoteReference"/>
        </w:rPr>
        <w:footnoteReference w:id="643"/>
      </w:r>
      <w:r>
        <w:t xml:space="preserve"> At </w:t>
      </w:r>
      <w:proofErr w:type="spellStart"/>
      <w:r>
        <w:t>Bartlit</w:t>
      </w:r>
      <w:proofErr w:type="spellEnd"/>
      <w:r>
        <w:t xml:space="preserve"> Beck, “something is happening here that would be unthinkable in most firms”: the senior named partner drafts an outline with two junior lawyers present and providing feedback.</w:t>
      </w:r>
      <w:r>
        <w:rPr>
          <w:rStyle w:val="FootnoteReference"/>
        </w:rPr>
        <w:footnoteReference w:id="644"/>
      </w:r>
      <w:r>
        <w:t xml:space="preserve"> When firms achieve what </w:t>
      </w:r>
      <w:proofErr w:type="spellStart"/>
      <w:r>
        <w:t>Bartlit</w:t>
      </w:r>
      <w:proofErr w:type="spellEnd"/>
      <w:r>
        <w:t xml:space="preserve"> Beck has (a psychologically safe environment) it “ensures that decisions are not just made by the loudest or most senior people in the room but are informed by the collective intelligence of the entire team.”</w:t>
      </w:r>
      <w:r>
        <w:rPr>
          <w:rStyle w:val="FootnoteReference"/>
        </w:rPr>
        <w:footnoteReference w:id="645"/>
      </w:r>
      <w:r>
        <w:t xml:space="preserve"> At Morgan Lewis &amp; Bockius, senior partner Jack Newman ensures that all work products, even simple outlines, are disseminated to the entire group so that every attorney can benefit from and build upon individual insights that might otherwise </w:t>
      </w:r>
      <w:r>
        <w:lastRenderedPageBreak/>
        <w:t>remain hidden.</w:t>
      </w:r>
      <w:r>
        <w:rPr>
          <w:rStyle w:val="FootnoteReference"/>
        </w:rPr>
        <w:footnoteReference w:id="646"/>
      </w:r>
      <w:r>
        <w:t xml:space="preserve"> The discrepancies of case assessment skill between younger and older attorneys make this especially important, as one attorney explained: </w:t>
      </w:r>
    </w:p>
    <w:p w14:paraId="3EDB5442" w14:textId="77777777" w:rsidR="000E6581" w:rsidRPr="00A9375B" w:rsidRDefault="000E6581" w:rsidP="003D74D8">
      <w:pPr>
        <w:pStyle w:val="BodyTextFirstIndent2"/>
        <w:spacing w:line="480" w:lineRule="auto"/>
        <w:jc w:val="both"/>
      </w:pPr>
      <w:r>
        <w:t>“When you’re young, you want to help your client so badly you tell yourself,</w:t>
      </w:r>
    </w:p>
    <w:p w14:paraId="7F3C3872" w14:textId="77777777" w:rsidR="000E6581" w:rsidRPr="00A9375B" w:rsidRDefault="000E6581" w:rsidP="003D74D8">
      <w:pPr>
        <w:pStyle w:val="BodyTextFirstIndent2"/>
        <w:spacing w:line="480" w:lineRule="auto"/>
        <w:jc w:val="both"/>
      </w:pPr>
      <w:r>
        <w:t>“There’s really not an elephant in the room, there’s really not a big gray elephant</w:t>
      </w:r>
    </w:p>
    <w:p w14:paraId="444E70C3" w14:textId="77777777" w:rsidR="000E6581" w:rsidRPr="00A9375B" w:rsidRDefault="000E6581" w:rsidP="003D74D8">
      <w:pPr>
        <w:pStyle w:val="BodyTextFirstIndent2"/>
        <w:spacing w:line="480" w:lineRule="auto"/>
        <w:jc w:val="both"/>
      </w:pPr>
      <w:r>
        <w:t>over there with a pink ribbon on it” – especially if you think you found a case</w:t>
      </w:r>
    </w:p>
    <w:p w14:paraId="1048D2B7" w14:textId="77777777" w:rsidR="000E6581" w:rsidRPr="00A9375B" w:rsidRDefault="000E6581" w:rsidP="003D74D8">
      <w:pPr>
        <w:pStyle w:val="BodyTextFirstIndent2"/>
        <w:spacing w:line="480" w:lineRule="auto"/>
        <w:jc w:val="both"/>
      </w:pPr>
      <w:r>
        <w:t>that you think says, “There’s no elephant in the room.” As you get older, you tell</w:t>
      </w:r>
    </w:p>
    <w:p w14:paraId="54C88335" w14:textId="77777777" w:rsidR="00F313FE" w:rsidRPr="00A9375B" w:rsidRDefault="000E6581" w:rsidP="003D74D8">
      <w:pPr>
        <w:pStyle w:val="BodyTextFirstIndent2"/>
        <w:spacing w:line="480" w:lineRule="auto"/>
        <w:jc w:val="both"/>
      </w:pPr>
      <w:r>
        <w:t>your client, “There’s an elephant in the room” – and they need to deal with it.”</w:t>
      </w:r>
      <w:r>
        <w:rPr>
          <w:rStyle w:val="FootnoteReference"/>
        </w:rPr>
        <w:footnoteReference w:id="647"/>
      </w:r>
    </w:p>
    <w:p w14:paraId="2B5E6218" w14:textId="77777777" w:rsidR="00F313FE" w:rsidRPr="00A9375B" w:rsidRDefault="00262FC9" w:rsidP="003D74D8">
      <w:pPr>
        <w:pStyle w:val="BodyTextFirstIndent"/>
        <w:spacing w:line="480" w:lineRule="auto"/>
        <w:jc w:val="both"/>
      </w:pPr>
      <w:r>
        <w:t>In addition to in-the-moment conduct, the character of legal leaders shapes a psychologically safe environment.</w:t>
      </w:r>
      <w:r>
        <w:rPr>
          <w:rStyle w:val="FootnoteReference"/>
        </w:rPr>
        <w:footnoteReference w:id="648"/>
      </w:r>
      <w:r>
        <w:t xml:space="preserve"> Cass Sunstein and Reid Hastie divide leaders into “the complacent and the anxious,” and conclude that “[g]</w:t>
      </w:r>
      <w:proofErr w:type="spellStart"/>
      <w:r>
        <w:t>ood</w:t>
      </w:r>
      <w:proofErr w:type="spellEnd"/>
      <w:r>
        <w:t xml:space="preserve"> managers have to be anxious”: “anxious people see obstacles, downsides, and challenges everywhere,” and they “cut through, and overcome, the risk of groupthink.”</w:t>
      </w:r>
      <w:r>
        <w:rPr>
          <w:rStyle w:val="FootnoteReference"/>
        </w:rPr>
        <w:footnoteReference w:id="649"/>
      </w:r>
      <w:r>
        <w:t xml:space="preserve"> An anxious leader is also a patient leader. Scholarship on best leadership practices supports the temperament Washington displayed at the Convention, </w:t>
      </w:r>
      <w:r>
        <w:rPr>
          <w:color w:val="000000" w:themeColor="text1"/>
        </w:rPr>
        <w:t xml:space="preserve">noting that  “wise leaders </w:t>
      </w:r>
      <w:r>
        <w:rPr>
          <w:color w:val="000000" w:themeColor="text1"/>
        </w:rPr>
        <w:lastRenderedPageBreak/>
        <w:t>often speak tentatively or not at all, inviting group members to speak their mind.”</w:t>
      </w:r>
      <w:r>
        <w:rPr>
          <w:rStyle w:val="FootnoteReference"/>
          <w:color w:val="000000" w:themeColor="text1"/>
        </w:rPr>
        <w:footnoteReference w:id="650"/>
      </w:r>
      <w:r>
        <w:rPr>
          <w:color w:val="000000" w:themeColor="text1"/>
        </w:rPr>
        <w:t xml:space="preserve"> </w:t>
      </w:r>
      <w:r>
        <w:t>While contributions from leaders are welcome, leaders should remember that Washington spoke only once substantively during the Convention and should refrain from</w:t>
      </w:r>
      <w:r>
        <w:rPr>
          <w:color w:val="000000" w:themeColor="text1"/>
        </w:rPr>
        <w:t xml:space="preserve"> cutting off debate by citing seniority.</w:t>
      </w:r>
      <w:r>
        <w:rPr>
          <w:rStyle w:val="FootnoteReference"/>
          <w:color w:val="000000" w:themeColor="text1"/>
        </w:rPr>
        <w:footnoteReference w:id="651"/>
      </w:r>
      <w:r>
        <w:t xml:space="preserve"> And like Washington, a good leader</w:t>
      </w:r>
      <w:r>
        <w:rPr>
          <w:color w:val="000000" w:themeColor="text1"/>
        </w:rPr>
        <w:t xml:space="preserve"> keeps his team level-headed in times of distress. </w:t>
      </w:r>
      <w:r>
        <w:t>Although court deadlines and other time constraints are a part of practice, legal leaders must also recognize the “tyranny of time” as a structural barrier to critical appraisal of litigation strategy—the pressure of filing deadlines and billable hour demands leaves attorneys no time to step back and evaluate whether they have become wedded to a flawed legal theory.</w:t>
      </w:r>
      <w:r>
        <w:rPr>
          <w:rStyle w:val="FootnoteReference"/>
        </w:rPr>
        <w:footnoteReference w:id="652"/>
      </w:r>
      <w:r>
        <w:t xml:space="preserve"> One experimental study found that groups working under time pressure are less receptive to divergent perspectives than groups without such constraints.</w:t>
      </w:r>
      <w:r>
        <w:rPr>
          <w:rStyle w:val="FootnoteReference"/>
        </w:rPr>
        <w:footnoteReference w:id="653"/>
      </w:r>
      <w:r>
        <w:t xml:space="preserve"> </w:t>
      </w:r>
    </w:p>
    <w:p w14:paraId="5EE60464" w14:textId="77777777" w:rsidR="00B04266" w:rsidRDefault="00B04266" w:rsidP="003D74D8">
      <w:pPr>
        <w:pStyle w:val="BodyTextFirstIndent"/>
        <w:spacing w:line="480" w:lineRule="auto"/>
        <w:ind w:firstLine="0"/>
        <w:jc w:val="both"/>
      </w:pPr>
    </w:p>
    <w:p w14:paraId="394349B8" w14:textId="77777777" w:rsidR="001B515B" w:rsidRPr="00A9375B" w:rsidRDefault="001B515B" w:rsidP="003D74D8">
      <w:pPr>
        <w:pStyle w:val="BodyTextFirstIndent"/>
        <w:spacing w:line="480" w:lineRule="auto"/>
        <w:ind w:firstLine="0"/>
        <w:jc w:val="both"/>
      </w:pPr>
    </w:p>
    <w:p w14:paraId="656FE611" w14:textId="77777777" w:rsidR="00B04266" w:rsidRPr="00A9375B" w:rsidRDefault="00F1323A" w:rsidP="003D74D8">
      <w:pPr>
        <w:pStyle w:val="ListParagraph"/>
        <w:numPr>
          <w:ilvl w:val="0"/>
          <w:numId w:val="32"/>
        </w:numPr>
        <w:spacing w:line="480" w:lineRule="auto"/>
        <w:jc w:val="both"/>
      </w:pPr>
      <w:r>
        <w:rPr>
          <w:i/>
          <w:iCs/>
        </w:rPr>
        <w:t xml:space="preserve">Implementing Structured Discussions </w:t>
      </w:r>
    </w:p>
    <w:p w14:paraId="10DA0C4B" w14:textId="77777777" w:rsidR="00F1323A" w:rsidRPr="00A9375B" w:rsidRDefault="00F1323A" w:rsidP="003D74D8">
      <w:pPr>
        <w:spacing w:line="480" w:lineRule="auto"/>
        <w:jc w:val="both"/>
      </w:pPr>
    </w:p>
    <w:p w14:paraId="1816653A" w14:textId="77777777" w:rsidR="00B04266" w:rsidRPr="00A9375B" w:rsidRDefault="00B04266" w:rsidP="003D74D8">
      <w:pPr>
        <w:pStyle w:val="BodyTextFirstIndent"/>
        <w:spacing w:line="480" w:lineRule="auto"/>
        <w:jc w:val="both"/>
      </w:pPr>
      <w:r>
        <w:rPr>
          <w:color w:val="000000" w:themeColor="text1"/>
        </w:rPr>
        <w:t>In her recent book, Supreme Court Justice Amy Coney Barrett stated that</w:t>
      </w:r>
      <w:r>
        <w:t xml:space="preserve"> “it can be frustrating to speak toward the end, because it limits my opportunity to persuade the seven justices who have already voted.”</w:t>
      </w:r>
      <w:r>
        <w:rPr>
          <w:rStyle w:val="FootnoteReference"/>
        </w:rPr>
        <w:footnoteReference w:id="654"/>
      </w:r>
      <w:r>
        <w:t xml:space="preserve"> Justice Elena Kagan likewise noted the difficulty of persuading her colleagues </w:t>
      </w:r>
      <w:r>
        <w:lastRenderedPageBreak/>
        <w:t>due to the pecking order.</w:t>
      </w:r>
      <w:r>
        <w:rPr>
          <w:rStyle w:val="FootnoteReference"/>
        </w:rPr>
        <w:footnoteReference w:id="655"/>
      </w:r>
      <w:r>
        <w:t xml:space="preserve"> Psychological literature confirms Barrett’s and Kagan’s experience; w</w:t>
      </w:r>
      <w:r>
        <w:rPr>
          <w:lang w:bidi="en-US"/>
        </w:rPr>
        <w:t xml:space="preserve">hen </w:t>
      </w:r>
      <w:r>
        <w:t>a legal leader</w:t>
      </w:r>
      <w:r>
        <w:rPr>
          <w:lang w:bidi="en-US"/>
        </w:rPr>
        <w:t xml:space="preserve"> speaks first, their comments frame subsequent discussion, and the group often converges on the position favored by those initial speakers.</w:t>
      </w:r>
      <w:r>
        <w:rPr>
          <w:rStyle w:val="FootnoteReference"/>
        </w:rPr>
        <w:footnoteReference w:id="656"/>
      </w:r>
      <w:r>
        <w:rPr>
          <w:lang w:bidi="en-US"/>
        </w:rPr>
        <w:t xml:space="preserve"> The perception that the group was “bound to converge” on the leader’s view is frequently illusory, as the conclusion may be an artifact of speaking order.</w:t>
      </w:r>
      <w:r>
        <w:rPr>
          <w:rStyle w:val="FootnoteReference"/>
        </w:rPr>
        <w:footnoteReference w:id="657"/>
      </w:r>
      <w:r>
        <w:t xml:space="preserve"> Further, “when a leader begins by arguing for a particular course of action, he shapes the way that others define the problem at hand, search for alternatives, and express their ideas and opinions.”</w:t>
      </w:r>
      <w:r>
        <w:rPr>
          <w:rStyle w:val="FootnoteReference"/>
        </w:rPr>
        <w:footnoteReference w:id="658"/>
      </w:r>
    </w:p>
    <w:p w14:paraId="2E361C97" w14:textId="77777777" w:rsidR="00B04266" w:rsidRPr="00A9375B" w:rsidRDefault="00B04266" w:rsidP="003D74D8">
      <w:pPr>
        <w:spacing w:line="480" w:lineRule="auto"/>
        <w:ind w:firstLine="360"/>
        <w:jc w:val="both"/>
      </w:pPr>
      <w:r>
        <w:t xml:space="preserve">Deliberative Bodies should adopt specific practices to guide their discussions, avoiding the issues that accompany poor (i.e., seniority-based) or nonexistent (i.e., teams simply gathering to discuss a case) ones. As Mihael </w:t>
      </w:r>
      <w:proofErr w:type="spellStart"/>
      <w:r>
        <w:t>Jeklic</w:t>
      </w:r>
      <w:proofErr w:type="spellEnd"/>
      <w:r>
        <w:t xml:space="preserve"> has observed, “myside bias in lawyers is likely to be resistant to simple debiasing interventions such as presenting arguments supporting the other side…what is required to debias is a substantial change in the decision-making process that will facilitate the cognitive decoupling of prior beliefs from the evaluation task.”</w:t>
      </w:r>
      <w:r>
        <w:rPr>
          <w:rStyle w:val="FootnoteReference"/>
        </w:rPr>
        <w:footnoteReference w:id="659"/>
      </w:r>
      <w:r>
        <w:t xml:space="preserve"> Below are several such practices, by no means exhaustive, drawn from the most well-regarded scholarship in the intelligence field. </w:t>
      </w:r>
      <w:r>
        <w:lastRenderedPageBreak/>
        <w:t xml:space="preserve">While implementing these techniques may feel awkward compared to natural conversation, the alternative is graver. </w:t>
      </w:r>
      <w:proofErr w:type="spellStart"/>
      <w:r>
        <w:t>Garold</w:t>
      </w:r>
      <w:proofErr w:type="spellEnd"/>
      <w:r>
        <w:t xml:space="preserve"> </w:t>
      </w:r>
      <w:proofErr w:type="spellStart"/>
      <w:r>
        <w:t>Stasser</w:t>
      </w:r>
      <w:proofErr w:type="spellEnd"/>
      <w:r>
        <w:t xml:space="preserve"> and William Titus found that “unstructured discussion in the face of a consensus requirement may often fail as a means of combining unique informational resources,” particularly when that information challenges the group’s initial direction.</w:t>
      </w:r>
      <w:bookmarkStart w:id="68" w:name="_Ref222258633"/>
      <w:r>
        <w:rPr>
          <w:rStyle w:val="FootnoteReference"/>
        </w:rPr>
        <w:footnoteReference w:id="660"/>
      </w:r>
      <w:bookmarkEnd w:id="68"/>
      <w:r>
        <w:t xml:space="preserve"> In contrast, Heidi Gardner’s study of academic legal publications found that “teams produced research of far higher quality than that of their solo counterparts,” concluding that “the ‘broadening, diversification, and specialization of legal knowledge’ makes a collaborative approach in that field a wise—even necessary—choice.”</w:t>
      </w:r>
      <w:r>
        <w:rPr>
          <w:rStyle w:val="FootnoteReference"/>
        </w:rPr>
        <w:footnoteReference w:id="661"/>
      </w:r>
    </w:p>
    <w:p w14:paraId="6CF3A15F" w14:textId="77777777" w:rsidR="00B04266" w:rsidRPr="00A9375B" w:rsidRDefault="00926E86" w:rsidP="003D74D8">
      <w:pPr>
        <w:pStyle w:val="BodyTextFirstIndent"/>
        <w:spacing w:line="480" w:lineRule="auto"/>
        <w:jc w:val="both"/>
      </w:pPr>
      <w:r>
        <w:t>Structured debates are critical because Jane Goodman-</w:t>
      </w:r>
      <w:proofErr w:type="spellStart"/>
      <w:r>
        <w:t>Delahunty</w:t>
      </w:r>
      <w:proofErr w:type="spellEnd"/>
      <w:r>
        <w:t xml:space="preserve"> and her coauthors conclude “that lawyer performance can be improved by implementing case management strategies that take into account the potential overconfidence biases of the litigators.”</w:t>
      </w:r>
      <w:r>
        <w:rPr>
          <w:rStyle w:val="FootnoteReference"/>
        </w:rPr>
        <w:footnoteReference w:id="662"/>
      </w:r>
      <w:r>
        <w:t xml:space="preserve"> A</w:t>
      </w:r>
      <w:r>
        <w:rPr>
          <w:color w:val="000000" w:themeColor="text1"/>
        </w:rPr>
        <w:t>verting strategic error requires case discussions that, by design, draw on cognitively diverse perspectives and enhance psychological safety by allowing each team member to be heard.</w:t>
      </w:r>
      <w:r>
        <w:rPr>
          <w:rStyle w:val="FootnoteReference"/>
          <w:color w:val="000000" w:themeColor="text1"/>
        </w:rPr>
        <w:footnoteReference w:id="663"/>
      </w:r>
      <w:r>
        <w:rPr>
          <w:color w:val="000000" w:themeColor="text1"/>
        </w:rPr>
        <w:t xml:space="preserve"> </w:t>
      </w:r>
      <w:r>
        <w:t>These structured sessions should be implemented during the initial case consultation and every one thereafter. Kiser finds that “early [case] assessments tend to…force attorneys to stick closer to an initial assessment than may be justified by information later acquired through discovery,” and that “[</w:t>
      </w:r>
      <w:proofErr w:type="spellStart"/>
      <w:r>
        <w:t>i</w:t>
      </w:r>
      <w:proofErr w:type="spellEnd"/>
      <w:r>
        <w:t>]</w:t>
      </w:r>
      <w:proofErr w:type="spellStart"/>
      <w:r>
        <w:t>nformation</w:t>
      </w:r>
      <w:proofErr w:type="spellEnd"/>
      <w:r>
        <w:t xml:space="preserve"> </w:t>
      </w:r>
      <w:r>
        <w:lastRenderedPageBreak/>
        <w:t>inconsistent with a preliminary opinion may be disregarded.”</w:t>
      </w:r>
      <w:r>
        <w:rPr>
          <w:rStyle w:val="FootnoteReference"/>
        </w:rPr>
        <w:footnoteReference w:id="664"/>
      </w:r>
      <w:r>
        <w:t xml:space="preserve"> The Convention realized the importance of timing, as from the start of the Convention:</w:t>
      </w:r>
    </w:p>
    <w:p w14:paraId="5982B584" w14:textId="77777777" w:rsidR="003B6EEE" w:rsidRPr="00A9375B" w:rsidRDefault="00B04266" w:rsidP="003D74D8">
      <w:pPr>
        <w:pStyle w:val="BodyTextFirstIndent2"/>
        <w:spacing w:line="480" w:lineRule="auto"/>
        <w:ind w:firstLine="0"/>
        <w:jc w:val="both"/>
      </w:pPr>
      <w:r>
        <w:t xml:space="preserve">“The Framers consciously addressed the demands of their multi-party negotiation context in several ways. They began by negotiating with each other about some of the roles different delegates would play and some of the process elements they would use. In both areas, the Framers strove for creative ways to meet the challenges of their particular </w:t>
      </w:r>
      <w:proofErr w:type="gramStart"/>
      <w:r>
        <w:t>situation, and</w:t>
      </w:r>
      <w:proofErr w:type="gramEnd"/>
      <w:r>
        <w:t xml:space="preserve"> make wise use of the skills and opportunities they had at hand. They chose process rules that would encourage them to share their concerns openly, to listen to each other, and to feel comfortable learning from each other. They made their process flexible enough to permit exploration of new ideas, reconsideration of old ideas, and experimentation with new combinations of ideas.”</w:t>
      </w:r>
      <w:r>
        <w:rPr>
          <w:rStyle w:val="FootnoteReference"/>
        </w:rPr>
        <w:footnoteReference w:id="665"/>
      </w:r>
    </w:p>
    <w:p w14:paraId="067A7A79" w14:textId="77777777" w:rsidR="003B6EEE" w:rsidRPr="00A9375B" w:rsidRDefault="003B6EEE" w:rsidP="003D74D8">
      <w:pPr>
        <w:pStyle w:val="BodyTextFirstIndent2"/>
        <w:spacing w:line="480" w:lineRule="auto"/>
        <w:ind w:left="0" w:firstLine="0"/>
        <w:jc w:val="both"/>
      </w:pPr>
    </w:p>
    <w:p w14:paraId="23B92E8E" w14:textId="77777777" w:rsidR="00B04266" w:rsidRPr="00A9375B" w:rsidRDefault="00B04266" w:rsidP="003D74D8">
      <w:pPr>
        <w:pStyle w:val="ListParagraph"/>
        <w:numPr>
          <w:ilvl w:val="0"/>
          <w:numId w:val="26"/>
        </w:numPr>
        <w:spacing w:line="480" w:lineRule="auto"/>
        <w:jc w:val="both"/>
        <w:rPr>
          <w:i/>
          <w:iCs/>
          <w:smallCaps/>
          <w:color w:val="000000" w:themeColor="text1"/>
        </w:rPr>
      </w:pPr>
      <w:r>
        <w:rPr>
          <w:i/>
          <w:iCs/>
          <w:smallCaps/>
          <w:lang w:bidi="en-US"/>
        </w:rPr>
        <w:t>Nominal Group Technique and the Delphi Method</w:t>
      </w:r>
    </w:p>
    <w:p w14:paraId="123BB2B7" w14:textId="77777777" w:rsidR="00B04266" w:rsidRPr="00A9375B" w:rsidRDefault="00B04266" w:rsidP="003D74D8">
      <w:pPr>
        <w:spacing w:line="480" w:lineRule="auto"/>
        <w:ind w:left="360"/>
        <w:jc w:val="both"/>
        <w:rPr>
          <w:smallCaps/>
          <w:color w:val="000000" w:themeColor="text1"/>
        </w:rPr>
      </w:pPr>
    </w:p>
    <w:p w14:paraId="1743C1A4" w14:textId="77777777" w:rsidR="00466192" w:rsidRPr="00A9375B" w:rsidRDefault="00B04266" w:rsidP="003D74D8">
      <w:pPr>
        <w:pStyle w:val="BodyTextFirstIndent"/>
        <w:spacing w:line="480" w:lineRule="auto"/>
        <w:jc w:val="both"/>
      </w:pPr>
      <w:r>
        <w:t xml:space="preserve">Two complementary techniques use anonymity to enhance team members’ willingness to speak up. </w:t>
      </w:r>
      <w:r>
        <w:rPr>
          <w:lang w:bidi="en-US"/>
        </w:rPr>
        <w:t>Anonymity facilitates “the expression of opinions that go against the conventional wisdom and may not otherwise be expressed.”</w:t>
      </w:r>
      <w:r>
        <w:rPr>
          <w:vertAlign w:val="superscript"/>
        </w:rPr>
        <w:footnoteReference w:id="666"/>
      </w:r>
      <w:r>
        <w:t xml:space="preserve"> Andrew Van de Ven and André </w:t>
      </w:r>
      <w:proofErr w:type="spellStart"/>
      <w:r>
        <w:t>Delbecq</w:t>
      </w:r>
      <w:proofErr w:type="spellEnd"/>
      <w:r>
        <w:t xml:space="preserve"> found that “the anonymity and isolation of respondents facilitate a freedom from conformity </w:t>
      </w:r>
      <w:r>
        <w:lastRenderedPageBreak/>
        <w:t>pressures.”</w:t>
      </w:r>
      <w:r>
        <w:rPr>
          <w:vertAlign w:val="superscript"/>
        </w:rPr>
        <w:footnoteReference w:id="667"/>
      </w:r>
      <w:r>
        <w:rPr>
          <w:lang w:bidi="en-US"/>
        </w:rPr>
        <w:t xml:space="preserve"> First, the Nominal Group Technique prevents senior attorneys from dominating the discussion by having</w:t>
      </w:r>
      <w:r>
        <w:t xml:space="preserve"> a</w:t>
      </w:r>
      <w:r>
        <w:rPr>
          <w:lang w:bidi="en-US"/>
        </w:rPr>
        <w:t xml:space="preserve"> facilitator pose a question (e.g., what legal or evidentiary weaknesses could defeat this claim?) and by having participants work privately, writing responses on index cards. Ideas are then presented sequentially in round-robin fashion until exhausted, with no discussion before all are catalogued, and voting by secret ballot.</w:t>
      </w:r>
      <w:r>
        <w:rPr>
          <w:vertAlign w:val="superscript"/>
        </w:rPr>
        <w:footnoteReference w:id="668"/>
      </w:r>
      <w:r>
        <w:t xml:space="preserve"> </w:t>
      </w:r>
    </w:p>
    <w:p w14:paraId="1D687C09" w14:textId="77777777" w:rsidR="00466192" w:rsidRPr="00A9375B" w:rsidRDefault="00B04266" w:rsidP="003D74D8">
      <w:pPr>
        <w:pStyle w:val="BodyTextFirstIndent"/>
        <w:spacing w:line="480" w:lineRule="auto"/>
        <w:jc w:val="both"/>
        <w:rPr>
          <w:lang w:bidi="en-US"/>
        </w:rPr>
      </w:pPr>
      <w:r>
        <w:rPr>
          <w:lang w:bidi="en-US"/>
        </w:rPr>
        <w:t>Second</w:t>
      </w:r>
      <w:r>
        <w:t xml:space="preserve">, </w:t>
      </w:r>
      <w:r>
        <w:rPr>
          <w:lang w:bidi="en-US"/>
        </w:rPr>
        <w:t>the Delphi Method can provide anonymity</w:t>
      </w:r>
      <w:r>
        <w:t xml:space="preserve"> by having a</w:t>
      </w:r>
      <w:r>
        <w:rPr>
          <w:lang w:bidi="en-US"/>
        </w:rPr>
        <w:t xml:space="preserve"> moderator distribute questionnaires in which attorneys rate the strength of cases on specific dimensions, with written explanations.</w:t>
      </w:r>
      <w:r>
        <w:rPr>
          <w:vertAlign w:val="superscript"/>
        </w:rPr>
        <w:footnoteReference w:id="669"/>
      </w:r>
      <w:r>
        <w:t xml:space="preserve"> </w:t>
      </w:r>
      <w:r>
        <w:rPr>
          <w:lang w:bidi="en-US"/>
        </w:rPr>
        <w:t>The moderator collects responses and distributes summaries, thereby enabling participants to adjust their original theories.</w:t>
      </w:r>
      <w:r>
        <w:rPr>
          <w:vertAlign w:val="superscript"/>
        </w:rPr>
        <w:footnoteReference w:id="670"/>
      </w:r>
      <w:r>
        <w:rPr>
          <w:lang w:bidi="en-US"/>
        </w:rPr>
        <w:t xml:space="preserve"> Firms using these methods have found that “even some of [the] more skeptical partners have been pleasantly surprised during meetings which have been preceded by anonymous questionnaires and other devices designed to bring out the views of our young people in a nonthreatening way.”</w:t>
      </w:r>
      <w:r>
        <w:rPr>
          <w:rStyle w:val="FootnoteReference"/>
          <w:lang w:bidi="en-US"/>
        </w:rPr>
        <w:footnoteReference w:id="671"/>
      </w:r>
      <w:r>
        <w:rPr>
          <w:lang w:bidi="en-US"/>
        </w:rPr>
        <w:t xml:space="preserve"> Irving Janis suggested that groupthink can be prevented during these meetings when team members are asked “to express as vividly as they can all their residual doubts and to rethink the entire issue before making a definitive choice.”</w:t>
      </w:r>
      <w:r>
        <w:rPr>
          <w:rStyle w:val="FootnoteReference"/>
          <w:lang w:bidi="en-US"/>
        </w:rPr>
        <w:footnoteReference w:id="672"/>
      </w:r>
    </w:p>
    <w:p w14:paraId="4C6B1560" w14:textId="77777777" w:rsidR="00B04266" w:rsidRPr="00A9375B" w:rsidRDefault="00B04266" w:rsidP="003D74D8">
      <w:pPr>
        <w:pStyle w:val="BodyTextFirstIndent"/>
        <w:spacing w:line="480" w:lineRule="auto"/>
        <w:ind w:firstLine="0"/>
        <w:jc w:val="both"/>
        <w:rPr>
          <w:lang w:bidi="en-US"/>
        </w:rPr>
      </w:pPr>
    </w:p>
    <w:p w14:paraId="431FCEE1"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lastRenderedPageBreak/>
        <w:t>Premortem Analysis and Collective Role Reversal</w:t>
      </w:r>
    </w:p>
    <w:p w14:paraId="365060C2" w14:textId="77777777" w:rsidR="00B04266" w:rsidRPr="00A9375B" w:rsidRDefault="00B04266" w:rsidP="003D74D8">
      <w:pPr>
        <w:spacing w:line="480" w:lineRule="auto"/>
        <w:ind w:left="360"/>
        <w:jc w:val="both"/>
        <w:rPr>
          <w:iCs/>
          <w:smallCaps/>
          <w:color w:val="000000" w:themeColor="text1"/>
        </w:rPr>
      </w:pPr>
    </w:p>
    <w:p w14:paraId="449CD635" w14:textId="77777777" w:rsidR="00B04266" w:rsidRPr="00A9375B" w:rsidRDefault="00B04266" w:rsidP="003D74D8">
      <w:pPr>
        <w:pStyle w:val="BodyTextFirstIndent"/>
        <w:spacing w:line="480" w:lineRule="auto"/>
        <w:jc w:val="both"/>
      </w:pPr>
      <w:r>
        <w:t>The Convention’s nonbinding straw votes helped avoid cognitive dissonance—the phenomenon that people align their private beliefs with a previously given public opinion.</w:t>
      </w:r>
      <w:r>
        <w:rPr>
          <w:rStyle w:val="FootnoteReference"/>
        </w:rPr>
        <w:footnoteReference w:id="673"/>
      </w:r>
      <w:r>
        <w:t xml:space="preserve"> In practice, trial lawyers tend to defend</w:t>
      </w:r>
      <w:r>
        <w:rPr>
          <w:lang w:bidi="en-US"/>
        </w:rPr>
        <w:t xml:space="preserve"> their case theory after speaking with another attorney, whether or not that theory is well-reasoned.</w:t>
      </w:r>
      <w:r>
        <w:rPr>
          <w:rStyle w:val="FootnoteReference"/>
        </w:rPr>
        <w:footnoteReference w:id="674"/>
      </w:r>
      <w:r>
        <w:rPr>
          <w:lang w:bidi="en-US"/>
        </w:rPr>
        <w:t xml:space="preserve"> This confidence often proves unfounded as “[a] confident, cohesive, but error-prone group is nothing to celebrate.”</w:t>
      </w:r>
      <w:r>
        <w:rPr>
          <w:rStyle w:val="FootnoteReference"/>
        </w:rPr>
        <w:footnoteReference w:id="675"/>
      </w:r>
      <w:r>
        <w:rPr>
          <w:lang w:bidi="en-US"/>
        </w:rPr>
        <w:t xml:space="preserve"> </w:t>
      </w:r>
    </w:p>
    <w:p w14:paraId="4FD28007" w14:textId="77777777" w:rsidR="00B04266" w:rsidRPr="00A9375B" w:rsidRDefault="00B04266" w:rsidP="003D74D8">
      <w:pPr>
        <w:pStyle w:val="BodyTextFirstIndent"/>
        <w:spacing w:line="480" w:lineRule="auto"/>
        <w:jc w:val="both"/>
        <w:rPr>
          <w:lang w:bidi="en-US"/>
        </w:rPr>
      </w:pPr>
      <w:r>
        <w:rPr>
          <w:lang w:bidi="en-US"/>
        </w:rPr>
        <w:t>A Premortem Analysis helps combat these tendencies. The team imagines that it is months into the future and that the case has been lost on a motion to dismiss.</w:t>
      </w:r>
      <w:r>
        <w:rPr>
          <w:rStyle w:val="FootnoteReference"/>
          <w:lang w:bidi="en-US"/>
        </w:rPr>
        <w:footnoteReference w:id="676"/>
      </w:r>
      <w:r>
        <w:rPr>
          <w:lang w:bidi="en-US"/>
        </w:rPr>
        <w:t xml:space="preserve"> Thereafter, team members individually write down reasons for failure, then share them in a round-robin format. Kiser suggests that these exercises “counter overconfidence by forcing decision makers to preview adverse outcomes and identify the assumptions most likely to precipitate failure.”</w:t>
      </w:r>
      <w:r>
        <w:rPr>
          <w:rStyle w:val="FootnoteReference"/>
          <w:lang w:bidi="en-US"/>
        </w:rPr>
        <w:footnoteReference w:id="677"/>
      </w:r>
      <w:r>
        <w:rPr>
          <w:lang w:bidi="en-US"/>
        </w:rPr>
        <w:t xml:space="preserve"> Gary Klein confirms this</w:t>
      </w:r>
      <w:r>
        <w:t>, finding that “prospective hindsight—imagining that an event has already occurred—increases the ability to correctly identify reasons for future outcomes by 30%.”</w:t>
      </w:r>
      <w:r>
        <w:rPr>
          <w:rStyle w:val="FootnoteReference"/>
        </w:rPr>
        <w:footnoteReference w:id="678"/>
      </w:r>
      <w:r>
        <w:t xml:space="preserve"> Christine Jolls </w:t>
      </w:r>
      <w:r>
        <w:lastRenderedPageBreak/>
        <w:t>and Cass Sunstein find that requiring litigants to consider the weaknesses in their own case can neutralize role-induced bias, producing convergent case valuations between plaintiffs and defendants.</w:t>
      </w:r>
      <w:r>
        <w:rPr>
          <w:rStyle w:val="FootnoteReference"/>
        </w:rPr>
        <w:footnoteReference w:id="679"/>
      </w:r>
      <w:r>
        <w:t xml:space="preserve"> </w:t>
      </w:r>
      <w:r>
        <w:rPr>
          <w:lang w:bidi="en-US"/>
        </w:rPr>
        <w:t>From this opposite perspective, attorneys can identify weaknesses in the litigation theory and the reasons a judge might rule against them.</w:t>
      </w:r>
      <w:r>
        <w:rPr>
          <w:rStyle w:val="FootnoteReference"/>
        </w:rPr>
        <w:footnoteReference w:id="680"/>
      </w:r>
      <w:r>
        <w:rPr>
          <w:lang w:bidi="en-US"/>
        </w:rPr>
        <w:t xml:space="preserve"> </w:t>
      </w:r>
      <w:proofErr w:type="spellStart"/>
      <w:r>
        <w:rPr>
          <w:lang w:bidi="en-US"/>
        </w:rPr>
        <w:t>Alafair</w:t>
      </w:r>
      <w:proofErr w:type="spellEnd"/>
      <w:r>
        <w:rPr>
          <w:lang w:bidi="en-US"/>
        </w:rPr>
        <w:t xml:space="preserve"> Burke suggests that bringing in attorneys unfamiliar with the case (in a limited consulting role that leaves ultimate decision-making authority with the original team) for a “fresh look” may help interrogate the initial decision-makers’ underlying assumptions.</w:t>
      </w:r>
      <w:r>
        <w:rPr>
          <w:rStyle w:val="FootnoteReference"/>
          <w:lang w:bidi="en-US"/>
        </w:rPr>
        <w:footnoteReference w:id="681"/>
      </w:r>
    </w:p>
    <w:p w14:paraId="59865F0A" w14:textId="77777777" w:rsidR="00AA0547" w:rsidRDefault="00AA0547" w:rsidP="003D74D8">
      <w:pPr>
        <w:pStyle w:val="BodyTextFirstIndent"/>
        <w:spacing w:line="480" w:lineRule="auto"/>
        <w:jc w:val="both"/>
        <w:rPr>
          <w:lang w:bidi="en-US"/>
        </w:rPr>
      </w:pPr>
    </w:p>
    <w:p w14:paraId="12F8DBF3" w14:textId="77777777" w:rsidR="001B515B" w:rsidRPr="00A9375B" w:rsidRDefault="001B515B" w:rsidP="003D74D8">
      <w:pPr>
        <w:pStyle w:val="BodyTextFirstIndent"/>
        <w:spacing w:line="480" w:lineRule="auto"/>
        <w:jc w:val="both"/>
        <w:rPr>
          <w:lang w:bidi="en-US"/>
        </w:rPr>
      </w:pPr>
    </w:p>
    <w:p w14:paraId="701AC088"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t>Red Team Assessment and Key Assumptions Check</w:t>
      </w:r>
    </w:p>
    <w:p w14:paraId="4D5917A5" w14:textId="77777777" w:rsidR="00B04266" w:rsidRPr="00A9375B" w:rsidRDefault="00B04266" w:rsidP="003D74D8">
      <w:pPr>
        <w:spacing w:line="480" w:lineRule="auto"/>
        <w:ind w:left="360"/>
        <w:jc w:val="both"/>
        <w:rPr>
          <w:iCs/>
          <w:smallCaps/>
          <w:color w:val="000000" w:themeColor="text1"/>
        </w:rPr>
      </w:pPr>
    </w:p>
    <w:p w14:paraId="6DECE08B" w14:textId="77777777" w:rsidR="00B04266" w:rsidRPr="00A9375B" w:rsidRDefault="00B04266" w:rsidP="003D74D8">
      <w:pPr>
        <w:pStyle w:val="BodyTextFirstIndent"/>
        <w:spacing w:line="480" w:lineRule="auto"/>
        <w:jc w:val="both"/>
        <w:rPr>
          <w:lang w:bidi="en-US"/>
        </w:rPr>
      </w:pPr>
      <w:r>
        <w:rPr>
          <w:lang w:bidi="en-US"/>
        </w:rPr>
        <w:t>Litigation teams often view evidence through their client’s lens, failing to apprehend how the same facts support the defense’s theory or alternative interpretations a factfinder might adopt.</w:t>
      </w:r>
      <w:r>
        <w:rPr>
          <w:rStyle w:val="FootnoteReference"/>
          <w:lang w:bidi="en-US"/>
        </w:rPr>
        <w:footnoteReference w:id="682"/>
      </w:r>
      <w:r>
        <w:rPr>
          <w:lang w:bidi="en-US"/>
        </w:rPr>
        <w:t xml:space="preserve"> An empirical study found that “a lawyer’s commitment to the client and the case may induce a self-serving bias,” which is “the expectation of one party that exceeds the beliefs of the opposing party,” and that “[s]elf-serving biases in litigation were strong predictors of </w:t>
      </w:r>
      <w:proofErr w:type="spellStart"/>
      <w:r>
        <w:rPr>
          <w:lang w:bidi="en-US"/>
        </w:rPr>
        <w:t>nonsettlement</w:t>
      </w:r>
      <w:proofErr w:type="spellEnd"/>
      <w:r>
        <w:rPr>
          <w:lang w:bidi="en-US"/>
        </w:rPr>
        <w:t xml:space="preserve"> before proceeding to court.”</w:t>
      </w:r>
      <w:bookmarkStart w:id="69" w:name="_Ref222258836"/>
      <w:r>
        <w:rPr>
          <w:rStyle w:val="FootnoteReference"/>
          <w:lang w:bidi="en-US"/>
        </w:rPr>
        <w:footnoteReference w:id="683"/>
      </w:r>
      <w:bookmarkEnd w:id="69"/>
      <w:r>
        <w:rPr>
          <w:lang w:bidi="en-US"/>
        </w:rPr>
        <w:t xml:space="preserve"> Observers of mock trials have noted that “the would-be litigators are often </w:t>
      </w:r>
      <w:r>
        <w:rPr>
          <w:lang w:bidi="en-US"/>
        </w:rPr>
        <w:lastRenderedPageBreak/>
        <w:t>surprised and dismayed by the strength of the position put forth by their mock opponent,” and, “[</w:t>
      </w:r>
      <w:proofErr w:type="spellStart"/>
      <w:r>
        <w:rPr>
          <w:lang w:bidi="en-US"/>
        </w:rPr>
        <w:t>i</w:t>
      </w:r>
      <w:proofErr w:type="spellEnd"/>
      <w:r>
        <w:rPr>
          <w:lang w:bidi="en-US"/>
        </w:rPr>
        <w:t>]n the absence of such a vivid demonstration of their bias, disputants are likely to hold an overly optimistic assessment of their chances in court.”</w:t>
      </w:r>
      <w:r>
        <w:rPr>
          <w:rStyle w:val="FootnoteReference"/>
        </w:rPr>
        <w:footnoteReference w:id="684"/>
      </w:r>
      <w:r>
        <w:t xml:space="preserve"> Indeed, a substantial empirical study involving a “</w:t>
      </w:r>
      <w:r>
        <w:rPr>
          <w:lang w:bidi="en-US"/>
        </w:rPr>
        <w:t>large sample of U.S. lawyers showed clear evidence of unrealistic litigation goals,” and “[o]</w:t>
      </w:r>
      <w:proofErr w:type="spellStart"/>
      <w:r>
        <w:rPr>
          <w:lang w:bidi="en-US"/>
        </w:rPr>
        <w:t>verall</w:t>
      </w:r>
      <w:proofErr w:type="spellEnd"/>
      <w:r>
        <w:rPr>
          <w:lang w:bidi="en-US"/>
        </w:rPr>
        <w:t>,</w:t>
      </w:r>
      <w:r>
        <w:t xml:space="preserve"> </w:t>
      </w:r>
      <w:r>
        <w:rPr>
          <w:lang w:bidi="en-US"/>
        </w:rPr>
        <w:t>lawyers were</w:t>
      </w:r>
      <w:r>
        <w:t xml:space="preserve"> </w:t>
      </w:r>
      <w:r>
        <w:rPr>
          <w:lang w:bidi="en-US"/>
        </w:rPr>
        <w:t xml:space="preserve">overconfident in their predictions </w:t>
      </w:r>
      <w:r>
        <w:t>[about litigation outcomes].”</w:t>
      </w:r>
      <w:r>
        <w:rPr>
          <w:rStyle w:val="FootnoteReference"/>
        </w:rPr>
        <w:footnoteReference w:id="685"/>
      </w:r>
      <w:r>
        <w:t xml:space="preserve"> </w:t>
      </w:r>
      <w:r>
        <w:rPr>
          <w:lang w:bidi="en-US"/>
        </w:rPr>
        <w:t>Every litigation strategy also rests on assumptions like how courts will rule or how factfinders weigh evidence, which are rarely explicitly made.</w:t>
      </w:r>
    </w:p>
    <w:p w14:paraId="336F18E7" w14:textId="77777777" w:rsidR="00481776" w:rsidRPr="00A9375B" w:rsidRDefault="00B04266" w:rsidP="003D74D8">
      <w:pPr>
        <w:pStyle w:val="BodyTextFirstIndent"/>
        <w:spacing w:line="480" w:lineRule="auto"/>
        <w:jc w:val="both"/>
        <w:rPr>
          <w:lang w:bidi="en-US"/>
        </w:rPr>
      </w:pPr>
      <w:r>
        <w:rPr>
          <w:lang w:bidi="en-US"/>
        </w:rPr>
        <w:t xml:space="preserve">A Red </w:t>
      </w:r>
      <w:r>
        <w:t>Team</w:t>
      </w:r>
      <w:r>
        <w:rPr>
          <w:lang w:bidi="en-US"/>
        </w:rPr>
        <w:t xml:space="preserve"> Analysis assigns a team (rather than the artificial individual dissenter as discussed above) to adopt the perspective of opposing counsel and generate the strongest case against the client’s position</w:t>
      </w:r>
      <w:r>
        <w:t>.</w:t>
      </w:r>
      <w:r>
        <w:rPr>
          <w:rStyle w:val="FootnoteReference"/>
        </w:rPr>
        <w:footnoteReference w:id="686"/>
      </w:r>
      <w:r>
        <w:rPr>
          <w:lang w:bidi="en-US"/>
        </w:rPr>
        <w:t xml:space="preserve"> A similar technique, the Key Assumptions Check, complements Red </w:t>
      </w:r>
      <w:r>
        <w:t>Team</w:t>
      </w:r>
      <w:r>
        <w:rPr>
          <w:lang w:bidi="en-US"/>
        </w:rPr>
        <w:t xml:space="preserve"> Analysis by identifying and questioning the beliefs that guide a legal team’s interpretation of evidence and its reasoning about a particular problem.</w:t>
      </w:r>
      <w:r>
        <w:rPr>
          <w:rStyle w:val="FootnoteReference"/>
        </w:rPr>
        <w:footnoteReference w:id="687"/>
      </w:r>
      <w:r>
        <w:t xml:space="preserve"> </w:t>
      </w:r>
      <w:r>
        <w:rPr>
          <w:lang w:bidi="en-US"/>
        </w:rPr>
        <w:t>The technique brings together a small group—including attorneys outside the core litigation team—to introduce new perspectives.</w:t>
      </w:r>
      <w:r>
        <w:rPr>
          <w:rStyle w:val="FootnoteReference"/>
        </w:rPr>
        <w:footnoteReference w:id="688"/>
      </w:r>
      <w:r>
        <w:rPr>
          <w:lang w:bidi="en-US"/>
        </w:rPr>
        <w:t xml:space="preserve"> For each assumption, the team asks questions such as “Why am I confident that this assumption is correct? In what circumstances might this assumption be untrue? … If it turns out to be invalid, how much impact would this have on the [case]?” One experienced facilitator of this technique </w:t>
      </w:r>
      <w:r>
        <w:rPr>
          <w:lang w:bidi="en-US"/>
        </w:rPr>
        <w:lastRenderedPageBreak/>
        <w:t>reports that approximately one in every four key assumptions dissolves under rigorous examination.</w:t>
      </w:r>
      <w:r>
        <w:rPr>
          <w:rStyle w:val="FootnoteReference"/>
        </w:rPr>
        <w:footnoteReference w:id="689"/>
      </w:r>
    </w:p>
    <w:p w14:paraId="481B18AE" w14:textId="77777777" w:rsidR="00481776" w:rsidRDefault="00481776" w:rsidP="003D74D8">
      <w:pPr>
        <w:pStyle w:val="BodyTextFirstIndent"/>
        <w:spacing w:line="480" w:lineRule="auto"/>
        <w:ind w:firstLine="0"/>
        <w:jc w:val="both"/>
      </w:pPr>
    </w:p>
    <w:p>
      <w:pPr>
        <w:pStyle w:val="ListParagraph"/>
        <w:numPr>
          <w:ilvl w:val="0"/>
          <w:numId w:val="32"/>
        </w:numPr>
        <w:spacing w:line="480" w:lineRule="auto"/>
        <w:jc w:val="both"/>
        <w:rPr>
          <w:ins w:id="200506" w:author="Claude" w:date="2026-09-27T12:00:00Z"/>
        </w:rPr>
      </w:pPr>
      <w:ins w:id="200505" w:author="Claude" w:date="2026-09-27T12:00:00Z">
        <w:r>
          <w:rPr>
            <w:i/>
          </w:rPr>
          <w:t>A Word of Caution: Historic QCMs Sometimes Disproportionately Burdened Disadvantaged Groups</w:t>
        </w:r>
      </w:ins>
    </w:p>
    <w:p w14:paraId="6AFC35CB" w14:textId="41C89529" w:rsidR="00A405B1" w:rsidRPr="00A405B1" w:rsidRDefault="00A405B1" w:rsidP="00A405B1">
      <w:pPr>
        <w:spacing w:line="480" w:lineRule="auto"/>
        <w:jc w:val="both"/>
        <w:rPr>
          <w:del w:id="200163" w:author="Claude" w:date="2026-09-27T12:00:00Z"/>
          <w:i/>
          <w:iCs/>
          <w:color w:val="000000" w:themeColor="text1"/>
          <w:highlight w:val="yellow"/>
        </w:rPr>
      </w:pPr>
      <w:del w:id="200161" w:author="Claude" w:date="2026-09-27T12:00:00Z">
        <w:r w:rsidRPr="00A405B1">
          <w:rPr>
            <w:i/>
            <w:iCs/>
            <w:color w:val="000000" w:themeColor="text1"/>
            <w:highlight w:val="yellow"/>
          </w:rPr>
          <w:delText xml:space="preserve">A WORD OF CAUTION: HISTORIC </w:delText>
        </w:r>
      </w:del>
      <w:del w:id="200162" w:author="Claude" w:date="2026-09-27T12:00:00Z">
        <w:r w:rsidRPr="00A405B1">
          <w:rPr>
            <w:i/>
            <w:iCs/>
            <w:color w:val="000000" w:themeColor="text1"/>
            <w:highlight w:val="yellow"/>
          </w:rPr>
          <w:delText>QCMs Sometimes Disproportionately Burdened Disadvantaged Groups</w:delText>
        </w:r>
      </w:del>
    </w:p>
    <w:p w14:paraId="68A8A78D" w14:textId="77777777" w:rsidR="00A405B1" w:rsidRPr="00A405B1" w:rsidRDefault="00A405B1" w:rsidP="00A405B1">
      <w:pPr>
        <w:spacing w:line="480" w:lineRule="auto"/>
        <w:jc w:val="both"/>
        <w:rPr>
          <w:color w:val="000000" w:themeColor="text1"/>
          <w:highlight w:val="yellow"/>
        </w:rPr>
      </w:pPr>
    </w:p>
    <w:p w14:paraId="2930C156" w14:textId="77777777" w:rsidR="00A405B1" w:rsidRPr="00A405B1" w:rsidRDefault="00A405B1" w:rsidP="00A405B1">
      <w:pPr>
        <w:pStyle w:val="BodyTextFirstIndent"/>
        <w:spacing w:line="480" w:lineRule="auto"/>
        <w:jc w:val="both"/>
        <w:rPr>
          <w:highlight w:val="yellow"/>
        </w:rPr>
      </w:pPr>
      <w:r>
        <w:rPr>
          <w:highlight w:val="yellow"/>
        </w:rPr>
        <w:t xml:space="preserve">The QCMs that </w:t>
      </w:r>
      <w:del w:id="100102" w:author="Claude" w:date="2026-09-26T12:00:00Z">
        <w:r>
          <w:rPr>
            <w:highlight w:val="yellow"/>
          </w:rPr>
          <w:delText>historical</w:delText>
        </w:r>
      </w:del>
      <w:ins w:id="100103" w:author="Claude" w:date="2026-09-26T12:00:00Z">
        <w:r>
          <w:t>Section</w:t>
        </w:r>
      </w:ins>
      <w:r>
        <w:rPr>
          <w:highlight w:val="yellow"/>
        </w:rPr>
        <w:t xml:space="preserve"> </w:t>
      </w:r>
      <w:del w:id="100104" w:author="Claude" w:date="2026-09-26T12:00:00Z">
        <w:r>
          <w:rPr>
            <w:highlight w:val="yellow"/>
          </w:rPr>
          <w:delText>legal systems</w:delText>
        </w:r>
      </w:del>
      <w:ins w:id="100105" w:author="Claude" w:date="2026-09-26T12:00:00Z">
        <w:r>
          <w:t>IV</w:t>
        </w:r>
      </w:ins>
      <w:r>
        <w:rPr>
          <w:highlight w:val="yellow"/>
        </w:rPr>
        <w:t xml:space="preserve"> celebrated as merit-testing forges sometimes served as instruments of exclusion against those who lacked social standing. </w:t>
      </w:r>
      <w:r>
        <w:rPr>
          <w:highlight w:val="yellow"/>
        </w:rPr>
        <w:t>In some regions of Qing dynasty China, communal mediation was reserved almost entirely for the “stalwart members of the community, mainly male heads of households,” operating most effectively between disputants “roughly equal in power and status: as for example between squabbling brothers and neighbors, lenders and creditors, buyers and sellers of land.”</w:t>
      </w:r>
      <w:r>
        <w:rPr>
          <w:rStyle w:val="FootnoteReference"/>
          <w:color w:val="000000" w:themeColor="text1"/>
          <w:highlight w:val="yellow"/>
        </w:rPr>
        <w:footnoteReference w:id="690"/>
      </w:r>
      <w:r>
        <w:rPr>
          <w:highlight w:val="yellow"/>
        </w:rPr>
        <w:t xml:space="preserve"> Subordinate figures like the married-in daughter-in-law stood “implicitly outside the system”—she never appeared in her own right in either the court records or the village survey data on disputes and had to be represented by her natal family or not at all.</w:t>
      </w:r>
      <w:r>
        <w:rPr>
          <w:rStyle w:val="FootnoteReference"/>
          <w:color w:val="000000" w:themeColor="text1"/>
          <w:highlight w:val="yellow"/>
        </w:rPr>
        <w:footnoteReference w:id="691"/>
      </w:r>
      <w:r>
        <w:rPr>
          <w:highlight w:val="yellow"/>
        </w:rPr>
        <w:t xml:space="preserve"> In Republican Rome a woman could sue and defend in her own name, but the praetor’s Edict barred her from acting for anyone else, and she could neither serve as judge nor hold a magistracy.</w:t>
      </w:r>
      <w:r>
        <w:rPr>
          <w:rStyle w:val="FootnoteReference"/>
          <w:color w:val="000000" w:themeColor="text1"/>
          <w:highlight w:val="yellow"/>
        </w:rPr>
        <w:footnoteReference w:id="692"/>
      </w:r>
      <w:r>
        <w:rPr>
          <w:highlight w:val="yellow"/>
        </w:rPr>
        <w:t xml:space="preserve"> In Classical Athens, where citizen women were kept out of court, litigants’ “various ways of bringing women to the jurors’ attention” enabled the Athenians to “preserve the physical invisibility of their women in the public space of the courtroom while creating a forensic presence for them in the public discourse of the litigants.”</w:t>
      </w:r>
      <w:r>
        <w:rPr>
          <w:rStyle w:val="FootnoteReference"/>
          <w:color w:val="000000" w:themeColor="text1"/>
          <w:highlight w:val="yellow"/>
        </w:rPr>
        <w:footnoteReference w:id="693"/>
      </w:r>
      <w:r>
        <w:rPr>
          <w:highlight w:val="yellow"/>
        </w:rPr>
        <w:t xml:space="preserve"> Pre-Reformation English ecclesiastical arbitration often involved lay intermediaries who “shaped the eventual agreement,” though the settlements’ appearance among legal records is “accidental rather than systematic.”</w:t>
      </w:r>
      <w:r>
        <w:rPr>
          <w:rStyle w:val="FootnoteReference"/>
          <w:color w:val="000000" w:themeColor="text1"/>
          <w:highlight w:val="yellow"/>
        </w:rPr>
        <w:footnoteReference w:id="694"/>
      </w:r>
      <w:r>
        <w:rPr>
          <w:highlight w:val="yellow"/>
        </w:rPr>
        <w:t xml:space="preserve"> </w:t>
      </w:r>
    </w:p>
    <w:p w14:paraId="4E75D669" w14:textId="77777777" w:rsidR="00A405B1" w:rsidRPr="00A405B1" w:rsidRDefault="00A405B1" w:rsidP="00A405B1">
      <w:pPr>
        <w:pStyle w:val="BodyTextFirstIndent"/>
        <w:spacing w:line="480" w:lineRule="auto"/>
        <w:jc w:val="both"/>
        <w:rPr>
          <w:highlight w:val="yellow"/>
        </w:rPr>
      </w:pPr>
      <w:r w:rsidRPr="00A405B1">
        <w:rPr>
          <w:highlight w:val="yellow"/>
        </w:rPr>
        <w:t>The potential of historical QCMs to protect the powerful and silence the weak has persisted into some modern ADR practices, where disputants are erroneously assumed to be “roughly equal in political power, wealth, and social status.”</w:t>
      </w:r>
      <w:r w:rsidRPr="00A405B1">
        <w:rPr>
          <w:rStyle w:val="FootnoteReference"/>
          <w:color w:val="000000" w:themeColor="text1"/>
          <w:highlight w:val="yellow"/>
        </w:rPr>
        <w:footnoteReference w:id="695"/>
      </w:r>
      <w:r w:rsidRPr="00A405B1">
        <w:rPr>
          <w:highlight w:val="yellow"/>
        </w:rPr>
        <w:t xml:space="preserve"> Mediation can also disempower parties by actively discouraging expressions of anger, a message that can be perilous “for a person who has only recently found her anger.”</w:t>
      </w:r>
      <w:r w:rsidRPr="00A405B1">
        <w:rPr>
          <w:rStyle w:val="FootnoteReference"/>
          <w:color w:val="000000" w:themeColor="text1"/>
          <w:highlight w:val="yellow"/>
        </w:rPr>
        <w:footnoteReference w:id="696"/>
      </w:r>
      <w:r w:rsidRPr="00A405B1">
        <w:rPr>
          <w:highlight w:val="yellow"/>
        </w:rPr>
        <w:t xml:space="preserve"> Even Frank Sander, for all he got wrong, acknowledged that where parties have substantially disparate bargaining power, “mediation is either pointless, or worse yet, threatens to take undue and unfair advantage of the weaker party.”</w:t>
      </w:r>
      <w:r w:rsidRPr="00A405B1">
        <w:rPr>
          <w:rStyle w:val="FootnoteReference"/>
          <w:color w:val="000000" w:themeColor="text1"/>
          <w:highlight w:val="yellow"/>
        </w:rPr>
        <w:footnoteReference w:id="697"/>
      </w:r>
      <w:r w:rsidRPr="00A405B1">
        <w:rPr>
          <w:highlight w:val="yellow"/>
        </w:rPr>
        <w:t xml:space="preserve"> Mandatory arbitration’s “whole-scale privatization of the justice system” can act as a black hole in which the great bulk of </w:t>
      </w:r>
      <w:r w:rsidRPr="00A405B1">
        <w:rPr>
          <w:highlight w:val="yellow"/>
        </w:rPr>
        <w:lastRenderedPageBreak/>
        <w:t>claims “simply evaporate before they are even filed.”</w:t>
      </w:r>
      <w:r w:rsidRPr="00A405B1">
        <w:rPr>
          <w:rStyle w:val="FootnoteReference"/>
          <w:color w:val="000000" w:themeColor="text1"/>
          <w:highlight w:val="yellow"/>
        </w:rPr>
        <w:footnoteReference w:id="698"/>
      </w:r>
      <w:r w:rsidRPr="00A405B1">
        <w:rPr>
          <w:highlight w:val="yellow"/>
        </w:rPr>
        <w:t xml:space="preserve"> Employers, for example, have used mandatory arbitration clauses to “deny[] [their employees] the opportunity they would have had to enforce their legal rights through litigation.”</w:t>
      </w:r>
      <w:r w:rsidRPr="00A405B1">
        <w:rPr>
          <w:rStyle w:val="FootnoteReference"/>
          <w:color w:val="000000" w:themeColor="text1"/>
          <w:highlight w:val="yellow"/>
        </w:rPr>
        <w:footnoteReference w:id="699"/>
      </w:r>
      <w:r w:rsidRPr="00A405B1">
        <w:rPr>
          <w:highlight w:val="yellow"/>
        </w:rPr>
        <w:t xml:space="preserve"> As a recent </w:t>
      </w:r>
      <w:r w:rsidRPr="00A405B1">
        <w:rPr>
          <w:i/>
          <w:iCs/>
          <w:highlight w:val="yellow"/>
        </w:rPr>
        <w:t>Harvard Law Review</w:t>
      </w:r>
      <w:r w:rsidRPr="00A405B1">
        <w:rPr>
          <w:highlight w:val="yellow"/>
        </w:rPr>
        <w:t xml:space="preserve"> survey reports, the “claim-suppressive effects of forced arbitration have eliminated up to ninety-eight percent of all employment claims,” a burden that falls disproportionately on women and Black workers, who are concentrated in industries where such clauses are more common.</w:t>
      </w:r>
      <w:r w:rsidRPr="00A405B1">
        <w:rPr>
          <w:rStyle w:val="FootnoteReference"/>
          <w:color w:val="000000" w:themeColor="text1"/>
          <w:highlight w:val="yellow"/>
        </w:rPr>
        <w:footnoteReference w:id="700"/>
      </w:r>
      <w:r w:rsidRPr="00A405B1">
        <w:rPr>
          <w:highlight w:val="yellow"/>
        </w:rPr>
        <w:t> By denying employees access to court, mandatory arbitration may ensure that “social movements will no longer be able to assist the overall progressive trend of our jurisprudence,” which “particularly harms the most vulnerable and oppressed members of our society for whom legal evolution is most important.”</w:t>
      </w:r>
      <w:r w:rsidRPr="00A405B1">
        <w:rPr>
          <w:rStyle w:val="FootnoteReference"/>
          <w:color w:val="000000" w:themeColor="text1"/>
          <w:highlight w:val="yellow"/>
        </w:rPr>
        <w:footnoteReference w:id="701"/>
      </w:r>
      <w:r w:rsidRPr="00A405B1">
        <w:rPr>
          <w:highlight w:val="yellow"/>
        </w:rPr>
        <w:t xml:space="preserve"> Katherine Stone and Alexander Colvin report that repeat-player employers enjoy an advantage in mandatory arbitration: an employee facing an employer who had appeared before the </w:t>
      </w:r>
      <w:r w:rsidRPr="00A405B1">
        <w:rPr>
          <w:highlight w:val="yellow"/>
        </w:rPr>
        <w:lastRenderedPageBreak/>
        <w:t>same arbitrator twenty-five times had only a 4.5% chance of winning, compared with 17.9% the first time that employer appeared before that arbitrator.</w:t>
      </w:r>
      <w:r w:rsidRPr="00A405B1">
        <w:rPr>
          <w:rStyle w:val="FootnoteReference"/>
          <w:color w:val="000000" w:themeColor="text1"/>
          <w:highlight w:val="yellow"/>
        </w:rPr>
        <w:footnoteReference w:id="702"/>
      </w:r>
      <w:r w:rsidRPr="00A405B1">
        <w:rPr>
          <w:highlight w:val="yellow"/>
        </w:rPr>
        <w:t> </w:t>
      </w:r>
    </w:p>
    <w:p w14:paraId="19AF4FA4" w14:textId="77777777" w:rsidR="00A405B1" w:rsidRPr="00A405B1" w:rsidRDefault="00A405B1" w:rsidP="00A405B1">
      <w:pPr>
        <w:pStyle w:val="BodyTextFirstIndent"/>
        <w:spacing w:line="480" w:lineRule="auto"/>
        <w:jc w:val="both"/>
        <w:rPr>
          <w:highlight w:val="yellow"/>
        </w:rPr>
      </w:pPr>
      <w:r>
        <w:rPr>
          <w:highlight w:val="yellow"/>
        </w:rPr>
        <w:t>Any proposal to revive QCMs must be carefully distinguished from the high-friction access barriers that the preceding paragraphs condemn.</w:t>
      </w:r>
      <w:r>
        <w:rPr>
          <w:rStyle w:val="FootnoteReference"/>
          <w:color w:val="000000" w:themeColor="text1"/>
          <w:highlight w:val="yellow"/>
        </w:rPr>
        <w:footnoteReference w:id="703"/>
      </w:r>
      <w:r>
        <w:rPr>
          <w:highlight w:val="yellow"/>
        </w:rPr>
        <w:t xml:space="preserve"> If the institutional dissent mechanisms proposed </w:t>
      </w:r>
      <w:del w:id="100106" w:author="Claude" w:date="2026-09-26T12:00:00Z">
        <w:r>
          <w:rPr>
            <w:highlight w:val="yellow"/>
          </w:rPr>
          <w:delText xml:space="preserve">later </w:delText>
        </w:r>
      </w:del>
      <w:r>
        <w:rPr>
          <w:highlight w:val="yellow"/>
        </w:rPr>
        <w:t xml:space="preserve">in this </w:t>
      </w:r>
      <w:del w:id="100107" w:author="Claude" w:date="2026-09-26T12:00:00Z">
        <w:r>
          <w:rPr>
            <w:highlight w:val="yellow"/>
          </w:rPr>
          <w:delText>Note</w:delText>
        </w:r>
      </w:del>
      <w:ins w:id="100108" w:author="Claude" w:date="2026-09-26T12:00:00Z">
        <w:r>
          <w:t>Section</w:t>
        </w:r>
      </w:ins>
      <w:r>
        <w:rPr>
          <w:highlight w:val="yellow"/>
        </w:rPr>
        <w:t xml:space="preserve"> mutate, by misapplication, into external procedural barriers that “frustrate[] the ability of claimants to prosecute their claims and receive a decision on the merits in federal court,” then my proposal has created a bigger problem than it set out to solve.</w:t>
      </w:r>
      <w:r>
        <w:rPr>
          <w:rStyle w:val="FootnoteReference"/>
          <w:color w:val="000000" w:themeColor="text1"/>
          <w:highlight w:val="yellow"/>
        </w:rPr>
        <w:footnoteReference w:id="704"/>
      </w:r>
      <w:r>
        <w:rPr>
          <w:highlight w:val="yellow"/>
        </w:rPr>
        <w:t xml:space="preserve"> It would be another procedural “stop sign” that “produce[s] earlier and earlier termination of cases, avoid[s] merit determinations, and generate[s] substantial litigation costs, delays, and risks,” compounding rather than correcting “the disparities that exist between the haves and the have-nots in our society.”</w:t>
      </w:r>
      <w:r>
        <w:rPr>
          <w:rStyle w:val="FootnoteReference"/>
          <w:color w:val="000000" w:themeColor="text1"/>
          <w:highlight w:val="yellow"/>
        </w:rPr>
        <w:footnoteReference w:id="705"/>
      </w:r>
      <w:r>
        <w:rPr>
          <w:highlight w:val="yellow"/>
        </w:rPr>
        <w:t xml:space="preserve"> The post-</w:t>
      </w:r>
      <w:r>
        <w:rPr>
          <w:i/>
          <w:iCs/>
          <w:highlight w:val="yellow"/>
        </w:rPr>
        <w:t>Twombly</w:t>
      </w:r>
      <w:r>
        <w:rPr>
          <w:highlight w:val="yellow"/>
        </w:rPr>
        <w:t xml:space="preserve"> era of heightened pleading already burdens “plaintiffs who were actually harmed, but lack access before suit to the facts needed to prove it.”</w:t>
      </w:r>
      <w:r>
        <w:rPr>
          <w:rStyle w:val="FootnoteReference"/>
          <w:color w:val="000000" w:themeColor="text1"/>
          <w:highlight w:val="yellow"/>
        </w:rPr>
        <w:footnoteReference w:id="706"/>
      </w:r>
    </w:p>
    <w:p w14:paraId="78DA5502" w14:textId="632EDC67" w:rsidR="00A405B1" w:rsidRPr="00A9375B" w:rsidRDefault="00A405B1" w:rsidP="00A405B1">
      <w:pPr>
        <w:pStyle w:val="BodyTextFirstIndent"/>
        <w:spacing w:line="480" w:lineRule="auto"/>
        <w:jc w:val="both"/>
      </w:pPr>
      <w:r>
        <w:rPr>
          <w:highlight w:val="yellow"/>
        </w:rPr>
        <w:t>Those barriers ask “should this person be allowed to bring a claim”—and answer based on the claimant’s resources rather than the claim’s merits. My proposal is an internal mechanism directed at legal organizations already in possession of a claim, not an external barrier screening claimants before they are heard.</w:t>
      </w:r>
      <w:r>
        <w:rPr>
          <w:rStyle w:val="FootnoteReference"/>
          <w:color w:val="000000" w:themeColor="text1"/>
          <w:highlight w:val="yellow"/>
        </w:rPr>
        <w:footnoteReference w:id="707"/>
      </w:r>
      <w:r>
        <w:rPr>
          <w:highlight w:val="yellow"/>
        </w:rPr>
        <w:t xml:space="preserve"> I addressed the exclusionary dimension of the historical QCMs so that readers keep it in mind when I advocate for their revival in </w:t>
      </w:r>
      <w:del w:id="100109" w:author="Claude" w:date="2026-09-26T12:00:00Z">
        <w:r>
          <w:rPr>
            <w:highlight w:val="yellow"/>
          </w:rPr>
          <w:delText>the</w:delText>
        </w:r>
      </w:del>
      <w:ins w:id="100110" w:author="Claude" w:date="2026-09-26T12:00:00Z">
        <w:r>
          <w:t>this</w:t>
        </w:r>
      </w:ins>
      <w:r>
        <w:rPr>
          <w:highlight w:val="yellow"/>
        </w:rPr>
        <w:t xml:space="preserve"> </w:t>
      </w:r>
      <w:del w:id="100111" w:author="Claude" w:date="2026-09-26T12:00:00Z">
        <w:r>
          <w:rPr>
            <w:highlight w:val="yellow"/>
          </w:rPr>
          <w:delText>Note’s final section</w:delText>
        </w:r>
      </w:del>
      <w:ins w:id="100112" w:author="Claude" w:date="2026-09-26T12:00:00Z">
        <w:r>
          <w:t>Section</w:t>
        </w:r>
      </w:ins>
      <w:r>
        <w:rPr>
          <w:highlight w:val="yellow"/>
        </w:rPr>
        <w:t xml:space="preserve">. </w:t>
      </w:r>
      <w:r>
        <w:rPr>
          <w:highlight w:val="yellow"/>
        </w:rPr>
        <w:t xml:space="preserve">Any implementation of my ideas must not replicate the exclusion of the people QCMs once shut out. The societies discussed diverged in form, in theological presupposition, and in the degree of institutional elaboration they attained, but they shared an unyielding insistence that no claim proceed to formal adjudication without first being tested by the claimant. That insistence, whatever its original purpose, served to counteract the cognitive biases that any Deliberative Body will inevitably develop. </w:t>
      </w:r>
      <w:del w:id="100113" w:author="Claude" w:date="2026-09-26T12:00:00Z">
        <w:r>
          <w:rPr>
            <w:highlight w:val="yellow"/>
          </w:rPr>
          <w:delText>T</w:delText>
        </w:r>
        <w:r>
          <w:delText>HE NEXT SECTION DISCUSSES HOW TO ETHICALLY AND PRACTICALLY IMPLEMENT MY SUGGESTIONS</w:delText>
        </w:r>
      </w:del>
      <w:ins w:id="100114" w:author="Claude" w:date="2026-09-26T12:00:00Z">
        <w:r>
          <w:t>The next Section turns from what a Deliberative Body should do to how it can do it, ethically and in practice.</w:t>
        </w:r>
      </w:ins>
    </w:p>
    <w:p w14:paraId="326D2480" w14:textId="77777777" w:rsidR="00D879FE" w:rsidRDefault="00000000">
      <w:pPr>
        <w:pStyle w:val="ListParagraph"/>
        <w:numPr>
          <w:ilvl w:val="0"/>
          <w:numId w:val="31"/>
        </w:numPr>
        <w:spacing w:line="480" w:lineRule="auto"/>
        <w:jc w:val="center"/>
        <w:rPr>
          <w:smallCaps/>
          <w:color w:val="000000" w:themeColor="text1"/>
        </w:rPr>
      </w:pPr>
      <w:r>
        <w:rPr>
          <w:smallCaps/>
          <w:color w:val="000000" w:themeColor="text1"/>
        </w:rPr>
        <w:t>From Theory to Practice</w:t>
      </w:r>
    </w:p>
    <w:p>
      <w:pPr>
        <w:pStyle w:val="BodyTextFirstIndent"/>
        <w:spacing w:line="480" w:lineRule="auto"/>
        <w:jc w:val="both"/>
        <w:rPr>
          <w:ins w:id="200508" w:author="Claude" w:date="2026-09-27T12:00:00Z"/>
        </w:rPr>
      </w:pPr>
      <w:ins w:id="200507" w:author="Claude" w:date="2026-09-27T12:00:00Z">
        <w:r>
          <w:t>The previous Section argued that a Deliberative Body should rebuild the forge. This one asks two practical questions: whether it can afford to, and whether the best advocates in the country actually do. It ends with a team that did.</w:t>
        </w:r>
      </w:ins>
    </w:p>
    <w:p>
      <w:pPr>
        <w:pStyle w:val="ListParagraph"/>
        <w:numPr>
          <w:ilvl w:val="0"/>
          <w:numId w:val="39"/>
        </w:numPr>
        <w:spacing w:line="480" w:lineRule="auto"/>
        <w:jc w:val="both"/>
        <w:rPr>
          <w:ins w:id="200510" w:author="Claude" w:date="2026-09-27T12:00:00Z"/>
        </w:rPr>
      </w:pPr>
      <w:ins w:id="200509" w:author="Claude" w:date="2026-09-27T12:00:00Z">
        <w:r>
          <w:rPr>
            <w:i/>
          </w:rPr>
          <w:t>The Practices Proposed in the Previous Section Can and Should Be Billed</w:t>
        </w:r>
      </w:ins>
    </w:p>
    <w:p w14:paraId="70824F86" w14:textId="53F044CD" w:rsidR="00A405B1" w:rsidRPr="00A405B1" w:rsidRDefault="00A405B1" w:rsidP="00A405B1">
      <w:pPr>
        <w:pStyle w:val="ListParagraph"/>
        <w:numPr>
          <w:ilvl w:val="0"/>
          <w:numId w:val="31"/>
        </w:numPr>
        <w:spacing w:line="480" w:lineRule="auto"/>
        <w:jc w:val="both"/>
        <w:rPr>
          <w:del w:id="200165" w:author="Claude" w:date="2026-09-27T12:00:00Z"/>
          <w:i/>
          <w:iCs/>
          <w:highlight w:val="yellow"/>
        </w:rPr>
      </w:pPr>
      <w:del w:id="200164" w:author="Claude" w:date="2026-09-27T12:00:00Z">
        <w:r w:rsidRPr="00A405B1">
          <w:rPr>
            <w:i/>
            <w:iCs/>
            <w:highlight w:val="yellow"/>
          </w:rPr>
          <w:delText>The Practices Discussed Above Can and Should be Billed</w:delText>
        </w:r>
      </w:del>
    </w:p>
    <w:p w14:paraId="5231B6F3" w14:textId="77777777" w:rsidR="00A405B1" w:rsidRPr="00A405B1" w:rsidRDefault="00A405B1" w:rsidP="00A405B1">
      <w:pPr>
        <w:pStyle w:val="BodyTextFirstIndent"/>
        <w:spacing w:line="480" w:lineRule="auto"/>
        <w:jc w:val="both"/>
        <w:rPr>
          <w:highlight w:val="yellow"/>
        </w:rPr>
      </w:pPr>
      <w:bookmarkStart w:id="70" w:name="_Ref222258293"/>
      <w:bookmarkEnd w:id="70"/>
      <w:proofErr w:type="spellStart"/>
      <w:proofErr w:type="spellEnd"/>
      <w:proofErr w:type="spellStart"/>
      <w:proofErr w:type="spellEnd"/>
      <w:proofErr w:type="spellStart"/>
      <w:proofErr w:type="spellEnd"/>
      <w:r>
        <w:rPr>
          <w:highlight w:val="yellow"/>
        </w:rPr>
        <w:t xml:space="preserve">Firms should have no trouble billing the practices </w:t>
      </w:r>
      <w:del w:id="100115" w:author="Claude" w:date="2026-09-26T12:00:00Z">
        <w:r>
          <w:rPr>
            <w:highlight w:val="yellow"/>
          </w:rPr>
          <w:delText>discussed</w:delText>
        </w:r>
      </w:del>
      <w:ins w:id="100116" w:author="Claude" w:date="2026-09-26T12:00:00Z">
        <w:r>
          <w:t>proposed</w:t>
        </w:r>
      </w:ins>
      <w:r>
        <w:rPr>
          <w:highlight w:val="yellow"/>
        </w:rPr>
        <w:t xml:space="preserve"> </w:t>
      </w:r>
      <w:del w:id="100117" w:author="Claude" w:date="2026-09-26T12:00:00Z">
        <w:r>
          <w:rPr>
            <w:highlight w:val="yellow"/>
          </w:rPr>
          <w:delText>above</w:delText>
        </w:r>
      </w:del>
      <w:ins w:id="100118" w:author="Claude" w:date="2026-09-26T12:00:00Z">
        <w:r>
          <w:t>in the previous Section</w:t>
        </w:r>
      </w:ins>
      <w:r>
        <w:rPr>
          <w:highlight w:val="yellow"/>
        </w:rPr>
        <w:t xml:space="preserve"> as ‘internal conferences’ among attorneys working on the same matter, so long as they do it properly. </w:t>
      </w:r>
      <w:r>
        <w:rPr>
          <w:highlight w:val="yellow"/>
        </w:rPr>
        <w:t>To ensure that internal conferences are viewed as legitimate billable work rather than fraud, chit-chat, or inefficient churning, attorneys should coordinate their billing entries by asking one another how much time they plan to bill to avoid discrepancies, provide specific descriptions that explain the purposes and subjects discussed rather than vague labels, ensure proper classification by distinguishing true collaboration from proofreading or instruction, and demonstrate that conferences serve to prevent duplication of effort and improve efficiency rather than merely generate hours.</w:t>
      </w:r>
      <w:r>
        <w:rPr>
          <w:rStyle w:val="FootnoteReference"/>
          <w:highlight w:val="yellow"/>
        </w:rPr>
        <w:footnoteReference w:id="708"/>
      </w:r>
      <w:r>
        <w:rPr>
          <w:highlight w:val="yellow"/>
        </w:rPr>
        <w:t xml:space="preserve"> If firms are concerned, the safe practice would be to have only one lawyer—generally the most senior lawyer involved, or the lawyer leading the representation—bill for time spent in conference.</w:t>
      </w:r>
      <w:r>
        <w:rPr>
          <w:rStyle w:val="FootnoteReference"/>
          <w:highlight w:val="yellow"/>
        </w:rPr>
        <w:footnoteReference w:id="709"/>
      </w:r>
      <w:r>
        <w:rPr>
          <w:highlight w:val="yellow"/>
        </w:rPr>
        <w:t xml:space="preserve"> When these practices are followed, federal courts have repeatedly approved substantial time for such collaborative work. In </w:t>
      </w:r>
      <w:r>
        <w:rPr>
          <w:i/>
          <w:iCs/>
          <w:highlight w:val="yellow"/>
        </w:rPr>
        <w:t>McKenzie v. Kennickell</w:t>
      </w:r>
      <w:r>
        <w:rPr>
          <w:highlight w:val="yellow"/>
        </w:rPr>
        <w:t>, the U.S. District Court for the District of Columbia declined to reduce a fee petition over the government’s objection that 752 hours had been spent solely in conferences, holding that “conferences between attorneys to discuss strategy and prepare for oral argument are an essential part of effective litigation” and that “meetings between junior and senior lawyers to discuss the progress of research and review completed assignments are reasonable and appropriate means to secure proper supervision and efficient staffing of large class actions cases such as this.”</w:t>
      </w:r>
      <w:r>
        <w:rPr>
          <w:rStyle w:val="FootnoteReference"/>
          <w:highlight w:val="yellow"/>
        </w:rPr>
        <w:footnoteReference w:id="710"/>
      </w:r>
      <w:r>
        <w:rPr>
          <w:highlight w:val="yellow"/>
        </w:rPr>
        <w:t xml:space="preserve"> The Seventh Circuit likewise upheld fees for strategy conferences in </w:t>
      </w:r>
      <w:r>
        <w:rPr>
          <w:i/>
          <w:iCs/>
          <w:highlight w:val="yellow"/>
        </w:rPr>
        <w:t>Berberena v. Coler</w:t>
      </w:r>
      <w:r>
        <w:rPr>
          <w:highlight w:val="yellow"/>
        </w:rPr>
        <w:t>, explaining that in “a difficult case with significant social effects,” participation in conferences “may indeed have been crucial to subsequent participation in the case.”</w:t>
      </w:r>
      <w:r>
        <w:rPr>
          <w:rStyle w:val="FootnoteReference"/>
          <w:highlight w:val="yellow"/>
        </w:rPr>
        <w:footnoteReference w:id="711"/>
      </w:r>
      <w:r>
        <w:rPr>
          <w:highlight w:val="yellow"/>
        </w:rPr>
        <w:t xml:space="preserve"> This judicial recognition aligns with the professional competence duty codified in Model Rule 1.1, which requires attorneys to employ “methods and procedures meeting the standards of competent practitioners.”</w:t>
      </w:r>
      <w:r>
        <w:rPr>
          <w:rStyle w:val="FootnoteReference"/>
          <w:highlight w:val="yellow"/>
        </w:rPr>
        <w:footnoteReference w:id="712"/>
      </w:r>
      <w:r>
        <w:rPr>
          <w:highlight w:val="yellow"/>
        </w:rPr>
        <w:t xml:space="preserve"> </w:t>
      </w:r>
    </w:p>
    <w:p w14:paraId="48D6582F" w14:textId="438C4C9B" w:rsidR="00A405B1" w:rsidRPr="00A405B1" w:rsidRDefault="00A405B1" w:rsidP="00A405B1">
      <w:pPr>
        <w:pStyle w:val="BodyTextFirstIndent"/>
        <w:spacing w:line="480" w:lineRule="auto"/>
        <w:jc w:val="both"/>
      </w:pPr>
      <w:r w:rsidRPr="00A405B1">
        <w:rPr>
          <w:highlight w:val="yellow"/>
        </w:rPr>
        <w:t>Ross has claimed internal conferences are “among the least wasteful [billing] activities” because they “prevent the duplication of effort that so often occurs when attorneys fail to coordinate their efforts” and “enable lawyers to develop solutions that would take an individual attorney far longer to reach. Two or more heads truly are better than one.”</w:t>
      </w:r>
      <w:r w:rsidRPr="00A405B1">
        <w:rPr>
          <w:rStyle w:val="FootnoteReference"/>
          <w:highlight w:val="yellow"/>
        </w:rPr>
        <w:footnoteReference w:id="713"/>
      </w:r>
      <w:r w:rsidRPr="00A405B1">
        <w:rPr>
          <w:highlight w:val="yellow"/>
        </w:rPr>
        <w:t xml:space="preserve"> Ross’s claims are substantiated by Heidi Gardner’s “empirical findings show[</w:t>
      </w:r>
      <w:proofErr w:type="spellStart"/>
      <w:r w:rsidRPr="00A405B1">
        <w:rPr>
          <w:highlight w:val="yellow"/>
        </w:rPr>
        <w:t>ing</w:t>
      </w:r>
      <w:proofErr w:type="spellEnd"/>
      <w:r w:rsidRPr="00A405B1">
        <w:rPr>
          <w:highlight w:val="yellow"/>
        </w:rPr>
        <w:t xml:space="preserve">] that the clients paid handsomely for” billed collaboration as “clients care deeply about the degree to which their external advisers </w:t>
      </w:r>
      <w:r w:rsidRPr="00A405B1">
        <w:rPr>
          <w:highlight w:val="yellow"/>
        </w:rPr>
        <w:lastRenderedPageBreak/>
        <w:t>collaborate with colleagues within their own firm,” and, as Ross argues, “these meetings frequently save money for clients.”</w:t>
      </w:r>
      <w:bookmarkStart w:id="71" w:name="_Ref222258487"/>
      <w:r w:rsidRPr="00A405B1">
        <w:rPr>
          <w:rStyle w:val="FootnoteReference"/>
          <w:highlight w:val="yellow"/>
        </w:rPr>
        <w:footnoteReference w:id="714"/>
      </w:r>
      <w:bookmarkEnd w:id="71"/>
      <w:r w:rsidRPr="00A405B1">
        <w:rPr>
          <w:highlight w:val="yellow"/>
        </w:rPr>
        <w:t xml:space="preserve"> One pharmaceutical executive explained that when it comes to billing, “the more complex the issue, the more I expect my primary adviser to collaborate with other experts to ensure we’re getting high-quality, strategic, accurate, appropriate advice.”</w:t>
      </w:r>
      <w:r w:rsidRPr="00A405B1">
        <w:rPr>
          <w:rStyle w:val="FootnoteReference"/>
          <w:highlight w:val="yellow"/>
        </w:rPr>
        <w:footnoteReference w:id="715"/>
      </w:r>
      <w:r w:rsidRPr="00A405B1">
        <w:rPr>
          <w:highlight w:val="yellow"/>
        </w:rPr>
        <w:t xml:space="preserve"> Collaboration also prevents malpractice. ABA data shows almost half (47.28 percent) of legal malpractice claims result from substantive errors.</w:t>
      </w:r>
      <w:r w:rsidRPr="00A405B1">
        <w:rPr>
          <w:rStyle w:val="FootnoteReference"/>
          <w:highlight w:val="yellow"/>
        </w:rPr>
        <w:footnoteReference w:id="716"/>
      </w:r>
      <w:r w:rsidRPr="00A405B1">
        <w:rPr>
          <w:highlight w:val="yellow"/>
        </w:rPr>
        <w:t xml:space="preserve"> A professional liability insurer confirmed that these substantive mistakes have “supplanted client misconduct and conflicts... and the failure to collaborate is a key part of those claims.”</w:t>
      </w:r>
      <w:r w:rsidRPr="00A405B1">
        <w:rPr>
          <w:rStyle w:val="FootnoteReference"/>
          <w:highlight w:val="yellow"/>
        </w:rPr>
        <w:footnoteReference w:id="717"/>
      </w:r>
      <w:r>
        <w:t xml:space="preserve">   </w:t>
      </w:r>
    </w:p>
    <w:p w14:paraId="201E0291" w14:textId="4DBDC44C" w:rsidR="00481776" w:rsidRPr="00A9375B" w:rsidRDefault="00481776" w:rsidP="003D74D8">
      <w:pPr>
        <w:pStyle w:val="BodyTextFirstIndent"/>
        <w:spacing w:line="480" w:lineRule="auto"/>
        <w:jc w:val="both"/>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r>
        <w:t xml:space="preserve">Mooting—assembling multiple attorneys to conduct a simulated argument before an advocate presents to a court—is an existing billing practice under the “internal conference” label, while the suggestions </w:t>
      </w:r>
      <w:del w:id="100119" w:author="Claude" w:date="2026-09-26T12:00:00Z">
        <w:r>
          <w:delText>above</w:delText>
        </w:r>
      </w:del>
      <w:ins w:id="100120" w:author="Claude" w:date="2026-09-26T12:00:00Z">
        <w:r>
          <w:t>of the previous Section</w:t>
        </w:r>
      </w:ins>
      <w:r>
        <w:t xml:space="preserve"> are, to my knowledge, novel. </w:t>
      </w:r>
      <w:r>
        <w:t>Michael Huston, a Perkins Coie partner and one of the most experienced Supreme Court advocates in the country, told me on a Zoom call that conducting a moot court—where one attorney plays one of the nine justices and the group grills his arguments—is essential to his SCOTUS prep routine.</w:t>
      </w:r>
      <w:r>
        <w:rPr>
          <w:rStyle w:val="FootnoteReference"/>
        </w:rPr>
        <w:footnoteReference w:id="718"/>
      </w:r>
      <w:r>
        <w:t xml:space="preserve"> The practice is an old one in the Washington bar. McGuire found that its experienced members “evaluate one another’s oral preparations, criticize their briefs, and school less experienced counsel on what questions to expect from the justices,” and that one lawyer, fresh from his first argument, “admitted that his appearance at the moot court had actually been more stressful.”</w:t>
      </w:r>
      <w:r>
        <w:rPr>
          <w:rStyle w:val="FootnoteReference"/>
        </w:rPr>
        <w:footnoteReference w:id="719"/>
      </w:r>
      <w:r>
        <w:t xml:space="preserve"> And as Professor Richard Lazarus observed, “[s]ome of the...best Supreme Court advocates in the country are the ones who change their arguments the most” after mooting because “[t]hey know how to listen to a moot and take advantage of a moot.”</w:t>
      </w:r>
      <w:r>
        <w:rPr>
          <w:rStyle w:val="FootnoteReference"/>
        </w:rPr>
        <w:footnoteReference w:id="720"/>
      </w:r>
      <w:r>
        <w:t xml:space="preserve"> Bartlit Beck is so dedicated to rehearsal that it has built a mock courtroom within its offices.</w:t>
      </w:r>
      <w:r>
        <w:rPr>
          <w:rStyle w:val="FootnoteReference"/>
        </w:rPr>
        <w:footnoteReference w:id="721"/>
      </w:r>
      <w:r>
        <w:t xml:space="preserve"> Other advocates prepare through moots at Georgetown Law School, which builds cognitive diversity by “selecting moot panelists from every conceivable ideological stratum” and protects the advocates’ psychological safety by keeping judgments confidential.</w:t>
      </w:r>
      <w:r>
        <w:rPr>
          <w:rStyle w:val="FootnoteReference"/>
        </w:rPr>
        <w:footnoteReference w:id="722"/>
      </w:r>
      <w:r>
        <w:t xml:space="preserve"> Federal courts have repeatedly approved fee petitions that include time for moot court exercises. The Ninth Circuit held that “[a] moot court to prepare for argument in a case as important as this one is not unreasonable,” and the Eleventh Circuit went further, stating that it “appreciate[s] and encourage[s] counsel’s thorough preparation for oral argument” (including the participation of multiple attorneys in a moot court session).</w:t>
      </w:r>
      <w:r>
        <w:rPr>
          <w:rStyle w:val="FootnoteReference"/>
        </w:rPr>
        <w:footnoteReference w:id="723"/>
      </w:r>
      <w:r>
        <w:t xml:space="preserve"> In fee litigation arising from the Supreme Court case of </w:t>
      </w:r>
      <w:r>
        <w:rPr>
          <w:i/>
          <w:iCs/>
        </w:rPr>
        <w:t>Brown v. Entertainment Merchants Association, Paul Clement</w:t>
      </w:r>
      <w:r>
        <w:t xml:space="preserve"> and his team successfully billed for their litigant team’s moot court after a court held “[i]t was entirely reasonable for Plaintiffs to…participate in a moot court exercise” and that “[e]ach of these litigators performed a discrete amount of work in preparation for the moot court.”</w:t>
      </w:r>
      <w:r>
        <w:rPr>
          <w:rStyle w:val="FootnoteReference"/>
        </w:rPr>
        <w:footnoteReference w:id="724"/>
      </w:r>
      <w:r>
        <w:t xml:space="preserve"> </w:t>
      </w:r>
    </w:p>
    <w:p w14:paraId="3A5533C4" w14:textId="77777777" w:rsidR="00D879FE" w:rsidRDefault="00000000">
      <w:pPr>
        <w:pStyle w:val="BodyTextFirstIndent"/>
        <w:spacing w:line="480" w:lineRule="auto"/>
        <w:jc w:val="both"/>
      </w:pPr>
      <w:r>
        <w:t xml:space="preserve">Carter Phillips, one of the most experienced Supreme Court advocates in the country, told </w:t>
      </w:r>
      <w:proofErr w:type="gramStart"/>
      <w:r>
        <w:t>me</w:t>
      </w:r>
      <w:proofErr w:type="gramEnd"/>
      <w:r>
        <w:t xml:space="preserve"> the same thing from the other end of a career.</w:t>
      </w:r>
      <w:r>
        <w:rPr>
          <w:rStyle w:val="FootnoteReference"/>
          <w:color w:val="000000" w:themeColor="text1"/>
        </w:rPr>
        <w:footnoteReference w:id="725"/>
      </w:r>
      <w:r>
        <w:t xml:space="preserve"> For his first twenty years, he said, the roundtables were “incredibly helpful.” He no longer holds them. His reputation now precedes him into the room, and, as he put it, “people won’t challenge me,” which defeats the purpose of the exercise. “I don’t need to be complimented,” he told me. “I want criticism of my case so I can win.”</w:t>
      </w:r>
    </w:p>
    <w:p w14:paraId="71AFBDCB" w14:textId="77777777" w:rsidR="00D879FE" w:rsidRDefault="00000000">
      <w:pPr>
        <w:pStyle w:val="BodyTextFirstIndent"/>
        <w:spacing w:line="480" w:lineRule="auto"/>
        <w:jc w:val="both"/>
      </w:pPr>
      <w:r>
        <w:t xml:space="preserve">The echo chamber is not the </w:t>
      </w:r>
      <w:proofErr w:type="gramStart"/>
      <w:r>
        <w:t>ACLU’s</w:t>
      </w:r>
      <w:proofErr w:type="gramEnd"/>
      <w:r>
        <w:t xml:space="preserve"> alone. Phillips has been asked to sit on the moots of civil-rights organizations, and when he does, he said, he is usually “the only non-believer” in the room; his critique is not well received. Nor is the reflex peculiar to public-interest lawyers. Whether the team is a civil-rights group or a law firm, he said, it tends not to seek feedback from outside, because it believes that “we have this group of litigators, we know how to handle it.” Law firms in particular do not look beyond their own walls, believing that they alone know how to handle the matter internally.</w:t>
      </w:r>
      <w:r>
        <w:rPr>
          <w:rStyle w:val="FootnoteReference"/>
          <w:color w:val="000000" w:themeColor="text1"/>
        </w:rPr>
        <w:footnoteReference w:id="726"/>
      </w:r>
    </w:p>
    <w:p w14:paraId="7E10FB8B" w14:textId="77777777" w:rsidR="00D879FE" w:rsidRDefault="00000000">
      <w:pPr>
        <w:pStyle w:val="BodyTextFirstIndent"/>
        <w:spacing w:line="480" w:lineRule="auto"/>
        <w:jc w:val="both"/>
      </w:pPr>
      <w:r>
        <w:t>Phillips also described the incentives that keep an untested case moving. Because the bar before the Court is so exclusive, and the chance to argue there so rare, the lawyer who has carried a case that far has every reason to argue it himself rather than hand it to an experienced advocate. Arguing before the Court is, in a phrase McGuire quotes, “a temptation few seem to be able to resist,”</w:t>
      </w:r>
      <w:r>
        <w:rPr>
          <w:rStyle w:val="FootnoteReference"/>
          <w:color w:val="000000" w:themeColor="text1"/>
        </w:rPr>
        <w:footnoteReference w:id="727"/>
      </w:r>
      <w:r>
        <w:t xml:space="preserve"> </w:t>
      </w:r>
      <w:r>
        <w:lastRenderedPageBreak/>
        <w:t>and McGuire records what happens when the temptation wins. In one of the Court’s punitive-damages cases, a Los Angeles corporate lawyer sat through “[s]</w:t>
      </w:r>
      <w:proofErr w:type="spellStart"/>
      <w:r>
        <w:t>everal</w:t>
      </w:r>
      <w:proofErr w:type="spellEnd"/>
      <w:r>
        <w:t xml:space="preserve"> moot courts on the West Coast and one in Washington,” one of which “apparently included a memorable scolding of Beckman by [Erwin] Griswold,” and which together “left the corporate bar wishing Beckman would surrender the argument” to a veteran of the Court. He “wouldn’t relinquish the case,” and “the corporate nightmare came true.”</w:t>
      </w:r>
      <w:r>
        <w:rPr>
          <w:rStyle w:val="FootnoteReference"/>
          <w:color w:val="000000" w:themeColor="text1"/>
        </w:rPr>
        <w:footnoteReference w:id="728"/>
      </w:r>
      <w:r>
        <w:t xml:space="preserve"> The same incentive, Phillips said, produces a “feeding frenzy” to write a petition for certiorari even when the case has little chance of success on the merits, so that the Court is sometimes handed an issue it should decide in a case that is the wrong vehicle for deciding it.</w:t>
      </w:r>
      <w:r>
        <w:rPr>
          <w:rStyle w:val="FootnoteReference"/>
          <w:color w:val="000000" w:themeColor="text1"/>
        </w:rPr>
        <w:footnoteReference w:id="729"/>
      </w:r>
      <w:r>
        <w:t xml:space="preserve"> Now the moot court had told Beckman precisely what the Court would tell him. Nothing required him to listen, and he did not. That is the exception, and it serves only to confirm the rule: the advocate heeds the test when something happens to him if he does not.</w:t>
      </w:r>
    </w:p>
    <w:p w14:paraId="6C8F0BCA" w14:textId="77777777" w:rsidR="00A726E0" w:rsidRPr="00A9375B" w:rsidRDefault="00A6440D" w:rsidP="003D74D8">
      <w:pPr>
        <w:pStyle w:val="BodyTextFirstIndent"/>
        <w:spacing w:line="480" w:lineRule="auto"/>
        <w:ind w:firstLine="0"/>
        <w:jc w:val="both"/>
        <w:rPr>
          <w:lang w:bidi="en-US"/>
        </w:rPr>
      </w:pPr>
      <w:r>
        <w:rPr>
          <w:lang w:bidi="en-US"/>
        </w:rPr>
        <w:t xml:space="preserve"> </w:t>
      </w:r>
    </w:p>
    <w:p w14:paraId="46C42DCF" w14:textId="77777777" w:rsidR="00A726E0" w:rsidRPr="00DC3877" w:rsidRDefault="00A726E0" w:rsidP="003D74D8">
      <w:pPr>
        <w:pStyle w:val="BodyTextFirstIndent"/>
        <w:numPr>
          <w:ilvl w:val="0"/>
          <w:numId w:val="39"/>
        </w:numPr>
        <w:spacing w:line="480" w:lineRule="auto"/>
        <w:jc w:val="both"/>
        <w:rPr>
          <w:i/>
          <w:iCs/>
          <w:lang w:bidi="en-US"/>
        </w:rPr>
        <w:pPrChange w:id="200511" w:author="Claude" w:date="2026-09-27T12:00:00Z">
          <w:pPr>
            <w:pStyle w:val="BodyTextFirstIndent"/>
            <w:numPr>
              <w:ilvl w:val="0"/>
              <w:numId w:val="32"/>
            </w:numPr>
            <w:spacing w:line="480" w:lineRule="auto"/>
            <w:jc w:val="both"/>
          </w:pPr>
        </w:pPrChange>
      </w:pPr>
      <w:r>
        <w:rPr>
          <w:i/>
          <w:iCs/>
          <w:lang w:bidi="en-US"/>
        </w:rPr>
        <w:t>One Final Case Study: Authentic Dissent as a Necessary Condition to Remarkable Advocacy</w:t>
      </w:r>
    </w:p>
    <w:p w14:paraId="6F1E278D" w14:textId="77777777" w:rsidR="00A726E0" w:rsidRPr="00A9375B" w:rsidRDefault="00A726E0" w:rsidP="003D74D8">
      <w:pPr>
        <w:pStyle w:val="BodyTextFirstIndent"/>
        <w:spacing w:line="480" w:lineRule="auto"/>
        <w:ind w:firstLine="0"/>
        <w:jc w:val="both"/>
        <w:rPr>
          <w:lang w:bidi="en-US"/>
        </w:rPr>
      </w:pPr>
    </w:p>
    <w:p w14:paraId="72E045C1" w14:textId="77777777" w:rsidR="00A726E0" w:rsidRPr="00A9375B" w:rsidRDefault="00A726E0" w:rsidP="003D74D8">
      <w:pPr>
        <w:pStyle w:val="BodyTextFirstIndent"/>
        <w:spacing w:line="480" w:lineRule="auto"/>
        <w:jc w:val="both"/>
        <w:rPr>
          <w:lang w:bidi="en-US"/>
        </w:rPr>
      </w:pPr>
      <w:r>
        <w:rPr>
          <w:lang w:bidi="en-US"/>
        </w:rPr>
        <w:t xml:space="preserve">Recovering the forge of pre-filing scrutiny—through the cultivation of authentic dissent—is a necessary condition for remarkable advocacy. Theodore Olson and David </w:t>
      </w:r>
      <w:proofErr w:type="spellStart"/>
      <w:r>
        <w:rPr>
          <w:lang w:bidi="en-US"/>
        </w:rPr>
        <w:t>Boies</w:t>
      </w:r>
      <w:proofErr w:type="spellEnd"/>
      <w:r>
        <w:rPr>
          <w:lang w:bidi="en-US"/>
        </w:rPr>
        <w:t xml:space="preserve"> challenged California’s Proposition 8, which denied gay and lesbian couples marriage rights.</w:t>
      </w:r>
      <w:r>
        <w:rPr>
          <w:rStyle w:val="FootnoteReference"/>
          <w:color w:val="000000" w:themeColor="text1"/>
        </w:rPr>
        <w:footnoteReference w:id="730"/>
      </w:r>
      <w:r>
        <w:t xml:space="preserve"> The </w:t>
      </w:r>
      <w:r>
        <w:lastRenderedPageBreak/>
        <w:t xml:space="preserve">partnership began when Olson, who viewed the ban as repugnant to his abiding commitment to individual liberty, reached out to David </w:t>
      </w:r>
      <w:proofErr w:type="spellStart"/>
      <w:r>
        <w:t>Boies</w:t>
      </w:r>
      <w:proofErr w:type="spellEnd"/>
      <w:r>
        <w:t xml:space="preserve">, his former adversary in </w:t>
      </w:r>
      <w:r>
        <w:rPr>
          <w:i/>
          <w:iCs/>
        </w:rPr>
        <w:t>Bush v. Gore</w:t>
      </w:r>
      <w:r>
        <w:t>.</w:t>
      </w:r>
      <w:r>
        <w:rPr>
          <w:rStyle w:val="FootnoteReference"/>
          <w:color w:val="000000" w:themeColor="text1"/>
        </w:rPr>
        <w:footnoteReference w:id="731"/>
      </w:r>
      <w:r>
        <w:t xml:space="preserve"> Despite having been opponents in that case, Olson deeply respected </w:t>
      </w:r>
      <w:proofErr w:type="spellStart"/>
      <w:r>
        <w:t>Boies</w:t>
      </w:r>
      <w:proofErr w:type="spellEnd"/>
      <w:r>
        <w:t xml:space="preserve"> and recognized that, given his own conservative reputation, he would need to surround himself with someone from “the other side of the political spectrum.”</w:t>
      </w:r>
      <w:r>
        <w:rPr>
          <w:rStyle w:val="FootnoteReference"/>
          <w:color w:val="000000" w:themeColor="text1"/>
        </w:rPr>
        <w:footnoteReference w:id="732"/>
      </w:r>
      <w:r>
        <w:t xml:space="preserve"> </w:t>
      </w:r>
      <w:proofErr w:type="spellStart"/>
      <w:r>
        <w:t>Boies</w:t>
      </w:r>
      <w:proofErr w:type="spellEnd"/>
      <w:r>
        <w:t xml:space="preserve"> enthusiastically accepted the invitation, as he shared Olson’s conviction that Proposition 8 was an egregious violation of civil rights.</w:t>
      </w:r>
      <w:r>
        <w:rPr>
          <w:rStyle w:val="FootnoteReference"/>
        </w:rPr>
        <w:footnoteReference w:id="733"/>
      </w:r>
      <w:r>
        <w:t xml:space="preserve"> When the pair first floated the idea of a federal challenge, prominent civil rights organizations and progressive leaders urged them not to proceed, fearing that an untested federal claim brought prematurely before a conservative Supreme Court would set the movement back for a generation.</w:t>
      </w:r>
      <w:r>
        <w:rPr>
          <w:rStyle w:val="FootnoteReference"/>
          <w:color w:val="000000" w:themeColor="text1"/>
        </w:rPr>
        <w:footnoteReference w:id="734"/>
      </w:r>
    </w:p>
    <w:p w14:paraId="20E0EEC8" w14:textId="77777777" w:rsidR="00A726E0" w:rsidRPr="00A9375B" w:rsidRDefault="00A726E0" w:rsidP="003D74D8">
      <w:pPr>
        <w:pStyle w:val="BodyTextFirstIndent"/>
        <w:spacing w:line="480" w:lineRule="auto"/>
        <w:jc w:val="both"/>
      </w:pPr>
      <w:r>
        <w:t>This feedback did not deter them.</w:t>
      </w:r>
      <w:r>
        <w:rPr>
          <w:rStyle w:val="FootnoteReference"/>
          <w:color w:val="000000" w:themeColor="text1"/>
        </w:rPr>
        <w:footnoteReference w:id="735"/>
      </w:r>
      <w:r>
        <w:t xml:space="preserve"> As an experienced litigator, Olson had “seen lawyers that were less prepared . . . bringing cases that weren’t sufficiently . . . </w:t>
      </w:r>
      <w:proofErr w:type="spellStart"/>
      <w:r>
        <w:t>well grounded</w:t>
      </w:r>
      <w:proofErr w:type="spellEnd"/>
      <w:r>
        <w:t xml:space="preserve"> and prepared,” with consequences that “can be devastating”—the very pattern of deficient advocacy that follows </w:t>
      </w:r>
      <w:r>
        <w:lastRenderedPageBreak/>
        <w:t>from the absence of pre-filing scrutiny.</w:t>
      </w:r>
      <w:r>
        <w:rPr>
          <w:rStyle w:val="FootnoteReference"/>
          <w:color w:val="000000" w:themeColor="text1"/>
        </w:rPr>
        <w:footnoteReference w:id="736"/>
      </w:r>
      <w:r>
        <w:t xml:space="preserve"> They vowed to make their case distinctive by “being sure that when we filed the case, we were ready,” having “totally prepared the case.”</w:t>
      </w:r>
      <w:r>
        <w:rPr>
          <w:rStyle w:val="FootnoteReference"/>
        </w:rPr>
        <w:footnoteReference w:id="737"/>
      </w:r>
      <w:r>
        <w:t xml:space="preserve"> Olson said he would be interested in doing it “if it’s going to be done right[,] if we have the right plaintiffs[,] we have the right resources[,] we have the right commitment to take it all [the] way.”</w:t>
      </w:r>
      <w:r>
        <w:rPr>
          <w:rStyle w:val="FootnoteReference"/>
          <w:color w:val="000000" w:themeColor="text1"/>
        </w:rPr>
        <w:footnoteReference w:id="738"/>
      </w:r>
      <w:r>
        <w:t xml:space="preserve"> Although a federal challenge was inevitable given the tens of thousands of gay Californians yearning to marry, the advocate groups’ state-court challenge, Strauss v. Horton, had, in effect, bought them the time.</w:t>
      </w:r>
      <w:r>
        <w:rPr>
          <w:rStyle w:val="FootnoteReference"/>
          <w:color w:val="000000" w:themeColor="text1"/>
        </w:rPr>
        <w:footnoteReference w:id="739"/>
      </w:r>
      <w:r>
        <w:t xml:space="preserve"> They got to work—eventually drawing more than fifty lawyers and paralegals from their two firms,</w:t>
      </w:r>
      <w:r>
        <w:rPr>
          <w:rStyle w:val="FootnoteReference"/>
          <w:color w:val="000000" w:themeColor="text1"/>
        </w:rPr>
        <w:footnoteReference w:id="740"/>
      </w:r>
      <w:r>
        <w:t xml:space="preserve"> as Olson wrote of his own decision to take the case:</w:t>
      </w:r>
    </w:p>
    <w:p w14:paraId="70353742" w14:textId="77777777" w:rsidR="00A726E0" w:rsidRPr="00A9375B" w:rsidRDefault="00A726E0" w:rsidP="003D74D8">
      <w:pPr>
        <w:pStyle w:val="BodyTextFirstIndent2"/>
        <w:spacing w:line="480" w:lineRule="auto"/>
        <w:ind w:left="720" w:right="720" w:firstLine="0"/>
        <w:jc w:val="both"/>
      </w:pPr>
      <w:r>
        <w:t xml:space="preserve">“We should each, in his own way, have a personal council of elders—a board of directors, a collection of a few individuals available individually or collectively with whom to consult on important decisions. . . . And that body of wise people should include persons who think differently from us or have different backgrounds. We all too often consult only with people who give us the answer we want to hear or the answer that they </w:t>
      </w:r>
      <w:r>
        <w:rPr>
          <w:i/>
          <w:iCs/>
        </w:rPr>
        <w:t>think</w:t>
      </w:r>
      <w:r>
        <w:t xml:space="preserve"> we want to hear.”</w:t>
      </w:r>
      <w:r>
        <w:rPr>
          <w:rStyle w:val="FootnoteReference"/>
          <w:color w:val="000000" w:themeColor="text1"/>
        </w:rPr>
        <w:footnoteReference w:id="741"/>
      </w:r>
    </w:p>
    <w:p w14:paraId="4495DF8E" w14:textId="77777777" w:rsidR="00702CFA" w:rsidRPr="00A9375B" w:rsidRDefault="00A726E0" w:rsidP="003D74D8">
      <w:pPr>
        <w:pStyle w:val="BodyTextFirstIndent"/>
        <w:spacing w:line="480" w:lineRule="auto"/>
        <w:jc w:val="both"/>
      </w:pPr>
      <w:r>
        <w:t xml:space="preserve">What followed was a voluntary reconstruction of the forge. The team studied prior civil rights battles and gathered the complaints and briefings in the state marriage cases from Iowa to </w:t>
      </w:r>
      <w:r>
        <w:lastRenderedPageBreak/>
        <w:t>Massachusetts.</w:t>
      </w:r>
      <w:r>
        <w:rPr>
          <w:rStyle w:val="FootnoteReference"/>
          <w:color w:val="000000" w:themeColor="text1"/>
        </w:rPr>
        <w:footnoteReference w:id="742"/>
      </w:r>
      <w:r>
        <w:t xml:space="preserve"> Olson and </w:t>
      </w:r>
      <w:proofErr w:type="spellStart"/>
      <w:r>
        <w:t>Boies</w:t>
      </w:r>
      <w:proofErr w:type="spellEnd"/>
      <w:r>
        <w:t xml:space="preserve"> wanted to hear contrary points of view,</w:t>
      </w:r>
      <w:r>
        <w:rPr>
          <w:rStyle w:val="FootnoteReference"/>
          <w:color w:val="000000" w:themeColor="text1"/>
        </w:rPr>
        <w:footnoteReference w:id="743"/>
      </w:r>
      <w:r>
        <w:t xml:space="preserve"> and one of them made a point of “figuring out what the best argument is on the other side.”</w:t>
      </w:r>
      <w:r>
        <w:rPr>
          <w:rStyle w:val="FootnoteReference"/>
          <w:color w:val="000000" w:themeColor="text1"/>
        </w:rPr>
        <w:footnoteReference w:id="744"/>
      </w:r>
      <w:r>
        <w:t xml:space="preserve"> This thorough pre-filing scrutiny of both the case’s law and facts included the meticulous selection of plaintiffs who were not just smart and relatable, but possessed the specific “grace under enormous pressure” required to withstand the intense public probing of their private lives.</w:t>
      </w:r>
      <w:r>
        <w:rPr>
          <w:rStyle w:val="FootnoteReference"/>
          <w:color w:val="000000" w:themeColor="text1"/>
        </w:rPr>
        <w:footnoteReference w:id="745"/>
      </w:r>
      <w:r>
        <w:t xml:space="preserve"> As the case proceeded, the team rehearsed its arguments in intense moot court sessions and prepared its plaintiffs through mock depositions.</w:t>
      </w:r>
      <w:r>
        <w:rPr>
          <w:rStyle w:val="FootnoteReference"/>
          <w:color w:val="000000" w:themeColor="text1"/>
        </w:rPr>
        <w:footnoteReference w:id="746"/>
      </w:r>
      <w:r>
        <w:t xml:space="preserve"> By the time of trial, they had built a factual record so battle-tested—based on consultation with the best experts in the world across history, psychology, and economics—that it could withstand any scrutiny the opposition or the court might bring.</w:t>
      </w:r>
      <w:r>
        <w:rPr>
          <w:rStyle w:val="FootnoteReference"/>
          <w:color w:val="000000" w:themeColor="text1"/>
        </w:rPr>
        <w:footnoteReference w:id="747"/>
      </w:r>
      <w:r>
        <w:t xml:space="preserve"> Because of its pre-filing scrutiny, the team won at the district court and eventually at the Supreme Court in </w:t>
      </w:r>
      <w:r>
        <w:rPr>
          <w:i/>
          <w:iCs/>
        </w:rPr>
        <w:t xml:space="preserve">Hollingsworth </w:t>
      </w:r>
      <w:r>
        <w:rPr>
          <w:i/>
          <w:iCs/>
        </w:rPr>
        <w:lastRenderedPageBreak/>
        <w:t>v. Perry</w:t>
      </w:r>
      <w:r>
        <w:t>—a ruling that the proponents lacked standing to appeal, which left in place the district court’s decision protecting gay and lesbian couples’ equal rights.</w:t>
      </w:r>
      <w:r>
        <w:rPr>
          <w:rStyle w:val="FootnoteReference"/>
          <w:color w:val="000000" w:themeColor="text1"/>
        </w:rPr>
        <w:footnoteReference w:id="748"/>
      </w:r>
    </w:p>
    <w:p w14:paraId="44AE18BC" w14:textId="77777777" w:rsidR="00B04266" w:rsidRPr="00A9375B" w:rsidRDefault="00B04266" w:rsidP="003D74D8">
      <w:pPr>
        <w:pStyle w:val="BodyTextFirstIndent"/>
        <w:spacing w:line="480" w:lineRule="auto"/>
        <w:ind w:firstLine="0"/>
        <w:jc w:val="both"/>
      </w:pPr>
    </w:p>
    <w:p w14:paraId="65F7CF71" w14:textId="77777777" w:rsidR="005C47BF" w:rsidRPr="00A9375B" w:rsidRDefault="005C47BF" w:rsidP="003D74D8">
      <w:pPr>
        <w:pStyle w:val="ListParagraph"/>
        <w:numPr>
          <w:ilvl w:val="0"/>
          <w:numId w:val="31"/>
        </w:numPr>
        <w:spacing w:line="480" w:lineRule="auto"/>
        <w:jc w:val="center"/>
        <w:rPr>
          <w:smallCaps/>
          <w:color w:val="000000" w:themeColor="text1"/>
        </w:rPr>
      </w:pPr>
      <w:r>
        <w:rPr>
          <w:smallCaps/>
          <w:color w:val="000000" w:themeColor="text1"/>
        </w:rPr>
        <w:t>Conclusion</w:t>
      </w:r>
    </w:p>
    <w:p w14:paraId="6EDE1883" w14:textId="77777777" w:rsidR="00A70822" w:rsidRPr="00A9375B" w:rsidRDefault="00A70822" w:rsidP="003D74D8">
      <w:pPr>
        <w:spacing w:line="480" w:lineRule="auto"/>
        <w:jc w:val="both"/>
        <w:rPr>
          <w:color w:val="000000" w:themeColor="text1"/>
        </w:rPr>
      </w:pPr>
    </w:p>
    <w:p w14:paraId="595F3A19" w14:textId="77777777" w:rsidR="005F2743" w:rsidRPr="00A9375B" w:rsidRDefault="005F2743" w:rsidP="003D74D8">
      <w:pPr>
        <w:spacing w:line="480" w:lineRule="auto"/>
        <w:ind w:firstLine="360"/>
        <w:jc w:val="both"/>
        <w:rPr>
          <w:color w:val="000000" w:themeColor="text1"/>
        </w:rPr>
      </w:pPr>
      <w:r>
        <w:rPr>
          <w:color w:val="000000" w:themeColor="text1"/>
        </w:rPr>
        <w:t>How, then, might one summarize what the history of dispute resolution reveals about how modern legal teams deliberate? I have argued that the vocabulary modern lawyers use for “Alternative Dispute Resolution” has grown impoverished through neglect, and that recovering the original meaning is not an exercise in etymology but a necessary condition for effective advocacy—recognizing that “what we think and say today will mingle with and shape the thoughts of men in the years to come.”</w:t>
      </w:r>
      <w:r>
        <w:rPr>
          <w:rStyle w:val="FootnoteReference"/>
          <w:color w:val="000000" w:themeColor="text1"/>
        </w:rPr>
        <w:footnoteReference w:id="749"/>
      </w:r>
      <w:r>
        <w:rPr>
          <w:color w:val="000000" w:themeColor="text1"/>
        </w:rPr>
        <w:t xml:space="preserve"> The modern definition of “ADR” defines “alternative” as a modifier distinguishing mediation, arbitration, and negotiation from trial, and “disputes” as something occurring in a post-Externalization timeline.</w:t>
      </w:r>
      <w:r>
        <w:t xml:space="preserve"> </w:t>
      </w:r>
      <w:r>
        <w:rPr>
          <w:color w:val="000000" w:themeColor="text1"/>
        </w:rPr>
        <w:t xml:space="preserve">But that usage is repugnant to the one adopted throughout the greater arc of recorded human history, where a “dispute” was a grievance still being tested in the forge of a Deliberative Body, and the true “alternative” referred to the question of whether to advance that grievance into the adversarial arena at all. </w:t>
      </w:r>
    </w:p>
    <w:p w14:paraId="3544A920" w14:textId="77777777" w:rsidR="005F2743" w:rsidRPr="00A9375B" w:rsidRDefault="005F2743" w:rsidP="003D74D8">
      <w:pPr>
        <w:spacing w:line="480" w:lineRule="auto"/>
        <w:ind w:firstLine="360"/>
        <w:jc w:val="both"/>
        <w:rPr>
          <w:color w:val="000000" w:themeColor="text1"/>
        </w:rPr>
      </w:pPr>
      <w:r>
        <w:rPr>
          <w:color w:val="000000" w:themeColor="text1"/>
        </w:rPr>
        <w:t xml:space="preserve">Without the forge, and with a collapsed dispute resolution plane, legal teams in the United States are susceptible to producing deficient litigation strategies as their biases—caused by the narrow focus of looking outward toward external forums and not inward to the strength of one’s </w:t>
      </w:r>
      <w:r>
        <w:rPr>
          <w:color w:val="000000" w:themeColor="text1"/>
        </w:rPr>
        <w:lastRenderedPageBreak/>
        <w:t xml:space="preserve">case—contaminate case assessment and decision-making. I argued in this Note that ancient dispute resolution systems counteracted these biases by imposing ‘costs’ of entering the formal system—whether divine punishment for baseless claims in the Ancient Near East, reputational risks before community witnesses in Classical Greece, or moral consequences for fracturing social harmony in Traditional China—which disputants ‘paid’ by testing their cases’ merit. In the United States, there is no real ‘cost’ for entering court with a bad claim (it is certainly not Rule 11). Given the three historical circumstances, Deliberative Bodies should lean into the system of monetized disputes. What I propose asks very little of the profession, for the institutions of law work at their best when they move with, and not against, the prevailing forces of the system they inhabit. Because internal conferences can be billed, spending more time scrutinizing one’s claim before filing can be profitable while simultaneously meeting the needs of zealous advocacy. </w:t>
      </w:r>
    </w:p>
    <w:p w14:paraId="2618F483" w14:textId="77777777" w:rsidR="005F2743" w:rsidRPr="00A9375B" w:rsidRDefault="005F2743" w:rsidP="003D74D8">
      <w:pPr>
        <w:spacing w:line="480" w:lineRule="auto"/>
        <w:ind w:firstLine="360"/>
        <w:jc w:val="both"/>
        <w:rPr>
          <w:color w:val="000000" w:themeColor="text1"/>
        </w:rPr>
      </w:pPr>
      <w:r>
        <w:rPr>
          <w:color w:val="000000" w:themeColor="text1"/>
        </w:rPr>
        <w:t xml:space="preserve">No doubt, just as I spilled ink criticizing scholars, ideas, and movements within this Note for being overly simple, I too may be foolish in oversimplifying my arguments. I am painfully aware that the ambition of this Note exceeds what any single piece of legal scholarship can deliver with confidence. The scope is much larger than what I initially set out to write, and I suspect, more than most readers bargained for. I do not doubt that elements of my analysis have holes, some of which I can see and others I cannot. After all, I am a student of history and not a historian, and I have interpreted and applied history in ways that fit my argument, not in ways a historian would, having benefited from the more neutral decades of cross-cultural study. I encourage readers to subject my arguments to precisely the kind of adversarial scrutiny I have spent these pages advocating, for it would be ironic if a Note arguing for dissent asked its readers to accept my dogma without question. </w:t>
      </w:r>
    </w:p>
    <w:p w14:paraId="26690ECC" w14:textId="77777777" w:rsidR="005F2743" w:rsidRPr="00A9375B" w:rsidRDefault="005F2743" w:rsidP="003D74D8">
      <w:pPr>
        <w:spacing w:line="480" w:lineRule="auto"/>
        <w:ind w:firstLine="360"/>
        <w:jc w:val="both"/>
        <w:rPr>
          <w:color w:val="000000" w:themeColor="text1"/>
        </w:rPr>
      </w:pPr>
      <w:r>
        <w:rPr>
          <w:color w:val="000000" w:themeColor="text1"/>
        </w:rPr>
        <w:lastRenderedPageBreak/>
        <w:t xml:space="preserve">Even if my theory, in places, ends up flawed upon further examination, I am more confident than I have ever been that the case studies examined in this Note—the Constitutional Convention of 1787, the NAACP’s school segregation campaign, and Theodore Olson and David </w:t>
      </w:r>
      <w:proofErr w:type="spellStart"/>
      <w:r>
        <w:rPr>
          <w:color w:val="000000" w:themeColor="text1"/>
        </w:rPr>
        <w:t>Boies’s</w:t>
      </w:r>
      <w:proofErr w:type="spellEnd"/>
      <w:r>
        <w:rPr>
          <w:color w:val="000000" w:themeColor="text1"/>
        </w:rPr>
        <w:t xml:space="preserve"> Proposition 8 challenge—prove that pre-filing scrutiny is a prerequisite for remarkable advocacy. If human history reveals that pre-filing scrutiny improves legal advocacy, and if modern conditions make that pre-filing scrutiny billable, consistent with zealous advocacy, and accepted in our current institutional climate of disputing (the three historical circumstances), then I implore Deliberative Bodies to recreate the forge. Recovering the forge requires nothing more, and nothing less, than a willingness to surround oneself with people who think differently, and to listen to what they have to say.</w:t>
      </w:r>
    </w:p>
    <w:p w14:paraId="27696D58" w14:textId="77777777" w:rsidR="00AA24EC" w:rsidRPr="00A9375B" w:rsidRDefault="00AA24EC" w:rsidP="000E3EAB">
      <w:pPr>
        <w:jc w:val="both"/>
        <w:rPr>
          <w:color w:val="000000" w:themeColor="text1"/>
        </w:rPr>
      </w:pPr>
    </w:p>
    <w:p w14:paraId="12949C84" w14:textId="77777777" w:rsidR="00442CBB" w:rsidRDefault="00442CBB" w:rsidP="000E3EAB">
      <w:pPr>
        <w:pStyle w:val="BodyTextIndent"/>
        <w:spacing w:after="0"/>
        <w:jc w:val="center"/>
      </w:pPr>
      <w:r>
        <w:t>Appendix A.</w:t>
      </w:r>
    </w:p>
    <w:p w14:paraId="6A453BBB" w14:textId="77777777" w:rsidR="000E3EAB" w:rsidRPr="00A9375B" w:rsidRDefault="000E3EAB" w:rsidP="000E3EAB">
      <w:pPr>
        <w:pStyle w:val="BodyTextIndent"/>
        <w:spacing w:after="0"/>
        <w:jc w:val="center"/>
      </w:pPr>
    </w:p>
    <w:p w14:paraId="7D117595" w14:textId="77777777" w:rsidR="004E67DB" w:rsidRPr="000E3EAB" w:rsidRDefault="004E67DB" w:rsidP="000E3EAB">
      <w:pPr>
        <w:pStyle w:val="ListParagraph"/>
        <w:numPr>
          <w:ilvl w:val="0"/>
          <w:numId w:val="38"/>
        </w:numPr>
        <w:jc w:val="both"/>
        <w:rPr>
          <w:color w:val="000000" w:themeColor="text1"/>
        </w:rPr>
      </w:pPr>
      <w:r>
        <w:rPr>
          <w:color w:val="000000" w:themeColor="text1"/>
        </w:rPr>
        <w:t>Citation for Figure 1</w:t>
      </w:r>
    </w:p>
    <w:p w14:paraId="21D8D09D" w14:textId="77777777" w:rsidR="00442CBB" w:rsidRPr="00A9375B" w:rsidRDefault="00442CBB" w:rsidP="000E3EAB">
      <w:pPr>
        <w:ind w:firstLine="720"/>
        <w:jc w:val="both"/>
        <w:rPr>
          <w:color w:val="000000" w:themeColor="text1"/>
        </w:rPr>
      </w:pPr>
    </w:p>
    <w:p w14:paraId="15C7D7B4" w14:textId="77777777" w:rsidR="00442CBB" w:rsidRPr="00A9375B" w:rsidRDefault="00624B82" w:rsidP="000E3EAB">
      <w:pPr>
        <w:pStyle w:val="BodyText"/>
        <w:spacing w:after="0"/>
        <w:jc w:val="both"/>
      </w:pPr>
      <w:r>
        <w:rPr>
          <w:smallCaps/>
        </w:rPr>
        <w:t>Martha T. Roth, Law Collections from Mesopotamia and Asia Minor</w:t>
      </w:r>
      <w:r>
        <w:t xml:space="preserve"> 15, 68, 81 (2d ed. 1997); </w:t>
      </w:r>
      <w:proofErr w:type="spellStart"/>
      <w:r>
        <w:t>Thorkild</w:t>
      </w:r>
      <w:proofErr w:type="spellEnd"/>
      <w:r>
        <w:t xml:space="preserve"> Jacobsen, </w:t>
      </w:r>
      <w:r>
        <w:rPr>
          <w:i/>
          <w:iCs/>
        </w:rPr>
        <w:t>Primitive Democracy in Ancient Mesopotamia</w:t>
      </w:r>
      <w:r>
        <w:t xml:space="preserve">, 2 J. </w:t>
      </w:r>
      <w:r>
        <w:rPr>
          <w:smallCaps/>
        </w:rPr>
        <w:t>Near E. Stud</w:t>
      </w:r>
      <w:r>
        <w:t xml:space="preserve">. 159, 162–64, 166 (1943); Geoffrey Evans, </w:t>
      </w:r>
      <w:r>
        <w:rPr>
          <w:i/>
          <w:iCs/>
        </w:rPr>
        <w:t>Ancient Mesopotamian Assemblies</w:t>
      </w:r>
      <w:r>
        <w:t xml:space="preserve">, 78 J. </w:t>
      </w:r>
      <w:r>
        <w:rPr>
          <w:smallCaps/>
        </w:rPr>
        <w:t>Am. Oriental Soc’y</w:t>
      </w:r>
      <w:r>
        <w:t xml:space="preserve"> 1, 5–7 (1958); Raymond Westbrook, </w:t>
      </w:r>
      <w:r>
        <w:rPr>
          <w:i/>
          <w:iCs/>
        </w:rPr>
        <w:t>The Character of Ancient Near Eastern Law</w:t>
      </w:r>
      <w:r>
        <w:t xml:space="preserve">, </w:t>
      </w:r>
      <w:r>
        <w:rPr>
          <w:i/>
          <w:iCs/>
        </w:rPr>
        <w:t>in</w:t>
      </w:r>
      <w:r>
        <w:t xml:space="preserve"> 1 </w:t>
      </w:r>
      <w:r>
        <w:rPr>
          <w:smallCaps/>
        </w:rPr>
        <w:t>A History of Ancient Near Eastern Law</w:t>
      </w:r>
      <w:r>
        <w:t xml:space="preserve"> 28, 56, 90 (Raymond Westbrook ed., 2003); Raymond Westbrook, </w:t>
      </w:r>
      <w:r>
        <w:rPr>
          <w:i/>
          <w:iCs/>
        </w:rPr>
        <w:t>Old Babylonian Period</w:t>
      </w:r>
      <w:r>
        <w:t xml:space="preserve">, </w:t>
      </w:r>
      <w:r>
        <w:rPr>
          <w:i/>
          <w:iCs/>
        </w:rPr>
        <w:t>in</w:t>
      </w:r>
      <w:r>
        <w:t xml:space="preserve"> 1 </w:t>
      </w:r>
      <w:r>
        <w:rPr>
          <w:smallCaps/>
        </w:rPr>
        <w:t>A History of Ancient Near Eastern Law</w:t>
      </w:r>
      <w:r>
        <w:t xml:space="preserve"> 361, 366–67, 419 (Raymond Westbrook ed., 2003); </w:t>
      </w:r>
      <w:proofErr w:type="spellStart"/>
      <w:r>
        <w:t>Klaas</w:t>
      </w:r>
      <w:proofErr w:type="spellEnd"/>
      <w:r>
        <w:t xml:space="preserve"> Veenhof, </w:t>
      </w:r>
      <w:r>
        <w:rPr>
          <w:i/>
          <w:iCs/>
        </w:rPr>
        <w:t>Old Assyrian Period</w:t>
      </w:r>
      <w:r>
        <w:t xml:space="preserve">, </w:t>
      </w:r>
      <w:r>
        <w:rPr>
          <w:i/>
          <w:iCs/>
        </w:rPr>
        <w:t>in</w:t>
      </w:r>
      <w:r>
        <w:t xml:space="preserve"> 1 </w:t>
      </w:r>
      <w:r>
        <w:rPr>
          <w:smallCaps/>
        </w:rPr>
        <w:t>A History of Ancient Near Eastern Law</w:t>
      </w:r>
      <w:r>
        <w:t xml:space="preserve"> 431, 436–37, 440 (Raymond Westbrook ed., 2003); Bertrand </w:t>
      </w:r>
      <w:proofErr w:type="spellStart"/>
      <w:r>
        <w:t>Lafont</w:t>
      </w:r>
      <w:proofErr w:type="spellEnd"/>
      <w:r>
        <w:t xml:space="preserve"> &amp; Raymond Westbrook, </w:t>
      </w:r>
      <w:r>
        <w:rPr>
          <w:i/>
          <w:iCs/>
        </w:rPr>
        <w:t>Neo-Sumerian Period (Ur III)</w:t>
      </w:r>
      <w:r>
        <w:t xml:space="preserve">, </w:t>
      </w:r>
      <w:r>
        <w:rPr>
          <w:i/>
          <w:iCs/>
        </w:rPr>
        <w:t>in</w:t>
      </w:r>
      <w:r>
        <w:t xml:space="preserve"> 1 </w:t>
      </w:r>
      <w:r>
        <w:rPr>
          <w:smallCaps/>
        </w:rPr>
        <w:t>A History of Ancient Near Eastern Law</w:t>
      </w:r>
      <w:r>
        <w:t xml:space="preserve"> 183, 213, 219 (Raymond Westbrook ed., 2003); Claus </w:t>
      </w:r>
      <w:proofErr w:type="spellStart"/>
      <w:r>
        <w:t>Wilcke</w:t>
      </w:r>
      <w:proofErr w:type="spellEnd"/>
      <w:r>
        <w:t xml:space="preserve">, </w:t>
      </w:r>
      <w:r>
        <w:rPr>
          <w:i/>
          <w:iCs/>
        </w:rPr>
        <w:t>Early Dynastic and Sargonic Periods</w:t>
      </w:r>
      <w:r>
        <w:t xml:space="preserve">, </w:t>
      </w:r>
      <w:r>
        <w:rPr>
          <w:i/>
          <w:iCs/>
        </w:rPr>
        <w:t>in</w:t>
      </w:r>
      <w:r>
        <w:t xml:space="preserve"> 1 </w:t>
      </w:r>
      <w:r>
        <w:rPr>
          <w:smallCaps/>
        </w:rPr>
        <w:t>A History of Ancient Near Eastern Law</w:t>
      </w:r>
      <w:r>
        <w:t xml:space="preserve"> 141, 150 (Raymond Westbrook ed., 2003); Sophie </w:t>
      </w:r>
      <w:proofErr w:type="spellStart"/>
      <w:r>
        <w:t>Démare-Lafont</w:t>
      </w:r>
      <w:proofErr w:type="spellEnd"/>
      <w:r>
        <w:t xml:space="preserve">, </w:t>
      </w:r>
      <w:r>
        <w:rPr>
          <w:i/>
          <w:iCs/>
        </w:rPr>
        <w:t>Mesopotamian Judicial Practice: An Overview</w:t>
      </w:r>
      <w:r>
        <w:t xml:space="preserve">, </w:t>
      </w:r>
      <w:r>
        <w:rPr>
          <w:i/>
          <w:iCs/>
        </w:rPr>
        <w:t>in</w:t>
      </w:r>
      <w:r>
        <w:t xml:space="preserve"> </w:t>
      </w:r>
      <w:r>
        <w:rPr>
          <w:smallCaps/>
        </w:rPr>
        <w:t>Judicial Decisions in the Ancient Near East</w:t>
      </w:r>
      <w:r>
        <w:t xml:space="preserve"> 1, 15 (Sophie </w:t>
      </w:r>
      <w:proofErr w:type="spellStart"/>
      <w:r>
        <w:t>Démare-Lafont</w:t>
      </w:r>
      <w:proofErr w:type="spellEnd"/>
      <w:r>
        <w:t xml:space="preserve"> &amp; Daniel E. Fleming eds., 2023); Brigitte Lion, </w:t>
      </w:r>
      <w:r>
        <w:rPr>
          <w:i/>
          <w:iCs/>
        </w:rPr>
        <w:t xml:space="preserve">The Judicial Archives of the Kingdom of </w:t>
      </w:r>
      <w:proofErr w:type="spellStart"/>
      <w:r>
        <w:rPr>
          <w:i/>
          <w:iCs/>
        </w:rPr>
        <w:t>Arraphe</w:t>
      </w:r>
      <w:proofErr w:type="spellEnd"/>
      <w:r>
        <w:t xml:space="preserve">, </w:t>
      </w:r>
      <w:r>
        <w:rPr>
          <w:i/>
          <w:iCs/>
        </w:rPr>
        <w:t>in</w:t>
      </w:r>
      <w:r>
        <w:t xml:space="preserve"> </w:t>
      </w:r>
      <w:r>
        <w:rPr>
          <w:smallCaps/>
        </w:rPr>
        <w:t>Judicial Decisions in the Ancient Near East</w:t>
      </w:r>
      <w:r>
        <w:t xml:space="preserve"> 297, 349 (Sophie </w:t>
      </w:r>
      <w:proofErr w:type="spellStart"/>
      <w:r>
        <w:t>Démare-Lafont</w:t>
      </w:r>
      <w:proofErr w:type="spellEnd"/>
      <w:r>
        <w:t xml:space="preserve"> &amp; Daniel E. Fleming eds., 2023); </w:t>
      </w:r>
      <w:r>
        <w:rPr>
          <w:smallCaps/>
        </w:rPr>
        <w:t>Shalom E. Holtz, Neo-Babylonian Court Procedure</w:t>
      </w:r>
      <w:r>
        <w:t xml:space="preserve"> 254 (2009); </w:t>
      </w:r>
      <w:r>
        <w:rPr>
          <w:smallCaps/>
        </w:rPr>
        <w:t>Fernanda Pirie, The Rule of Laws: A 4,000-Year Quest to Order the World</w:t>
      </w:r>
      <w:r>
        <w:t xml:space="preserve"> 11 (2021); </w:t>
      </w:r>
      <w:proofErr w:type="spellStart"/>
      <w:r>
        <w:t>Wilhelmus</w:t>
      </w:r>
      <w:proofErr w:type="spellEnd"/>
      <w:r>
        <w:t xml:space="preserve"> François </w:t>
      </w:r>
      <w:proofErr w:type="spellStart"/>
      <w:r>
        <w:t>Leemans</w:t>
      </w:r>
      <w:proofErr w:type="spellEnd"/>
      <w:r>
        <w:t xml:space="preserve">, </w:t>
      </w:r>
      <w:r>
        <w:rPr>
          <w:i/>
          <w:iCs/>
        </w:rPr>
        <w:t xml:space="preserve">King </w:t>
      </w:r>
      <w:proofErr w:type="spellStart"/>
      <w:r>
        <w:rPr>
          <w:i/>
          <w:iCs/>
        </w:rPr>
        <w:t>Hammurapi</w:t>
      </w:r>
      <w:proofErr w:type="spellEnd"/>
      <w:r>
        <w:rPr>
          <w:i/>
          <w:iCs/>
        </w:rPr>
        <w:t xml:space="preserve"> as a Judge</w:t>
      </w:r>
      <w:r>
        <w:t xml:space="preserve">, </w:t>
      </w:r>
      <w:r>
        <w:rPr>
          <w:i/>
          <w:iCs/>
        </w:rPr>
        <w:t>in</w:t>
      </w:r>
      <w:r>
        <w:t xml:space="preserve"> </w:t>
      </w:r>
      <w:proofErr w:type="spellStart"/>
      <w:r>
        <w:rPr>
          <w:smallCaps/>
        </w:rPr>
        <w:t>Symbolae</w:t>
      </w:r>
      <w:proofErr w:type="spellEnd"/>
      <w:r>
        <w:rPr>
          <w:smallCaps/>
        </w:rPr>
        <w:t xml:space="preserve"> </w:t>
      </w:r>
      <w:proofErr w:type="spellStart"/>
      <w:r>
        <w:rPr>
          <w:smallCaps/>
        </w:rPr>
        <w:t>Iuridicae</w:t>
      </w:r>
      <w:proofErr w:type="spellEnd"/>
      <w:r>
        <w:rPr>
          <w:smallCaps/>
        </w:rPr>
        <w:t xml:space="preserve"> et </w:t>
      </w:r>
      <w:proofErr w:type="spellStart"/>
      <w:r>
        <w:rPr>
          <w:smallCaps/>
        </w:rPr>
        <w:t>Historicae</w:t>
      </w:r>
      <w:proofErr w:type="spellEnd"/>
      <w:r>
        <w:rPr>
          <w:smallCaps/>
        </w:rPr>
        <w:t xml:space="preserve"> Martino David </w:t>
      </w:r>
      <w:proofErr w:type="spellStart"/>
      <w:r>
        <w:rPr>
          <w:smallCaps/>
        </w:rPr>
        <w:t>Dedicatae</w:t>
      </w:r>
      <w:proofErr w:type="spellEnd"/>
      <w:r>
        <w:rPr>
          <w:smallCaps/>
        </w:rPr>
        <w:t xml:space="preserve"> II</w:t>
      </w:r>
      <w:r>
        <w:t xml:space="preserve">107–29 (J. A. </w:t>
      </w:r>
      <w:proofErr w:type="spellStart"/>
      <w:r>
        <w:t>Ankum</w:t>
      </w:r>
      <w:proofErr w:type="spellEnd"/>
      <w:r>
        <w:t xml:space="preserve"> et al. eds., 1968); Laura E. Culbertson, </w:t>
      </w:r>
      <w:r>
        <w:rPr>
          <w:i/>
          <w:iCs/>
        </w:rPr>
        <w:t>Dispute Resolution in the Provincial Courts of the Third Dynasty of Ur</w:t>
      </w:r>
      <w:r>
        <w:t xml:space="preserve"> 157 (2009) (Ph.D. dissertation, University of Michigan).</w:t>
      </w:r>
    </w:p>
    <w:p w14:paraId="2EAABE80" w14:textId="77777777" w:rsidR="004E67DB" w:rsidRPr="00A9375B" w:rsidRDefault="004E67DB" w:rsidP="000E3EAB">
      <w:pPr>
        <w:pStyle w:val="BodyText"/>
        <w:spacing w:after="0"/>
        <w:jc w:val="both"/>
        <w:rPr>
          <w:smallCaps/>
        </w:rPr>
      </w:pPr>
      <w:r>
        <w:rPr>
          <w:smallCaps/>
        </w:rPr>
        <w:lastRenderedPageBreak/>
        <w:t>Michael Gagarin, Early Greek Law</w:t>
      </w:r>
      <w:r>
        <w:t xml:space="preserve"> 26–28, 56, 137 (1986);</w:t>
      </w:r>
      <w:r>
        <w:rPr>
          <w:smallCaps/>
        </w:rPr>
        <w:t xml:space="preserve"> Gabriel Herman, Morality and </w:t>
      </w:r>
      <w:proofErr w:type="spellStart"/>
      <w:r>
        <w:rPr>
          <w:smallCaps/>
        </w:rPr>
        <w:t>Behaviour</w:t>
      </w:r>
      <w:proofErr w:type="spellEnd"/>
      <w:r>
        <w:rPr>
          <w:smallCaps/>
        </w:rPr>
        <w:t xml:space="preserve"> in Democratic Athens: A Social History</w:t>
      </w:r>
      <w:r>
        <w:t xml:space="preserve"> 193–194 (2006); </w:t>
      </w:r>
      <w:proofErr w:type="spellStart"/>
      <w:r>
        <w:rPr>
          <w:smallCaps/>
        </w:rPr>
        <w:t>Adriaan</w:t>
      </w:r>
      <w:proofErr w:type="spellEnd"/>
      <w:r>
        <w:rPr>
          <w:smallCaps/>
        </w:rPr>
        <w:t xml:space="preserve"> </w:t>
      </w:r>
      <w:proofErr w:type="spellStart"/>
      <w:r>
        <w:rPr>
          <w:smallCaps/>
        </w:rPr>
        <w:t>Lanni</w:t>
      </w:r>
      <w:proofErr w:type="spellEnd"/>
      <w:r>
        <w:rPr>
          <w:smallCaps/>
        </w:rPr>
        <w:t>, Law and Order in Ancient Athens</w:t>
      </w:r>
      <w:r>
        <w:t xml:space="preserve"> 3, 8–10, 21, 34–35, 44–45, 49, 58–59, 128, 135 (2016); F.E. </w:t>
      </w:r>
      <w:r>
        <w:rPr>
          <w:smallCaps/>
        </w:rPr>
        <w:t>Adcock &amp; D.J. Mosley, Diplomacy in Ancient Greece 210</w:t>
      </w:r>
      <w:r>
        <w:t xml:space="preserve"> (1975); </w:t>
      </w:r>
      <w:r>
        <w:rPr>
          <w:smallCaps/>
        </w:rPr>
        <w:t xml:space="preserve">Fernanda Pirie, The Rule of Laws: A 4,000-Year Quest to Order the World </w:t>
      </w:r>
      <w:r>
        <w:t xml:space="preserve">153, 156 (2021); </w:t>
      </w:r>
      <w:r>
        <w:rPr>
          <w:smallCaps/>
        </w:rPr>
        <w:t>Robert J. Bonner, Evidence in Athenian Courts</w:t>
      </w:r>
      <w:r>
        <w:t xml:space="preserve"> 11, 30, 48–49, 53, 74–75, 92 (1905); </w:t>
      </w:r>
      <w:r>
        <w:rPr>
          <w:smallCaps/>
        </w:rPr>
        <w:t>Hansen Carmine Harrell, Public Arbitration in Athenian Law</w:t>
      </w:r>
      <w:r>
        <w:t xml:space="preserve"> 4, 26–27, 35 (1936); </w:t>
      </w:r>
      <w:r>
        <w:rPr>
          <w:smallCaps/>
        </w:rPr>
        <w:t xml:space="preserve">Alberto </w:t>
      </w:r>
      <w:proofErr w:type="spellStart"/>
      <w:r>
        <w:rPr>
          <w:smallCaps/>
        </w:rPr>
        <w:t>Esu</w:t>
      </w:r>
      <w:proofErr w:type="spellEnd"/>
      <w:r>
        <w:rPr>
          <w:smallCaps/>
        </w:rPr>
        <w:t>, Divided Power in Ancient Greece: Decision-Making and Institutions in the Classical and Hellenistic Polis 74 (2024).</w:t>
      </w:r>
    </w:p>
    <w:p w14:paraId="675B117C" w14:textId="77777777" w:rsidR="004E67DB" w:rsidRPr="00A9375B" w:rsidRDefault="00624B82" w:rsidP="000E3EAB">
      <w:pPr>
        <w:pStyle w:val="BodyText"/>
        <w:spacing w:after="0"/>
        <w:jc w:val="both"/>
      </w:pPr>
      <w:r>
        <w:rPr>
          <w:smallCaps/>
        </w:rPr>
        <w:t xml:space="preserve">Derek Roebuck &amp; </w:t>
      </w:r>
      <w:proofErr w:type="gramStart"/>
      <w:r>
        <w:rPr>
          <w:smallCaps/>
        </w:rPr>
        <w:t xml:space="preserve">Bruno de </w:t>
      </w:r>
      <w:proofErr w:type="spellStart"/>
      <w:r>
        <w:rPr>
          <w:smallCaps/>
        </w:rPr>
        <w:t>Loynes</w:t>
      </w:r>
      <w:proofErr w:type="spellEnd"/>
      <w:proofErr w:type="gramEnd"/>
      <w:r>
        <w:rPr>
          <w:smallCaps/>
        </w:rPr>
        <w:t xml:space="preserve"> de </w:t>
      </w:r>
      <w:proofErr w:type="spellStart"/>
      <w:r>
        <w:rPr>
          <w:smallCaps/>
        </w:rPr>
        <w:t>Fumichon</w:t>
      </w:r>
      <w:proofErr w:type="spellEnd"/>
      <w:r>
        <w:rPr>
          <w:smallCaps/>
        </w:rPr>
        <w:t>, Roman Arbitration</w:t>
      </w:r>
      <w:r>
        <w:t xml:space="preserve"> 46, 57, 68, 80–81, 94–95, 122, 124, 129, 142, 174 (2004); Ivan </w:t>
      </w:r>
      <w:proofErr w:type="spellStart"/>
      <w:r>
        <w:t>Milotić</w:t>
      </w:r>
      <w:proofErr w:type="spellEnd"/>
      <w:r>
        <w:t xml:space="preserve">, </w:t>
      </w:r>
      <w:r>
        <w:rPr>
          <w:i/>
          <w:iCs/>
        </w:rPr>
        <w:t>Competence of Roman Arbiter in Rendering the Decision</w:t>
      </w:r>
      <w:r>
        <w:t xml:space="preserve">, 18 </w:t>
      </w:r>
      <w:r>
        <w:rPr>
          <w:smallCaps/>
        </w:rPr>
        <w:t xml:space="preserve">Croat. </w:t>
      </w:r>
      <w:proofErr w:type="spellStart"/>
      <w:r>
        <w:rPr>
          <w:smallCaps/>
        </w:rPr>
        <w:t>Arbit</w:t>
      </w:r>
      <w:proofErr w:type="spellEnd"/>
      <w:r>
        <w:rPr>
          <w:smallCaps/>
        </w:rPr>
        <w:t xml:space="preserve">. </w:t>
      </w:r>
      <w:proofErr w:type="spellStart"/>
      <w:r>
        <w:rPr>
          <w:smallCaps/>
        </w:rPr>
        <w:t>Yearb</w:t>
      </w:r>
      <w:proofErr w:type="spellEnd"/>
      <w:r>
        <w:t xml:space="preserve">. 99, 106 (2011); </w:t>
      </w:r>
      <w:r>
        <w:rPr>
          <w:smallCaps/>
        </w:rPr>
        <w:t>Fritz Schulz, Classical Roman Law</w:t>
      </w:r>
      <w:r>
        <w:t xml:space="preserve"> 30, 153, 415, 1080 (1951); </w:t>
      </w:r>
      <w:r>
        <w:rPr>
          <w:smallCaps/>
        </w:rPr>
        <w:t>David Johnston, Roman Law in Context</w:t>
      </w:r>
      <w:r>
        <w:t xml:space="preserve"> 110, 112, 114 (1999); </w:t>
      </w:r>
      <w:r>
        <w:rPr>
          <w:smallCaps/>
        </w:rPr>
        <w:t xml:space="preserve">Andrew M. </w:t>
      </w:r>
      <w:proofErr w:type="spellStart"/>
      <w:r>
        <w:rPr>
          <w:smallCaps/>
        </w:rPr>
        <w:t>Riggsby</w:t>
      </w:r>
      <w:proofErr w:type="spellEnd"/>
      <w:r>
        <w:rPr>
          <w:smallCaps/>
        </w:rPr>
        <w:t>, Crime and Community in Ciceronian Rome</w:t>
      </w:r>
      <w:r>
        <w:t xml:space="preserve"> 137, 242 (1999); </w:t>
      </w:r>
      <w:r>
        <w:rPr>
          <w:smallCaps/>
        </w:rPr>
        <w:t>Andrew Lintott, The Constitution of the Roman Republic</w:t>
      </w:r>
      <w:r>
        <w:t xml:space="preserve"> 153 (1999); Suzanne Dixon, </w:t>
      </w:r>
      <w:r>
        <w:rPr>
          <w:i/>
          <w:iCs/>
        </w:rPr>
        <w:t>Family</w:t>
      </w:r>
      <w:r>
        <w:t xml:space="preserve">, </w:t>
      </w:r>
      <w:r>
        <w:rPr>
          <w:i/>
          <w:iCs/>
        </w:rPr>
        <w:t>in</w:t>
      </w:r>
      <w:r>
        <w:t xml:space="preserve"> </w:t>
      </w:r>
      <w:r>
        <w:rPr>
          <w:smallCaps/>
        </w:rPr>
        <w:t>The Oxford Handbook of Roman Law and Society</w:t>
      </w:r>
      <w:r>
        <w:t xml:space="preserve"> 461 (Paul J. du Plessis et al. eds., 2016); Matthew J. Perry, </w:t>
      </w:r>
      <w:r>
        <w:rPr>
          <w:i/>
          <w:iCs/>
        </w:rPr>
        <w:t xml:space="preserve">Legally </w:t>
      </w:r>
      <w:proofErr w:type="spellStart"/>
      <w:r>
        <w:rPr>
          <w:i/>
          <w:iCs/>
        </w:rPr>
        <w:t>Marginalised</w:t>
      </w:r>
      <w:proofErr w:type="spellEnd"/>
      <w:r>
        <w:rPr>
          <w:i/>
          <w:iCs/>
        </w:rPr>
        <w:t xml:space="preserve"> Groups—The Empire</w:t>
      </w:r>
      <w:r>
        <w:t xml:space="preserve">, </w:t>
      </w:r>
      <w:r>
        <w:rPr>
          <w:i/>
          <w:iCs/>
        </w:rPr>
        <w:t>in</w:t>
      </w:r>
      <w:r>
        <w:t xml:space="preserve"> </w:t>
      </w:r>
      <w:r>
        <w:rPr>
          <w:smallCaps/>
        </w:rPr>
        <w:t>The Oxford Handbook of Roman Law and Society</w:t>
      </w:r>
      <w:r>
        <w:t xml:space="preserve"> 367 (Paul J. du Plessis et al. eds., 2016); Thomas </w:t>
      </w:r>
      <w:proofErr w:type="spellStart"/>
      <w:r>
        <w:t>Rüfner</w:t>
      </w:r>
      <w:proofErr w:type="spellEnd"/>
      <w:r>
        <w:t xml:space="preserve">, </w:t>
      </w:r>
      <w:r>
        <w:rPr>
          <w:i/>
          <w:iCs/>
        </w:rPr>
        <w:t xml:space="preserve">Imperial </w:t>
      </w:r>
      <w:proofErr w:type="spellStart"/>
      <w:r>
        <w:rPr>
          <w:i/>
          <w:iCs/>
        </w:rPr>
        <w:t>Cognitio</w:t>
      </w:r>
      <w:proofErr w:type="spellEnd"/>
      <w:r>
        <w:rPr>
          <w:i/>
          <w:iCs/>
        </w:rPr>
        <w:t xml:space="preserve"> Process</w:t>
      </w:r>
      <w:r>
        <w:t xml:space="preserve">, </w:t>
      </w:r>
      <w:r>
        <w:rPr>
          <w:i/>
          <w:iCs/>
        </w:rPr>
        <w:t>in</w:t>
      </w:r>
      <w:r>
        <w:t xml:space="preserve"> </w:t>
      </w:r>
      <w:r>
        <w:rPr>
          <w:smallCaps/>
        </w:rPr>
        <w:t>The Oxford Handbook of Roman Law and Society</w:t>
      </w:r>
      <w:r>
        <w:t xml:space="preserve"> 259, 262 (Paul J. du Plessis et al. eds., 2016).</w:t>
      </w:r>
    </w:p>
    <w:p w14:paraId="2BBAABD9" w14:textId="77777777" w:rsidR="00624B82" w:rsidRPr="00A9375B" w:rsidRDefault="00624B82" w:rsidP="000E3EAB">
      <w:pPr>
        <w:pStyle w:val="BodyText"/>
        <w:spacing w:after="0"/>
        <w:jc w:val="both"/>
        <w:rPr>
          <w:color w:val="000000" w:themeColor="text1"/>
        </w:rPr>
      </w:pPr>
      <w:r>
        <w:rPr>
          <w:smallCaps/>
        </w:rPr>
        <w:t>Philip C.C. Huang, Civil Justice in China: Representation and Practice in the Qing</w:t>
      </w:r>
      <w:r>
        <w:t xml:space="preserve"> 14, 102–04, 110–15, 120–22, 125–29, 133–34, 174–76, 194–96, 208 (1996); </w:t>
      </w:r>
      <w:r>
        <w:rPr>
          <w:smallCaps/>
        </w:rPr>
        <w:t>Goh Bee Chen, Law Without Lawyers, Justice Without Courts: On Traditional Chinese Mediation</w:t>
      </w:r>
      <w:r>
        <w:t xml:space="preserve"> vii, 25, 28–29, 32–35, 38, 51–52, 66–68, 76–83 (2002); </w:t>
      </w:r>
      <w:r>
        <w:rPr>
          <w:smallCaps/>
        </w:rPr>
        <w:t>Li Chen, Chinese Law in Imperial Eyes: Sovereignty, Justice, and Transcultural Politics</w:t>
      </w:r>
      <w:r>
        <w:t xml:space="preserve"> 47, 84, 91–99, 126–27, 289 (2016);</w:t>
      </w:r>
    </w:p>
    <w:p w14:paraId="335F6997" w14:textId="77777777" w:rsidR="004E67DB" w:rsidRPr="00A9375B" w:rsidRDefault="004E67DB" w:rsidP="000E3EAB">
      <w:pPr>
        <w:pStyle w:val="BodyText"/>
        <w:spacing w:after="0"/>
        <w:jc w:val="both"/>
      </w:pPr>
      <w:r>
        <w:rPr>
          <w:smallCaps/>
        </w:rPr>
        <w:t>Derek Roebuck, Mediation and Arbitration in the Middle Ages: England 1154 to 1558</w:t>
      </w:r>
      <w:r>
        <w:t xml:space="preserve"> at 18, 29–33, 57–59, 153–159, 162–167, 219–232 (2013); </w:t>
      </w:r>
      <w:r>
        <w:rPr>
          <w:smallCaps/>
        </w:rPr>
        <w:t xml:space="preserve">Paul R. </w:t>
      </w:r>
      <w:proofErr w:type="spellStart"/>
      <w:r>
        <w:rPr>
          <w:smallCaps/>
        </w:rPr>
        <w:t>Hyams</w:t>
      </w:r>
      <w:proofErr w:type="spellEnd"/>
      <w:r>
        <w:rPr>
          <w:smallCaps/>
        </w:rPr>
        <w:t>, Rancor and Reconciliation in Medieval England</w:t>
      </w:r>
      <w:r>
        <w:t xml:space="preserve"> 8–9, 87–88, 147 (2003); Lorraine </w:t>
      </w:r>
      <w:proofErr w:type="spellStart"/>
      <w:r>
        <w:t>Attreed</w:t>
      </w:r>
      <w:proofErr w:type="spellEnd"/>
      <w:r>
        <w:t xml:space="preserve">, </w:t>
      </w:r>
      <w:r>
        <w:rPr>
          <w:i/>
          <w:iCs/>
        </w:rPr>
        <w:t>Arbitration and the Growth of Urban Liberties in Late Medieval England</w:t>
      </w:r>
      <w:r>
        <w:t xml:space="preserve">, 31 </w:t>
      </w:r>
      <w:r>
        <w:rPr>
          <w:smallCaps/>
        </w:rPr>
        <w:t>J. Brit. Stud</w:t>
      </w:r>
      <w:r>
        <w:t>. 205, 208–209, 229, 234 (1992</w:t>
      </w:r>
      <w:r>
        <w:rPr>
          <w:smallCaps/>
        </w:rPr>
        <w:t>); Fernanda Pirie, The Rule of Laws: A 4,000-Year Quest to Order the World</w:t>
      </w:r>
      <w:r>
        <w:t xml:space="preserve"> 233–235, 305–306 (2021).</w:t>
      </w:r>
    </w:p>
    <w:p w14:paraId="6E62A3D0" w14:textId="77777777" w:rsidR="004E67DB" w:rsidRPr="00A9375B" w:rsidRDefault="004E67DB" w:rsidP="000E3EAB">
      <w:pPr>
        <w:jc w:val="both"/>
        <w:rPr>
          <w:color w:val="000000" w:themeColor="text1"/>
        </w:rPr>
      </w:pPr>
    </w:p>
    <w:sectPr w:rsidR="004E67DB" w:rsidRPr="00A9375B" w:rsidSect="00177DF7">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5362C" w14:textId="77777777" w:rsidR="00CC39E4" w:rsidRDefault="00CC39E4" w:rsidP="00B60065">
      <w:r>
        <w:separator/>
      </w:r>
    </w:p>
  </w:endnote>
  <w:endnote w:type="continuationSeparator" w:id="0">
    <w:p w14:paraId="08991200" w14:textId="77777777" w:rsidR="00CC39E4" w:rsidRDefault="00CC39E4" w:rsidP="00B60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9404055"/>
      <w:docPartObj>
        <w:docPartGallery w:val="Page Numbers (Bottom of Page)"/>
        <w:docPartUnique/>
      </w:docPartObj>
    </w:sdtPr>
    <w:sdtContent>
      <w:p w14:paraId="455CBDD0" w14:textId="77777777"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00158058"/>
      <w:docPartObj>
        <w:docPartGallery w:val="Page Numbers (Bottom of Page)"/>
        <w:docPartUnique/>
      </w:docPartObj>
    </w:sdtPr>
    <w:sdtContent>
      <w:p w14:paraId="11EAAFFA" w14:textId="77777777"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6DD45F" w14:textId="77777777" w:rsidR="00177DF7" w:rsidRDefault="00177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53153340"/>
      <w:docPartObj>
        <w:docPartGallery w:val="Page Numbers (Bottom of Page)"/>
        <w:docPartUnique/>
      </w:docPartObj>
    </w:sdtPr>
    <w:sdtContent>
      <w:p w14:paraId="602AAFDE" w14:textId="77777777" w:rsidR="00177DF7" w:rsidRPr="00177DF7" w:rsidRDefault="00177DF7" w:rsidP="00177DF7">
        <w:pPr>
          <w:pStyle w:val="Footer"/>
          <w:framePr w:wrap="none" w:vAnchor="text" w:hAnchor="margin" w:xAlign="center" w:y="1"/>
          <w:rPr>
            <w:rStyle w:val="PageNumber"/>
          </w:rPr>
        </w:pPr>
        <w:r w:rsidRPr="00177DF7">
          <w:rPr>
            <w:rStyle w:val="PageNumber"/>
          </w:rPr>
          <w:fldChar w:fldCharType="begin"/>
        </w:r>
        <w:r w:rsidRPr="00177DF7">
          <w:rPr>
            <w:rStyle w:val="PageNumber"/>
          </w:rPr>
          <w:instrText xml:space="preserve"> PAGE </w:instrText>
        </w:r>
        <w:r w:rsidRPr="00177DF7">
          <w:rPr>
            <w:rStyle w:val="PageNumber"/>
          </w:rPr>
          <w:fldChar w:fldCharType="separate"/>
        </w:r>
        <w:r w:rsidRPr="00177DF7">
          <w:rPr>
            <w:rStyle w:val="PageNumber"/>
            <w:noProof/>
          </w:rPr>
          <w:t>7</w:t>
        </w:r>
        <w:r w:rsidRPr="00177DF7">
          <w:rPr>
            <w:rStyle w:val="PageNumber"/>
          </w:rPr>
          <w:fldChar w:fldCharType="end"/>
        </w:r>
      </w:p>
    </w:sdtContent>
  </w:sdt>
  <w:p w14:paraId="60A9CC89" w14:textId="77777777" w:rsidR="00177DF7" w:rsidRDefault="00177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6283F" w14:textId="77777777" w:rsidR="00CC39E4" w:rsidRDefault="00CC39E4" w:rsidP="00B60065">
      <w:r>
        <w:separator/>
      </w:r>
    </w:p>
  </w:footnote>
  <w:footnote w:type="continuationSeparator" w:id="0">
    <w:p w14:paraId="0D4CC767" w14:textId="77777777" w:rsidR="00CC39E4" w:rsidRDefault="00CC39E4" w:rsidP="00B60065">
      <w:r>
        <w:continuationSeparator/>
      </w:r>
    </w:p>
  </w:footnote>
  <w:footnote w:id="1">
    <w:p w14:paraId="18CB743E" w14:textId="77777777" w:rsidR="0079029E" w:rsidRPr="005B3E31" w:rsidRDefault="0079029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J.D. Candidate, The Ohio State University Moritz College of Law Class of 2027. I would like to thank Professor Edward B. Foley and Professor David </w:t>
      </w:r>
      <w:proofErr w:type="spellStart"/>
      <w:r>
        <w:rPr>
          <w:color w:val="000000" w:themeColor="text1"/>
        </w:rPr>
        <w:t>Stebenne</w:t>
      </w:r>
      <w:proofErr w:type="spellEnd"/>
      <w:r>
        <w:rPr>
          <w:color w:val="000000" w:themeColor="text1"/>
        </w:rPr>
        <w:t xml:space="preserve"> for their mentorship. I would also like to thank Morgan Edwards for citation editing and </w:t>
      </w:r>
      <w:proofErr w:type="spellStart"/>
      <w:r>
        <w:rPr>
          <w:color w:val="000000" w:themeColor="text1"/>
        </w:rPr>
        <w:t>bluebooking</w:t>
      </w:r>
      <w:proofErr w:type="spellEnd"/>
      <w:r>
        <w:rPr>
          <w:color w:val="000000" w:themeColor="text1"/>
        </w:rPr>
        <w:t xml:space="preserve">. Finally, I would like to thank Rachel </w:t>
      </w:r>
      <w:proofErr w:type="spellStart"/>
      <w:r>
        <w:rPr>
          <w:color w:val="000000" w:themeColor="text1"/>
        </w:rPr>
        <w:t>Lutner</w:t>
      </w:r>
      <w:proofErr w:type="spellEnd"/>
      <w:r>
        <w:rPr>
          <w:color w:val="000000" w:themeColor="text1"/>
        </w:rPr>
        <w:t xml:space="preserve"> for her oversight.  </w:t>
      </w:r>
    </w:p>
  </w:footnote>
  <w:footnote w:id="2">
    <w:p w14:paraId="503734F5" w14:textId="77777777" w:rsidR="00000000" w:rsidRDefault="00000000">
      <w:pPr>
        <w:pStyle w:val="FootnoteText"/>
        <w:spacing w:line="480" w:lineRule="auto"/>
        <w:rPr>
          <w:color w:val="000000" w:themeColor="text1"/>
        </w:rPr>
      </w:pPr>
      <w:r>
        <w:rPr>
          <w:rStyle w:val="FootnoteReference"/>
          <w:color w:val="000000" w:themeColor="text1"/>
        </w:rPr>
        <w:footnoteRef/>
      </w:r>
      <w:r>
        <w:rPr>
          <w:color w:val="000000" w:themeColor="text1"/>
        </w:rPr>
        <w:t xml:space="preserve"> Brown v. Bd. of Educ., 347 U.S. 483 (1954); United States v. </w:t>
      </w:r>
      <w:proofErr w:type="spellStart"/>
      <w:r>
        <w:rPr>
          <w:color w:val="000000" w:themeColor="text1"/>
        </w:rPr>
        <w:t>Skrmetti</w:t>
      </w:r>
      <w:proofErr w:type="spellEnd"/>
      <w:r>
        <w:rPr>
          <w:color w:val="000000" w:themeColor="text1"/>
        </w:rPr>
        <w:t>, 145 S. Ct. 1816 (2025).</w:t>
      </w:r>
    </w:p>
  </w:footnote>
  <w:footnote w:id="3">
    <w:p w14:paraId="70F76AF3" w14:textId="129918C0"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Megan McArdle, </w:t>
      </w:r>
      <w:r>
        <w:rPr>
          <w:i/>
          <w:iCs/>
          <w:color w:val="000000" w:themeColor="text1"/>
        </w:rPr>
        <w:t>The ACLU Bet Big on a Trans Rights Case. Its Loss Was Predictable.</w:t>
      </w:r>
      <w:r>
        <w:rPr>
          <w:color w:val="000000" w:themeColor="text1"/>
        </w:rPr>
        <w:t xml:space="preserve">, </w:t>
      </w:r>
      <w:r>
        <w:rPr>
          <w:smallCaps/>
          <w:color w:val="000000" w:themeColor="text1"/>
        </w:rPr>
        <w:t>Wash. Post</w:t>
      </w:r>
      <w:r>
        <w:rPr>
          <w:color w:val="000000" w:themeColor="text1"/>
        </w:rPr>
        <w:t xml:space="preserve"> (June 21, 2025), https://www.washingtonpost.com/opinions/2025/06/21/supreme-court-youth-gender-transition-ban/ [create </w:t>
      </w:r>
      <w:proofErr w:type="spellStart"/>
      <w:r>
        <w:rPr>
          <w:color w:val="000000" w:themeColor="text1"/>
        </w:rPr>
        <w:t>perma</w:t>
      </w:r>
      <w:proofErr w:type="spellEnd"/>
      <w:r>
        <w:rPr>
          <w:color w:val="000000" w:themeColor="text1"/>
        </w:rPr>
        <w:t xml:space="preserve"> link]; Riki </w:t>
      </w:r>
      <w:proofErr w:type="spellStart"/>
      <w:r>
        <w:rPr>
          <w:color w:val="000000" w:themeColor="text1"/>
        </w:rPr>
        <w:t>Wilchins</w:t>
      </w:r>
      <w:proofErr w:type="spellEnd"/>
      <w:r>
        <w:rPr>
          <w:color w:val="000000" w:themeColor="text1"/>
        </w:rPr>
        <w:t xml:space="preserve">, </w:t>
      </w:r>
      <w:r>
        <w:rPr>
          <w:i/>
          <w:iCs/>
          <w:color w:val="000000" w:themeColor="text1"/>
        </w:rPr>
        <w:t xml:space="preserve">A Conversation About </w:t>
      </w:r>
      <w:proofErr w:type="spellStart"/>
      <w:r w:rsidRPr="004A775A">
        <w:rPr>
          <w:color w:val="000000" w:themeColor="text1"/>
        </w:rPr>
        <w:t>Skrmetti</w:t>
      </w:r>
      <w:proofErr w:type="spellEnd"/>
      <w:r>
        <w:rPr>
          <w:i/>
          <w:iCs/>
          <w:color w:val="000000" w:themeColor="text1"/>
        </w:rPr>
        <w:t xml:space="preserve"> with Ezra Young &amp; Naomi </w:t>
      </w:r>
      <w:proofErr w:type="spellStart"/>
      <w:r>
        <w:rPr>
          <w:i/>
          <w:iCs/>
          <w:color w:val="000000" w:themeColor="text1"/>
        </w:rPr>
        <w:t>Schoenbaum</w:t>
      </w:r>
      <w:proofErr w:type="spellEnd"/>
      <w:r>
        <w:rPr>
          <w:color w:val="000000" w:themeColor="text1"/>
        </w:rPr>
        <w:t xml:space="preserve">, </w:t>
      </w:r>
      <w:r>
        <w:rPr>
          <w:smallCaps/>
          <w:color w:val="000000" w:themeColor="text1"/>
        </w:rPr>
        <w:t>Assigned Media</w:t>
      </w:r>
      <w:r>
        <w:rPr>
          <w:color w:val="000000" w:themeColor="text1"/>
        </w:rPr>
        <w:t xml:space="preserve"> (July 8, 2025), https://www.assignedmedia.org/breaking-news/skrmetti-interview-ezra-young-naomi-schoenbaum [create </w:t>
      </w:r>
      <w:proofErr w:type="spellStart"/>
      <w:r>
        <w:rPr>
          <w:color w:val="000000" w:themeColor="text1"/>
        </w:rPr>
        <w:t>perma</w:t>
      </w:r>
      <w:proofErr w:type="spellEnd"/>
      <w:r>
        <w:rPr>
          <w:color w:val="000000" w:themeColor="text1"/>
        </w:rPr>
        <w:t xml:space="preserve"> link] (quoting Ezra Young: “[T]he ACLU thought sex classification would do all of the work. It couldn’t. It could never do that,” and Naomi </w:t>
      </w:r>
      <w:proofErr w:type="spellStart"/>
      <w:r>
        <w:rPr>
          <w:color w:val="000000" w:themeColor="text1"/>
        </w:rPr>
        <w:t>Schoenbaum</w:t>
      </w:r>
      <w:proofErr w:type="spellEnd"/>
      <w:r>
        <w:rPr>
          <w:color w:val="000000" w:themeColor="text1"/>
        </w:rPr>
        <w:t xml:space="preserve">: “It shouldn’t have been that surprising that the Supreme Court was not just going to accept their analysis,” and that the litigation strategy “missed an opportunity in terms of being realistic about what the Court would do”); </w:t>
      </w:r>
      <w:r>
        <w:rPr>
          <w:i/>
          <w:iCs/>
          <w:color w:val="000000" w:themeColor="text1"/>
        </w:rPr>
        <w:t>see also</w:t>
      </w:r>
      <w:r>
        <w:rPr>
          <w:color w:val="000000" w:themeColor="text1"/>
        </w:rPr>
        <w:t xml:space="preserve"> Amy Howe, </w:t>
      </w:r>
      <w:r>
        <w:rPr>
          <w:i/>
          <w:iCs/>
          <w:color w:val="000000" w:themeColor="text1"/>
        </w:rPr>
        <w:t>Supreme Court Appears Ready to Uphold Tennessee Ban on Youth Transgender Care</w:t>
      </w:r>
      <w:r>
        <w:rPr>
          <w:color w:val="000000" w:themeColor="text1"/>
        </w:rPr>
        <w:t xml:space="preserve">, </w:t>
      </w:r>
      <w:proofErr w:type="spellStart"/>
      <w:r>
        <w:rPr>
          <w:smallCaps/>
          <w:color w:val="000000" w:themeColor="text1"/>
        </w:rPr>
        <w:t>SCOTUSBlog</w:t>
      </w:r>
      <w:proofErr w:type="spellEnd"/>
      <w:r>
        <w:rPr>
          <w:color w:val="000000" w:themeColor="text1"/>
        </w:rPr>
        <w:t xml:space="preserve"> (Dec. 4, 2024), https://www.scotusblog.com/2024/12/supreme-court-appears-ready-to-uphold-tennessee-ban-on-youth-transgender-care/ [create </w:t>
      </w:r>
      <w:proofErr w:type="spellStart"/>
      <w:r>
        <w:rPr>
          <w:color w:val="000000" w:themeColor="text1"/>
        </w:rPr>
        <w:t>perma</w:t>
      </w:r>
      <w:proofErr w:type="spellEnd"/>
      <w:r>
        <w:rPr>
          <w:color w:val="000000" w:themeColor="text1"/>
        </w:rPr>
        <w:t xml:space="preserve"> link].</w:t>
      </w:r>
    </w:p>
  </w:footnote>
  <w:footnote w:id="4">
    <w:p w14:paraId="5ECEE536"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Nicholas </w:t>
      </w:r>
      <w:proofErr w:type="spellStart"/>
      <w:r>
        <w:rPr>
          <w:color w:val="000000" w:themeColor="text1"/>
        </w:rPr>
        <w:t>Confessore</w:t>
      </w:r>
      <w:proofErr w:type="spellEnd"/>
      <w:r>
        <w:rPr>
          <w:color w:val="000000" w:themeColor="text1"/>
        </w:rPr>
        <w:t>, </w:t>
      </w:r>
      <w:r>
        <w:rPr>
          <w:i/>
          <w:iCs/>
          <w:color w:val="000000" w:themeColor="text1"/>
        </w:rPr>
        <w:t>How the Transgender Rights Movement Bet on the Supreme Court and Lost</w:t>
      </w:r>
      <w:r>
        <w:rPr>
          <w:color w:val="000000" w:themeColor="text1"/>
        </w:rPr>
        <w:t xml:space="preserve">, </w:t>
      </w:r>
      <w:r>
        <w:rPr>
          <w:smallCaps/>
          <w:color w:val="000000" w:themeColor="text1"/>
        </w:rPr>
        <w:t>N.Y. Times</w:t>
      </w:r>
      <w:r>
        <w:rPr>
          <w:color w:val="000000" w:themeColor="text1"/>
        </w:rPr>
        <w:t xml:space="preserve"> (June 19, 2025), https://www.nytimes.com/2025/06/19/magazine/scotus-transgender-care-tennessee-skrmetti.html [create </w:t>
      </w:r>
      <w:proofErr w:type="spellStart"/>
      <w:r>
        <w:rPr>
          <w:color w:val="000000" w:themeColor="text1"/>
        </w:rPr>
        <w:t>perma</w:t>
      </w:r>
      <w:proofErr w:type="spellEnd"/>
      <w:r>
        <w:rPr>
          <w:color w:val="000000" w:themeColor="text1"/>
        </w:rPr>
        <w:t xml:space="preserve"> link].</w:t>
      </w:r>
    </w:p>
  </w:footnote>
  <w:footnote w:id="5">
    <w:p w14:paraId="423C28E6"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w:t>
      </w:r>
      <w:proofErr w:type="spellStart"/>
      <w:r>
        <w:rPr>
          <w:color w:val="000000" w:themeColor="text1"/>
        </w:rPr>
        <w:t>Bursch</w:t>
      </w:r>
      <w:proofErr w:type="spellEnd"/>
      <w:r>
        <w:rPr>
          <w:color w:val="000000" w:themeColor="text1"/>
        </w:rPr>
        <w:t>, </w:t>
      </w:r>
      <w:r>
        <w:rPr>
          <w:i/>
          <w:iCs/>
          <w:color w:val="000000" w:themeColor="text1"/>
        </w:rPr>
        <w:t xml:space="preserve">The Legal and Cultural Context of </w:t>
      </w:r>
      <w:proofErr w:type="spellStart"/>
      <w:r w:rsidRPr="004A775A">
        <w:rPr>
          <w:color w:val="000000" w:themeColor="text1"/>
        </w:rPr>
        <w:t>Skrmetti</w:t>
      </w:r>
      <w:proofErr w:type="spellEnd"/>
      <w:r>
        <w:rPr>
          <w:color w:val="000000" w:themeColor="text1"/>
        </w:rPr>
        <w:t xml:space="preserve">, </w:t>
      </w:r>
      <w:r>
        <w:rPr>
          <w:smallCaps/>
          <w:color w:val="000000" w:themeColor="text1"/>
        </w:rPr>
        <w:t>Humanum Rev</w:t>
      </w:r>
      <w:r>
        <w:rPr>
          <w:color w:val="000000" w:themeColor="text1"/>
        </w:rPr>
        <w:t xml:space="preserve">. (May 16, 2025), https://humanumreview.com/articles/the-legal-and-cultural-context-of-skrmetti [create </w:t>
      </w:r>
      <w:proofErr w:type="spellStart"/>
      <w:r>
        <w:rPr>
          <w:color w:val="000000" w:themeColor="text1"/>
        </w:rPr>
        <w:t>perma</w:t>
      </w:r>
      <w:proofErr w:type="spellEnd"/>
      <w:r>
        <w:rPr>
          <w:color w:val="000000" w:themeColor="text1"/>
        </w:rPr>
        <w:t xml:space="preserve"> link].</w:t>
      </w:r>
    </w:p>
  </w:footnote>
  <w:footnote w:id="6">
    <w:p w14:paraId="18F9E90E" w14:textId="2A6CEB38" w:rsidR="00000000" w:rsidRPr="005B3E31" w:rsidRDefault="00000000" w:rsidP="00A23742">
      <w:pPr>
        <w:pStyle w:val="FootnoteText"/>
        <w:spacing w:line="480" w:lineRule="auto"/>
        <w:rPr>
          <w:color w:val="000000" w:themeColor="text1"/>
        </w:rPr>
      </w:pPr>
      <w:r>
        <w:rPr>
          <w:rStyle w:val="FootnoteReference"/>
          <w:color w:val="000000" w:themeColor="text1"/>
        </w:rPr>
        <w:footnoteRef/>
      </w:r>
      <w:r>
        <w:rPr>
          <w:color w:val="000000" w:themeColor="text1"/>
        </w:rPr>
        <w:t xml:space="preserve"> Ben Johnson &amp; Logan Strother, </w:t>
      </w:r>
      <w:r>
        <w:rPr>
          <w:i/>
          <w:iCs/>
          <w:color w:val="000000" w:themeColor="text1"/>
        </w:rPr>
        <w:t xml:space="preserve">Does the US Supreme Court Respond to Public </w:t>
      </w:r>
      <w:proofErr w:type="gramStart"/>
      <w:r>
        <w:rPr>
          <w:i/>
          <w:iCs/>
          <w:color w:val="000000" w:themeColor="text1"/>
        </w:rPr>
        <w:t>Opinion?</w:t>
      </w:r>
      <w:r>
        <w:rPr>
          <w:color w:val="000000" w:themeColor="text1"/>
        </w:rPr>
        <w:t>,</w:t>
      </w:r>
      <w:proofErr w:type="gramEnd"/>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Open </w:t>
      </w:r>
      <w:r>
        <w:rPr>
          <w:smallCaps/>
          <w:color w:val="000000" w:themeColor="text1"/>
        </w:rPr>
        <w:t>Judicial Politics</w:t>
      </w:r>
      <w:r>
        <w:rPr>
          <w:color w:val="000000" w:themeColor="text1"/>
        </w:rPr>
        <w:t xml:space="preserve"> </w:t>
      </w:r>
      <w:r>
        <w:rPr>
          <w:color w:val="000000" w:themeColor="text1"/>
        </w:rPr>
        <w:t>(</w:t>
      </w:r>
      <w:proofErr w:type="spellStart"/>
      <w:r>
        <w:rPr>
          <w:color w:val="000000" w:themeColor="text1"/>
        </w:rPr>
        <w:t>Rorie</w:t>
      </w:r>
      <w:proofErr w:type="spellEnd"/>
      <w:r>
        <w:rPr>
          <w:color w:val="000000" w:themeColor="text1"/>
        </w:rPr>
        <w:t xml:space="preserve"> Spill Solberg &amp; Eric </w:t>
      </w:r>
      <w:proofErr w:type="spellStart"/>
      <w:r>
        <w:rPr>
          <w:color w:val="000000" w:themeColor="text1"/>
        </w:rPr>
        <w:t>Waltenburg</w:t>
      </w:r>
      <w:proofErr w:type="spellEnd"/>
      <w:r>
        <w:rPr>
          <w:color w:val="000000" w:themeColor="text1"/>
        </w:rPr>
        <w:t xml:space="preserve"> eds., </w:t>
      </w:r>
      <w:r>
        <w:rPr>
          <w:color w:val="000000" w:themeColor="text1"/>
        </w:rPr>
        <w:t xml:space="preserve">2021), https://open.oregonstate.education/open-judicial-politics/chapter/supreme-court-public-opinion/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w:t>
      </w:r>
      <w:r>
        <w:rPr>
          <w:smallCaps/>
          <w:color w:val="000000" w:themeColor="text1"/>
        </w:rPr>
        <w:t>The Federalist</w:t>
      </w:r>
      <w:r>
        <w:rPr>
          <w:color w:val="000000" w:themeColor="text1"/>
        </w:rPr>
        <w:t xml:space="preserve"> </w:t>
      </w:r>
      <w:r w:rsidRPr="004A775A">
        <w:rPr>
          <w:smallCaps/>
          <w:color w:val="000000" w:themeColor="text1"/>
        </w:rPr>
        <w:t>No. 78</w:t>
      </w:r>
      <w:r>
        <w:rPr>
          <w:color w:val="000000" w:themeColor="text1"/>
        </w:rPr>
        <w:t xml:space="preserve"> (Alexander Hamilton).</w:t>
      </w:r>
    </w:p>
  </w:footnote>
  <w:footnote w:id="7">
    <w:p w14:paraId="466E8E56" w14:textId="29A2456D" w:rsidR="00000000" w:rsidRPr="005B3E31" w:rsidRDefault="00000000" w:rsidP="00A23742">
      <w:pPr>
        <w:pStyle w:val="FootnoteText"/>
        <w:spacing w:line="480" w:lineRule="auto"/>
        <w:rPr>
          <w:color w:val="000000" w:themeColor="text1"/>
        </w:rPr>
      </w:pPr>
      <w:r>
        <w:rPr>
          <w:rStyle w:val="FootnoteReference"/>
          <w:color w:val="000000" w:themeColor="text1"/>
        </w:rPr>
        <w:footnoteRef/>
      </w:r>
      <w:r>
        <w:rPr>
          <w:color w:val="000000" w:themeColor="text1"/>
        </w:rPr>
        <w:t xml:space="preserve"> Pippa Norris, </w:t>
      </w:r>
      <w:r>
        <w:rPr>
          <w:i/>
          <w:iCs/>
          <w:color w:val="000000" w:themeColor="text1"/>
        </w:rPr>
        <w:t>Closed Minds? Is a ‘Cancel Culture’ Stifling Academic Freedom and Intellectual Debate in Political Science</w:t>
      </w:r>
      <w:r>
        <w:rPr>
          <w:i/>
          <w:iCs/>
          <w:color w:val="000000" w:themeColor="text1"/>
        </w:rPr>
        <w:t>?</w:t>
      </w:r>
      <w:r>
        <w:rPr>
          <w:color w:val="000000" w:themeColor="text1"/>
        </w:rPr>
        <w:t xml:space="preserve"> </w:t>
      </w:r>
      <w:r>
        <w:rPr>
          <w:color w:val="000000" w:themeColor="text1"/>
        </w:rPr>
        <w:t>2 (</w:t>
      </w:r>
      <w:r>
        <w:rPr>
          <w:color w:val="000000" w:themeColor="text1"/>
        </w:rPr>
        <w:t xml:space="preserve">Harv. Kennedy Sch. Faculty </w:t>
      </w:r>
      <w:proofErr w:type="spellStart"/>
      <w:r>
        <w:rPr>
          <w:color w:val="000000" w:themeColor="text1"/>
        </w:rPr>
        <w:t>Rsch</w:t>
      </w:r>
      <w:proofErr w:type="spellEnd"/>
      <w:r>
        <w:rPr>
          <w:color w:val="000000" w:themeColor="text1"/>
        </w:rPr>
        <w:t xml:space="preserve">. Working Paper No. RWP20-025, </w:t>
      </w:r>
      <w:r>
        <w:rPr>
          <w:color w:val="000000" w:themeColor="text1"/>
        </w:rPr>
        <w:t>2020)</w:t>
      </w:r>
      <w:r>
        <w:rPr>
          <w:color w:val="000000" w:themeColor="text1"/>
        </w:rPr>
        <w:t>, https://ssrn</w:t>
      </w:r>
      <w:r>
        <w:rPr>
          <w:color w:val="000000" w:themeColor="text1"/>
        </w:rPr>
        <w:t>.</w:t>
      </w:r>
      <w:r>
        <w:rPr>
          <w:color w:val="000000" w:themeColor="text1"/>
        </w:rPr>
        <w:t xml:space="preserve">com/abstract=3671026 [create </w:t>
      </w:r>
      <w:proofErr w:type="spellStart"/>
      <w:r>
        <w:rPr>
          <w:color w:val="000000" w:themeColor="text1"/>
        </w:rPr>
        <w:t>perma</w:t>
      </w:r>
      <w:proofErr w:type="spellEnd"/>
      <w:r>
        <w:rPr>
          <w:color w:val="000000" w:themeColor="text1"/>
        </w:rPr>
        <w:t xml:space="preserve"> link].</w:t>
      </w:r>
    </w:p>
  </w:footnote>
  <w:footnote w:id="8">
    <w:p w14:paraId="1A574153" w14:textId="514E3C51"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w:t>
      </w:r>
      <w:proofErr w:type="spellStart"/>
      <w:r>
        <w:rPr>
          <w:color w:val="000000" w:themeColor="text1"/>
        </w:rPr>
        <w:t>Isgur</w:t>
      </w:r>
      <w:proofErr w:type="spellEnd"/>
      <w:r>
        <w:rPr>
          <w:color w:val="000000" w:themeColor="text1"/>
        </w:rPr>
        <w:t xml:space="preserve"> &amp; David French, </w:t>
      </w:r>
      <w:r>
        <w:rPr>
          <w:i/>
          <w:iCs/>
          <w:color w:val="000000" w:themeColor="text1"/>
        </w:rPr>
        <w:t>Political Distortions</w:t>
      </w:r>
      <w:r>
        <w:rPr>
          <w:color w:val="000000" w:themeColor="text1"/>
        </w:rPr>
        <w:t xml:space="preserve">, </w:t>
      </w:r>
      <w:r>
        <w:rPr>
          <w:smallCaps/>
          <w:color w:val="000000" w:themeColor="text1"/>
        </w:rPr>
        <w:t>Dispatch: Advisory Opinions</w:t>
      </w:r>
      <w:r>
        <w:rPr>
          <w:color w:val="000000" w:themeColor="text1"/>
        </w:rPr>
        <w:t xml:space="preserve"> (Dec. 18, 2025), https://thedispatch.com/podcast/advisoryopinions/political-distortions/ [create </w:t>
      </w:r>
      <w:proofErr w:type="spellStart"/>
      <w:r>
        <w:rPr>
          <w:color w:val="000000" w:themeColor="text1"/>
        </w:rPr>
        <w:t>perma</w:t>
      </w:r>
      <w:proofErr w:type="spellEnd"/>
      <w:r>
        <w:rPr>
          <w:color w:val="000000" w:themeColor="text1"/>
        </w:rPr>
        <w:t xml:space="preserve"> link].</w:t>
      </w:r>
    </w:p>
  </w:footnote>
  <w:footnote w:id="9">
    <w:p w14:paraId="2071DCF4" w14:textId="044714D4"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Helen Andrews, </w:t>
      </w:r>
      <w:r>
        <w:rPr>
          <w:i/>
          <w:iCs/>
          <w:color w:val="000000" w:themeColor="text1"/>
        </w:rPr>
        <w:t>What Happened to the ACLU</w:t>
      </w:r>
      <w:r>
        <w:rPr>
          <w:color w:val="000000" w:themeColor="text1"/>
        </w:rPr>
        <w:t xml:space="preserve">, </w:t>
      </w:r>
      <w:r>
        <w:rPr>
          <w:smallCaps/>
          <w:color w:val="000000" w:themeColor="text1"/>
        </w:rPr>
        <w:t>First Things</w:t>
      </w:r>
      <w:r>
        <w:rPr>
          <w:color w:val="000000" w:themeColor="text1"/>
        </w:rPr>
        <w:t xml:space="preserve"> (Dec. 1, 2023), https://www.firstthings.com/article/2023/12/what-happened-to-the-aclu [create </w:t>
      </w:r>
      <w:proofErr w:type="spellStart"/>
      <w:r>
        <w:rPr>
          <w:color w:val="000000" w:themeColor="text1"/>
        </w:rPr>
        <w:t>perma</w:t>
      </w:r>
      <w:proofErr w:type="spellEnd"/>
      <w:r>
        <w:rPr>
          <w:color w:val="000000" w:themeColor="text1"/>
        </w:rPr>
        <w:t xml:space="preserve"> link] (describing organizational transformation in which Chase </w:t>
      </w:r>
      <w:proofErr w:type="spellStart"/>
      <w:r>
        <w:rPr>
          <w:color w:val="000000" w:themeColor="text1"/>
        </w:rPr>
        <w:t>Strangio</w:t>
      </w:r>
      <w:proofErr w:type="spellEnd"/>
      <w:r>
        <w:rPr>
          <w:color w:val="000000" w:themeColor="text1"/>
        </w:rPr>
        <w:t xml:space="preserve">, who argued </w:t>
      </w:r>
      <w:proofErr w:type="spellStart"/>
      <w:r>
        <w:rPr>
          <w:i/>
          <w:iCs/>
          <w:color w:val="000000" w:themeColor="text1"/>
        </w:rPr>
        <w:t>Skrmetti</w:t>
      </w:r>
      <w:proofErr w:type="spellEnd"/>
      <w:r>
        <w:rPr>
          <w:color w:val="000000" w:themeColor="text1"/>
        </w:rPr>
        <w:t xml:space="preserve">, tweeted that stopping circulation of a book critical of youth gender transition was “100% a hill I will die on,” documenting 2018 guidelines requiring ACLU lawyers to avoid clients whose “views are contrary to our values,” explaining that post-Trump donations more than tripled revenue to $395 million by 2021, funding a hiring spree that brought in staff “marinated in identity politics” who rejected traditional free speech commitments, and noting a former Racial Justice Program head’s statement that “First Amendment protections are disproportionately enjoyed by people of power and privilege”); </w:t>
      </w:r>
      <w:r>
        <w:rPr>
          <w:i/>
          <w:iCs/>
          <w:color w:val="000000" w:themeColor="text1"/>
        </w:rPr>
        <w:t xml:space="preserve">see also </w:t>
      </w:r>
      <w:r>
        <w:rPr>
          <w:color w:val="000000" w:themeColor="text1"/>
        </w:rPr>
        <w:t xml:space="preserve">Andrew Sullivan, </w:t>
      </w:r>
      <w:proofErr w:type="spellStart"/>
      <w:r>
        <w:rPr>
          <w:i/>
          <w:iCs/>
          <w:color w:val="000000" w:themeColor="text1"/>
        </w:rPr>
        <w:t>Strangio</w:t>
      </w:r>
      <w:proofErr w:type="spellEnd"/>
      <w:r>
        <w:rPr>
          <w:i/>
          <w:iCs/>
          <w:color w:val="000000" w:themeColor="text1"/>
        </w:rPr>
        <w:t xml:space="preserve"> Things</w:t>
      </w:r>
      <w:r>
        <w:rPr>
          <w:color w:val="000000" w:themeColor="text1"/>
        </w:rPr>
        <w:t xml:space="preserve">, </w:t>
      </w:r>
      <w:r>
        <w:rPr>
          <w:smallCaps/>
          <w:color w:val="000000" w:themeColor="text1"/>
        </w:rPr>
        <w:t>Weekly Dish</w:t>
      </w:r>
      <w:r>
        <w:rPr>
          <w:color w:val="000000" w:themeColor="text1"/>
        </w:rPr>
        <w:t xml:space="preserve"> (June 20, 2025), https://andrewsullivan.substack.com/p/strangio-things-ab3 [create </w:t>
      </w:r>
      <w:proofErr w:type="spellStart"/>
      <w:r>
        <w:rPr>
          <w:color w:val="000000" w:themeColor="text1"/>
        </w:rPr>
        <w:t>perma</w:t>
      </w:r>
      <w:proofErr w:type="spellEnd"/>
      <w:r>
        <w:rPr>
          <w:color w:val="000000" w:themeColor="text1"/>
        </w:rPr>
        <w:t xml:space="preserve"> link] (noting that </w:t>
      </w:r>
      <w:proofErr w:type="spellStart"/>
      <w:r>
        <w:rPr>
          <w:color w:val="000000" w:themeColor="text1"/>
        </w:rPr>
        <w:t>Strangio</w:t>
      </w:r>
      <w:proofErr w:type="spellEnd"/>
      <w:r>
        <w:rPr>
          <w:color w:val="000000" w:themeColor="text1"/>
        </w:rPr>
        <w:t xml:space="preserve"> described himself as “a constitutional lawyer who fundamentally doesn’t believe in the Constitution”).</w:t>
      </w:r>
    </w:p>
  </w:footnote>
  <w:footnote w:id="10">
    <w:p w14:paraId="4B364146" w14:textId="076AF9EE" w:rsidR="008809AB" w:rsidRPr="005B3E31" w:rsidRDefault="008809A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Powell, </w:t>
      </w:r>
      <w:r>
        <w:rPr>
          <w:i/>
          <w:iCs/>
          <w:color w:val="000000" w:themeColor="text1"/>
        </w:rPr>
        <w:t>Once a Bastion of Free Speech, the ACLU Faces an Identity Crisis</w:t>
      </w:r>
      <w:r>
        <w:rPr>
          <w:color w:val="000000" w:themeColor="text1"/>
        </w:rPr>
        <w:t xml:space="preserve">, </w:t>
      </w:r>
      <w:r>
        <w:rPr>
          <w:smallCaps/>
          <w:color w:val="000000" w:themeColor="text1"/>
        </w:rPr>
        <w:t>N.Y. Times</w:t>
      </w:r>
      <w:r>
        <w:rPr>
          <w:color w:val="000000" w:themeColor="text1"/>
        </w:rPr>
        <w:t xml:space="preserve"> (June 6, 2021), https://www.nytimes.com/2021/06/06/us/aclu-free-speech.html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Molly Redden, </w:t>
      </w:r>
      <w:r>
        <w:rPr>
          <w:i/>
          <w:iCs/>
          <w:color w:val="000000" w:themeColor="text1"/>
        </w:rPr>
        <w:t>Top ACLU Executive Is Out Following Years of Complaints and an Outside Investigation</w:t>
      </w:r>
      <w:r>
        <w:rPr>
          <w:color w:val="000000" w:themeColor="text1"/>
        </w:rPr>
        <w:t xml:space="preserve">, </w:t>
      </w:r>
      <w:r>
        <w:rPr>
          <w:smallCaps/>
          <w:color w:val="000000" w:themeColor="text1"/>
        </w:rPr>
        <w:t>HuffPost</w:t>
      </w:r>
      <w:r>
        <w:rPr>
          <w:color w:val="000000" w:themeColor="text1"/>
        </w:rPr>
        <w:t xml:space="preserve"> (Feb. 17, 2022, 8:17 PM</w:t>
      </w:r>
      <w:r>
        <w:rPr>
          <w:color w:val="000000" w:themeColor="text1"/>
          <w:shd w:val="clear" w:color="auto" w:fill="FFFFFF"/>
        </w:rPr>
        <w:t xml:space="preserve">), https://www.huffpost.com/entry/aclu-executive-ronald-newman_n_620ec196e4b06212585a8620 </w:t>
      </w:r>
      <w:r>
        <w:rPr>
          <w:color w:val="000000" w:themeColor="text1"/>
        </w:rPr>
        <w:t xml:space="preserve">[create </w:t>
      </w:r>
      <w:proofErr w:type="spellStart"/>
      <w:r>
        <w:rPr>
          <w:color w:val="000000" w:themeColor="text1"/>
        </w:rPr>
        <w:t>perma</w:t>
      </w:r>
      <w:proofErr w:type="spellEnd"/>
      <w:r>
        <w:rPr>
          <w:color w:val="000000" w:themeColor="text1"/>
        </w:rPr>
        <w:t xml:space="preserve"> link] (“[T]he ACLU has lost the ability to effectively advocate on some of its core issues”); Ryan Grim, </w:t>
      </w:r>
      <w:r>
        <w:rPr>
          <w:i/>
          <w:iCs/>
          <w:color w:val="000000" w:themeColor="text1"/>
        </w:rPr>
        <w:t>Elephant in the Zoom: Meltdowns Have Brought Progressive Advocacy Groups to a Standstill at a Critical Moment in World History</w:t>
      </w:r>
      <w:r>
        <w:rPr>
          <w:color w:val="000000" w:themeColor="text1"/>
        </w:rPr>
        <w:t xml:space="preserve">, </w:t>
      </w:r>
      <w:r>
        <w:rPr>
          <w:smallCaps/>
          <w:color w:val="000000" w:themeColor="text1"/>
        </w:rPr>
        <w:t>Intercept</w:t>
      </w:r>
      <w:r>
        <w:rPr>
          <w:color w:val="000000" w:themeColor="text1"/>
        </w:rPr>
        <w:t xml:space="preserve"> (June 13, 2022, 6:07 PM), https://theintercept.com/2022/06/13/progressive-organizing-infighting-callout-culture/ [create </w:t>
      </w:r>
      <w:proofErr w:type="spellStart"/>
      <w:r>
        <w:rPr>
          <w:color w:val="000000" w:themeColor="text1"/>
        </w:rPr>
        <w:t>perma</w:t>
      </w:r>
      <w:proofErr w:type="spellEnd"/>
      <w:r>
        <w:rPr>
          <w:color w:val="000000" w:themeColor="text1"/>
        </w:rPr>
        <w:t xml:space="preserve"> link] (explaining that one employee said that “[d]</w:t>
      </w:r>
      <w:proofErr w:type="spellStart"/>
      <w:r>
        <w:rPr>
          <w:color w:val="000000" w:themeColor="text1"/>
        </w:rPr>
        <w:t>uring</w:t>
      </w:r>
      <w:proofErr w:type="spellEnd"/>
      <w:r>
        <w:rPr>
          <w:color w:val="000000" w:themeColor="text1"/>
        </w:rPr>
        <w:t xml:space="preserve"> my last nine months, I was spending 90 to 95 percent of my time on internal strife”). </w:t>
      </w:r>
    </w:p>
  </w:footnote>
  <w:footnote w:id="11">
    <w:p w14:paraId="7B7302F4" w14:textId="71923734" w:rsidR="00E00694" w:rsidRPr="005B3E31" w:rsidRDefault="00E0069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Judy </w:t>
      </w:r>
      <w:proofErr w:type="spellStart"/>
      <w:r>
        <w:rPr>
          <w:smallCaps/>
          <w:color w:val="000000" w:themeColor="text1"/>
        </w:rPr>
        <w:t>Kutulas</w:t>
      </w:r>
      <w:proofErr w:type="spellEnd"/>
      <w:r>
        <w:rPr>
          <w:color w:val="000000" w:themeColor="text1"/>
        </w:rPr>
        <w:t xml:space="preserve">, </w:t>
      </w:r>
      <w:r>
        <w:rPr>
          <w:smallCaps/>
          <w:color w:val="000000" w:themeColor="text1"/>
        </w:rPr>
        <w:t>The American Civil Liberties Union and</w:t>
      </w:r>
      <w:r>
        <w:rPr>
          <w:color w:val="000000" w:themeColor="text1"/>
        </w:rPr>
        <w:t xml:space="preserve"> </w:t>
      </w:r>
      <w:r>
        <w:rPr>
          <w:smallCaps/>
          <w:color w:val="000000" w:themeColor="text1"/>
        </w:rPr>
        <w:t>the Making of Modern Liberalism, 1930–1960</w:t>
      </w:r>
      <w:r>
        <w:rPr>
          <w:color w:val="000000" w:themeColor="text1"/>
        </w:rPr>
        <w:t xml:space="preserve">, at 187 (2006) (describing the mid-century ACLU, where “there was no room in the organization for people with different opinions”); Sarah </w:t>
      </w:r>
      <w:proofErr w:type="spellStart"/>
      <w:r>
        <w:rPr>
          <w:color w:val="000000" w:themeColor="text1"/>
        </w:rPr>
        <w:t>Isgur</w:t>
      </w:r>
      <w:proofErr w:type="spellEnd"/>
      <w:r>
        <w:rPr>
          <w:color w:val="000000" w:themeColor="text1"/>
        </w:rPr>
        <w:t xml:space="preserve"> &amp; David French, </w:t>
      </w:r>
      <w:r>
        <w:rPr>
          <w:i/>
          <w:iCs/>
          <w:color w:val="000000" w:themeColor="text1"/>
        </w:rPr>
        <w:t>Hubris in Legal Movements</w:t>
      </w:r>
      <w:r>
        <w:rPr>
          <w:color w:val="000000" w:themeColor="text1"/>
        </w:rPr>
        <w:t xml:space="preserve">, </w:t>
      </w:r>
      <w:r>
        <w:rPr>
          <w:smallCaps/>
          <w:color w:val="000000" w:themeColor="text1"/>
        </w:rPr>
        <w:t>Dispatch: Advisory Opinions</w:t>
      </w:r>
      <w:r>
        <w:rPr>
          <w:color w:val="000000" w:themeColor="text1"/>
        </w:rPr>
        <w:t xml:space="preserve"> (June 24, 2025), https://thedispatch.com/podcast/advisoryopinions/hubris-in-legal-movements/ [create </w:t>
      </w:r>
      <w:proofErr w:type="spellStart"/>
      <w:r>
        <w:rPr>
          <w:color w:val="000000" w:themeColor="text1"/>
        </w:rPr>
        <w:t>perma</w:t>
      </w:r>
      <w:proofErr w:type="spellEnd"/>
      <w:r>
        <w:rPr>
          <w:color w:val="000000" w:themeColor="text1"/>
        </w:rPr>
        <w:t xml:space="preserve"> link] (discussing “how much the ACLU would have benefited if they had people at the ACLU who disagreed with them or who had clerked for a conservative justice”);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 (reporting critics’ views: “[T]he movement was consumed by theories of sex and gender that most voters didn’t grasp or support, radicalizing its politics just as the culture wars reignited and the Supreme Court began moving further right. And as </w:t>
      </w:r>
      <w:proofErr w:type="spellStart"/>
      <w:r>
        <w:rPr>
          <w:color w:val="000000" w:themeColor="text1"/>
        </w:rPr>
        <w:t>Skrmetti</w:t>
      </w:r>
      <w:proofErr w:type="spellEnd"/>
      <w:r>
        <w:rPr>
          <w:color w:val="000000" w:themeColor="text1"/>
        </w:rPr>
        <w:t xml:space="preserve"> and other lawsuits made their way through federal Courts, some of the central medical claims girding the legal case for pediatric gender treatments — that decades of thorough study had found them to be safe and effective — began to unravel amid growing scrutiny by other doctors and experts.”).</w:t>
      </w:r>
    </w:p>
  </w:footnote>
  <w:footnote w:id="12">
    <w:p w14:paraId="06453365" w14:textId="77777777"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2 (“[T]he case departed from the incrementalist strategy that helped the LGBTQ+ movement win victories such as marriage equality.”); </w:t>
      </w:r>
      <w:proofErr w:type="spellStart"/>
      <w:r>
        <w:rPr>
          <w:color w:val="000000" w:themeColor="text1"/>
        </w:rPr>
        <w:t>Confessore</w:t>
      </w:r>
      <w:proofErr w:type="spellEnd"/>
      <w:r>
        <w:rPr>
          <w:color w:val="000000" w:themeColor="text1"/>
        </w:rPr>
        <w:t xml:space="preserve">, </w:t>
      </w:r>
      <w:r>
        <w:rPr>
          <w:i/>
          <w:iCs/>
          <w:color w:val="000000" w:themeColor="text1"/>
        </w:rPr>
        <w:t>supra</w:t>
      </w:r>
      <w:r>
        <w:rPr>
          <w:color w:val="000000" w:themeColor="text1"/>
        </w:rPr>
        <w:t xml:space="preserve"> note 3 (“L.G.B.T.Q. groups and the A.C.L.U. might have looked to state Courts, seeking incremental wins without the risk of a binding Supreme Court precedent.”).</w:t>
      </w:r>
    </w:p>
  </w:footnote>
  <w:footnote w:id="13">
    <w:p w14:paraId="27D15A9F" w14:textId="77777777" w:rsidR="001F58B7" w:rsidRPr="005B3E31" w:rsidRDefault="001F58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But see</w:t>
      </w:r>
      <w:r>
        <w:rPr>
          <w:color w:val="000000" w:themeColor="text1"/>
        </w:rPr>
        <w:t xml:space="preserve"> Kate Redburn, </w:t>
      </w:r>
      <w:proofErr w:type="spellStart"/>
      <w:r>
        <w:rPr>
          <w:color w:val="000000" w:themeColor="text1"/>
        </w:rPr>
        <w:t>Skrmetti</w:t>
      </w:r>
      <w:proofErr w:type="spellEnd"/>
      <w:r>
        <w:rPr>
          <w:color w:val="000000" w:themeColor="text1"/>
        </w:rPr>
        <w:t xml:space="preserve"> </w:t>
      </w:r>
      <w:r>
        <w:rPr>
          <w:i/>
          <w:iCs/>
          <w:color w:val="000000" w:themeColor="text1"/>
        </w:rPr>
        <w:t>Beyond Scrutiny</w:t>
      </w:r>
      <w:r>
        <w:rPr>
          <w:color w:val="000000" w:themeColor="text1"/>
        </w:rPr>
        <w:t xml:space="preserve">, 139 </w:t>
      </w:r>
      <w:r w:rsidRPr="004A775A">
        <w:rPr>
          <w:smallCaps/>
          <w:color w:val="000000" w:themeColor="text1"/>
        </w:rPr>
        <w:t>Harv. L. Rev.</w:t>
      </w:r>
      <w:r>
        <w:rPr>
          <w:color w:val="000000" w:themeColor="text1"/>
        </w:rPr>
        <w:t xml:space="preserve"> 167, 193 &amp; n.226 (2025) (arguing that </w:t>
      </w:r>
      <w:proofErr w:type="spellStart"/>
      <w:r w:rsidRPr="004A775A">
        <w:rPr>
          <w:i/>
          <w:iCs/>
          <w:color w:val="000000" w:themeColor="text1"/>
        </w:rPr>
        <w:t>Skrmetti</w:t>
      </w:r>
      <w:proofErr w:type="spellEnd"/>
      <w:r>
        <w:rPr>
          <w:color w:val="000000" w:themeColor="text1"/>
        </w:rPr>
        <w:t xml:space="preserve"> was mischaracterized as turning on scientific rather than legal questions).</w:t>
      </w:r>
    </w:p>
  </w:footnote>
  <w:footnote w:id="14">
    <w:p w14:paraId="258E50B1" w14:textId="08A82FE0"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Wilchins</w:t>
      </w:r>
      <w:proofErr w:type="spellEnd"/>
      <w:r>
        <w:rPr>
          <w:color w:val="000000" w:themeColor="text1"/>
        </w:rPr>
        <w:t xml:space="preserve">, </w:t>
      </w:r>
      <w:r>
        <w:rPr>
          <w:i/>
          <w:iCs/>
          <w:color w:val="000000" w:themeColor="text1"/>
        </w:rPr>
        <w:t>supra</w:t>
      </w:r>
      <w:r>
        <w:rPr>
          <w:color w:val="000000" w:themeColor="text1"/>
        </w:rPr>
        <w:t xml:space="preserve"> note 2 (“So you end up with the national ACLU sending people up to the Supreme Court on a sex discrimination case and they don’t know much about sex discrimination jurisprudence. That’s bad. That’s not good.”). </w:t>
      </w:r>
    </w:p>
  </w:footnote>
  <w:footnote w:id="15">
    <w:p w14:paraId="5FBA625A" w14:textId="77777777" w:rsidR="00105CBB" w:rsidRPr="005B3E31" w:rsidRDefault="00105CB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w:t>
      </w:r>
      <w:proofErr w:type="spellStart"/>
      <w:r>
        <w:rPr>
          <w:color w:val="000000" w:themeColor="text1"/>
        </w:rPr>
        <w:t>Skrmetti</w:t>
      </w:r>
      <w:proofErr w:type="spellEnd"/>
      <w:r>
        <w:rPr>
          <w:color w:val="000000" w:themeColor="text1"/>
        </w:rPr>
        <w:t>, 145 S. Ct. 1816, 1829, 1835–37 (2025).</w:t>
      </w:r>
    </w:p>
  </w:footnote>
  <w:footnote w:id="16">
    <w:p w14:paraId="0C5BFE8D" w14:textId="77777777" w:rsidR="0073200D" w:rsidRPr="005B3E31" w:rsidRDefault="0073200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Paul ’t Hart, </w:t>
      </w:r>
      <w:r>
        <w:rPr>
          <w:i/>
          <w:iCs/>
          <w:color w:val="000000" w:themeColor="text1"/>
        </w:rPr>
        <w:t>Irving L. Janis’ Victims of Groupthink</w:t>
      </w:r>
      <w:r>
        <w:rPr>
          <w:color w:val="000000" w:themeColor="text1"/>
        </w:rPr>
        <w:t xml:space="preserve">, 12 </w:t>
      </w:r>
      <w:r>
        <w:rPr>
          <w:smallCaps/>
          <w:color w:val="000000" w:themeColor="text1"/>
        </w:rPr>
        <w:t>Pol. Psychol.</w:t>
      </w:r>
      <w:r>
        <w:rPr>
          <w:color w:val="000000" w:themeColor="text1"/>
        </w:rPr>
        <w:t xml:space="preserve"> 247, 256 (1991) (describing groupthink);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 (quoting Michael Ulrich: “If you can’t win a challenge to strike down a gender-affirming care ban, it’s going to be hard to win other cases around trans rights”); </w:t>
      </w:r>
      <w:r>
        <w:rPr>
          <w:i/>
          <w:iCs/>
          <w:color w:val="000000" w:themeColor="text1"/>
        </w:rPr>
        <w:t xml:space="preserve">see </w:t>
      </w:r>
      <w:proofErr w:type="gramStart"/>
      <w:r>
        <w:rPr>
          <w:i/>
          <w:iCs/>
          <w:color w:val="000000" w:themeColor="text1"/>
        </w:rPr>
        <w:t>infra</w:t>
      </w:r>
      <w:r>
        <w:rPr>
          <w:color w:val="000000" w:themeColor="text1"/>
        </w:rPr>
        <w:t xml:space="preserve"> Section II</w:t>
      </w:r>
      <w:proofErr w:type="gramEnd"/>
      <w:r>
        <w:rPr>
          <w:color w:val="000000" w:themeColor="text1"/>
        </w:rPr>
        <w:t>.</w:t>
      </w:r>
    </w:p>
  </w:footnote>
  <w:footnote w:id="17">
    <w:p w14:paraId="40411142" w14:textId="7B1576BF" w:rsidR="00E2020C" w:rsidRPr="005B3E31" w:rsidRDefault="00E2020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t>Isgur</w:t>
      </w:r>
      <w:proofErr w:type="spellEnd"/>
      <w:r>
        <w:t xml:space="preserve"> &amp; French, </w:t>
      </w:r>
      <w:r>
        <w:rPr>
          <w:i/>
          <w:iCs/>
        </w:rPr>
        <w:t>supra</w:t>
      </w:r>
      <w:r>
        <w:t xml:space="preserve"> note 10.</w:t>
      </w:r>
    </w:p>
  </w:footnote>
  <w:footnote w:id="18">
    <w:p w14:paraId="1B3FE6FF" w14:textId="77777777" w:rsidR="00BE5202" w:rsidRPr="005B3E31" w:rsidRDefault="00BE520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Ross Douthat &amp; Chase </w:t>
      </w:r>
      <w:proofErr w:type="spellStart"/>
      <w:r>
        <w:rPr>
          <w:color w:val="000000" w:themeColor="text1"/>
        </w:rPr>
        <w:t>Strangio</w:t>
      </w:r>
      <w:proofErr w:type="spellEnd"/>
      <w:r>
        <w:rPr>
          <w:color w:val="000000" w:themeColor="text1"/>
        </w:rPr>
        <w:t xml:space="preserve">, </w:t>
      </w:r>
      <w:r>
        <w:rPr>
          <w:i/>
          <w:iCs/>
          <w:color w:val="000000" w:themeColor="text1"/>
        </w:rPr>
        <w:t>The Shifting Politics of Transgender Rights</w:t>
      </w:r>
      <w:r>
        <w:rPr>
          <w:color w:val="000000" w:themeColor="text1"/>
        </w:rPr>
        <w:t xml:space="preserve">, </w:t>
      </w:r>
      <w:r>
        <w:rPr>
          <w:smallCaps/>
          <w:color w:val="000000" w:themeColor="text1"/>
        </w:rPr>
        <w:t>N.Y. Times</w:t>
      </w:r>
      <w:r>
        <w:rPr>
          <w:color w:val="000000" w:themeColor="text1"/>
        </w:rPr>
        <w:t xml:space="preserve"> (Dec. 4, 2025), https://www.nytimes.com/2025/12/04/opinion/transgender-rights-strangio-douthat.html [create </w:t>
      </w:r>
      <w:proofErr w:type="spellStart"/>
      <w:r>
        <w:rPr>
          <w:color w:val="000000" w:themeColor="text1"/>
        </w:rPr>
        <w:t>perma</w:t>
      </w:r>
      <w:proofErr w:type="spellEnd"/>
      <w:r>
        <w:rPr>
          <w:color w:val="000000" w:themeColor="text1"/>
        </w:rPr>
        <w:t xml:space="preserve"> link]. </w:t>
      </w:r>
    </w:p>
  </w:footnote>
  <w:footnote w:id="19">
    <w:p w14:paraId="7D8D8C31" w14:textId="77777777" w:rsidR="00D13E93" w:rsidRPr="005B3E31" w:rsidRDefault="00D13E93" w:rsidP="003D74D8">
      <w:pPr>
        <w:pStyle w:val="FootnoteText"/>
        <w:spacing w:line="480" w:lineRule="auto"/>
      </w:pPr>
      <w:r>
        <w:rPr>
          <w:rStyle w:val="FootnoteReference"/>
        </w:rPr>
        <w:footnoteRef/>
      </w:r>
      <w:r>
        <w:t xml:space="preserve"> </w:t>
      </w:r>
      <w:r>
        <w:rPr>
          <w:color w:val="000000" w:themeColor="text1"/>
        </w:rPr>
        <w:t>I share Justice Sotomayor’s concern that the law prohibiting gender affirming care authorizes harm to the Plaintiffs Ryan Roe, L.W., John Doe, their families who love them, and transgender individuals everywhere. My foregoing criticisms regarding this case express my disappointment that these plaintiffs received less than optimal representation for their cause.</w:t>
      </w:r>
    </w:p>
  </w:footnote>
  <w:footnote w:id="20">
    <w:p w14:paraId="3A481F8C" w14:textId="77777777" w:rsidR="00C97DF2" w:rsidRPr="005B3E31" w:rsidRDefault="00C97DF2" w:rsidP="003D74D8">
      <w:pPr>
        <w:pStyle w:val="FootnoteText"/>
        <w:spacing w:line="480" w:lineRule="auto"/>
        <w:ind w:left="720" w:hanging="720"/>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Tenn. Code Ann</w:t>
      </w:r>
      <w:r>
        <w:rPr>
          <w:color w:val="000000" w:themeColor="text1"/>
        </w:rPr>
        <w:t>. §§ 68-33-101 to -107 (2023).</w:t>
      </w:r>
    </w:p>
  </w:footnote>
  <w:footnote w:id="21">
    <w:p w14:paraId="7BEF1F56"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22">
    <w:p w14:paraId="1F923283"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Press Release, </w:t>
      </w:r>
      <w:r w:rsidRPr="004A775A">
        <w:rPr>
          <w:color w:val="000000" w:themeColor="text1"/>
        </w:rPr>
        <w:t xml:space="preserve">Ala. </w:t>
      </w:r>
      <w:proofErr w:type="spellStart"/>
      <w:r w:rsidRPr="004A775A">
        <w:rPr>
          <w:color w:val="000000" w:themeColor="text1"/>
        </w:rPr>
        <w:t>Att’y</w:t>
      </w:r>
      <w:proofErr w:type="spellEnd"/>
      <w:r w:rsidRPr="004A775A">
        <w:rPr>
          <w:color w:val="000000" w:themeColor="text1"/>
        </w:rPr>
        <w:t xml:space="preserve"> Gen</w:t>
      </w:r>
      <w:r>
        <w:rPr>
          <w:color w:val="000000" w:themeColor="text1"/>
        </w:rPr>
        <w:t>., </w:t>
      </w:r>
      <w:r>
        <w:rPr>
          <w:i/>
          <w:iCs/>
          <w:color w:val="000000" w:themeColor="text1"/>
        </w:rPr>
        <w:t>Attorney General Marshall: Supreme Court Agrees on Tennessee’s Case, States Can Impose Age Limits on Sex-Change Procedures</w:t>
      </w:r>
      <w:r>
        <w:rPr>
          <w:color w:val="000000" w:themeColor="text1"/>
        </w:rPr>
        <w:t xml:space="preserve"> (June 18, 2025), https://www.alabamaag.gov/wp-content/uploads/2025/06/2025.6.18-Attorney-General-Marshall-Supreme-Court-Agrees-on-Tennessees-Case-States-Can-Impose-Age-Limits-on-Sex-Change-Procedures.pdf [create </w:t>
      </w:r>
      <w:proofErr w:type="spellStart"/>
      <w:r>
        <w:rPr>
          <w:color w:val="000000" w:themeColor="text1"/>
        </w:rPr>
        <w:t>perma</w:t>
      </w:r>
      <w:proofErr w:type="spellEnd"/>
      <w:r>
        <w:rPr>
          <w:color w:val="000000" w:themeColor="text1"/>
        </w:rPr>
        <w:t xml:space="preserve"> link];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w:t>
      </w:r>
    </w:p>
  </w:footnote>
  <w:footnote w:id="23">
    <w:p w14:paraId="46A88044" w14:textId="40D40AFC"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xml:space="preserve"> note 7; Ala. </w:t>
      </w:r>
      <w:proofErr w:type="spellStart"/>
      <w:r>
        <w:rPr>
          <w:color w:val="000000" w:themeColor="text1"/>
        </w:rPr>
        <w:t>Att’y</w:t>
      </w:r>
      <w:proofErr w:type="spellEnd"/>
      <w:r>
        <w:rPr>
          <w:color w:val="000000" w:themeColor="text1"/>
        </w:rPr>
        <w:t xml:space="preserve"> Gen., </w:t>
      </w:r>
      <w:r>
        <w:rPr>
          <w:i/>
          <w:iCs/>
          <w:color w:val="000000" w:themeColor="text1"/>
        </w:rPr>
        <w:t>supra</w:t>
      </w:r>
      <w:r>
        <w:rPr>
          <w:color w:val="000000" w:themeColor="text1"/>
        </w:rPr>
        <w:t xml:space="preserve"> note 20.</w:t>
      </w:r>
    </w:p>
  </w:footnote>
  <w:footnote w:id="24">
    <w:p w14:paraId="494D7EC7" w14:textId="653676EE" w:rsidR="006A70B9" w:rsidRPr="005B3E31" w:rsidRDefault="006A70B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First Amended Complaint for Declaratory and Injunctive Relief ¶ 30, </w:t>
      </w:r>
      <w:proofErr w:type="spellStart"/>
      <w:r>
        <w:rPr>
          <w:color w:val="000000" w:themeColor="text1"/>
        </w:rPr>
        <w:t>Eknes</w:t>
      </w:r>
      <w:proofErr w:type="spellEnd"/>
      <w:r>
        <w:rPr>
          <w:color w:val="000000" w:themeColor="text1"/>
        </w:rPr>
        <w:t>-Tucker v. Marshall, No. 2:22-cv-00184-LCB-CWB (M.D. Ala. Aug. 9, 2022) (“Healthcare providers who specialize in the treatment of gender dysphoria follow [WPATH’s] well-established standard of care that has been adopted by the major medical and mental health associations”); </w:t>
      </w:r>
      <w:r>
        <w:rPr>
          <w:i/>
          <w:iCs/>
          <w:color w:val="000000" w:themeColor="text1"/>
        </w:rPr>
        <w:t>see also</w:t>
      </w:r>
      <w:r>
        <w:rPr>
          <w:color w:val="000000" w:themeColor="text1"/>
        </w:rPr>
        <w:t xml:space="preserve"> Amended Complaint in Intervention ¶ 48, </w:t>
      </w:r>
      <w:proofErr w:type="spellStart"/>
      <w:r>
        <w:rPr>
          <w:color w:val="000000" w:themeColor="text1"/>
        </w:rPr>
        <w:t>Eknes</w:t>
      </w:r>
      <w:proofErr w:type="spellEnd"/>
      <w:r>
        <w:rPr>
          <w:color w:val="000000" w:themeColor="text1"/>
        </w:rPr>
        <w:t xml:space="preserve">-Tucker v. Ivey, No. 2:22-cv-00184-LCB-SRW (M.D. Ala. May 4, 2022) (“S.B. 184 prohibits transgender minors from obtaining care that is well recognized within the medical community as medically appropriate and necessary”); Rohan </w:t>
      </w:r>
      <w:proofErr w:type="spellStart"/>
      <w:r>
        <w:rPr>
          <w:color w:val="000000" w:themeColor="text1"/>
        </w:rPr>
        <w:t>Lokanadham</w:t>
      </w:r>
      <w:proofErr w:type="spellEnd"/>
      <w:r>
        <w:rPr>
          <w:color w:val="000000" w:themeColor="text1"/>
        </w:rPr>
        <w:t xml:space="preserve">, </w:t>
      </w:r>
      <w:r>
        <w:rPr>
          <w:i/>
          <w:iCs/>
          <w:color w:val="000000" w:themeColor="text1"/>
        </w:rPr>
        <w:t xml:space="preserve">Law School Hosts Panel on How </w:t>
      </w:r>
      <w:r w:rsidRPr="004A775A">
        <w:rPr>
          <w:color w:val="000000" w:themeColor="text1"/>
        </w:rPr>
        <w:t xml:space="preserve">United States v. </w:t>
      </w:r>
      <w:proofErr w:type="spellStart"/>
      <w:r w:rsidRPr="004A775A">
        <w:rPr>
          <w:color w:val="000000" w:themeColor="text1"/>
        </w:rPr>
        <w:t>Skrmetti</w:t>
      </w:r>
      <w:proofErr w:type="spellEnd"/>
      <w:r>
        <w:rPr>
          <w:i/>
          <w:iCs/>
          <w:color w:val="000000" w:themeColor="text1"/>
        </w:rPr>
        <w:t xml:space="preserve"> Puts Transgender Healthcare on the Line</w:t>
      </w:r>
      <w:r>
        <w:rPr>
          <w:color w:val="000000" w:themeColor="text1"/>
        </w:rPr>
        <w:t xml:space="preserve">, </w:t>
      </w:r>
      <w:r>
        <w:rPr>
          <w:smallCaps/>
          <w:color w:val="000000" w:themeColor="text1"/>
        </w:rPr>
        <w:t>Yale Daily News</w:t>
      </w:r>
      <w:r>
        <w:rPr>
          <w:color w:val="000000" w:themeColor="text1"/>
        </w:rPr>
        <w:t xml:space="preserve"> (Nov. 18, 2024), https://yaledailynews.com/blog/2024/11/18/law-school-hosts-panel-on-how-united-states-v-skrmetti-puts-transgender-healthcare-on-the-line/ [create </w:t>
      </w:r>
      <w:proofErr w:type="spellStart"/>
      <w:r>
        <w:rPr>
          <w:color w:val="000000" w:themeColor="text1"/>
        </w:rPr>
        <w:t>perma</w:t>
      </w:r>
      <w:proofErr w:type="spellEnd"/>
      <w:r>
        <w:rPr>
          <w:color w:val="000000" w:themeColor="text1"/>
        </w:rPr>
        <w:t xml:space="preserve"> link] (discussing a parade of </w:t>
      </w:r>
      <w:proofErr w:type="spellStart"/>
      <w:r>
        <w:rPr>
          <w:color w:val="000000" w:themeColor="text1"/>
        </w:rPr>
        <w:t>horribles</w:t>
      </w:r>
      <w:proofErr w:type="spellEnd"/>
      <w:r>
        <w:rPr>
          <w:color w:val="000000" w:themeColor="text1"/>
        </w:rPr>
        <w:t xml:space="preserve"> if courts do not defer to medical institutions).</w:t>
      </w:r>
    </w:p>
  </w:footnote>
  <w:footnote w:id="25">
    <w:p w14:paraId="3D057C79" w14:textId="77777777" w:rsidR="00DB5F62" w:rsidRPr="005B3E31" w:rsidRDefault="00DB5F6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Amended Complaint in Intervention ¶ 28, </w:t>
      </w:r>
      <w:proofErr w:type="spellStart"/>
      <w:r>
        <w:rPr>
          <w:color w:val="000000" w:themeColor="text1"/>
        </w:rPr>
        <w:t>Eknes</w:t>
      </w:r>
      <w:proofErr w:type="spellEnd"/>
      <w:r>
        <w:rPr>
          <w:color w:val="000000" w:themeColor="text1"/>
        </w:rPr>
        <w:t>-Tucker v. Ivey, No. 2:22-cv-00184-LCB-SRW (M.D. Ala. May 4, 2022).</w:t>
      </w:r>
    </w:p>
  </w:footnote>
  <w:footnote w:id="26">
    <w:p w14:paraId="1685022E" w14:textId="695B912C" w:rsidR="00C0099B" w:rsidRPr="005B3E31" w:rsidRDefault="00C009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Memorandum in Support of Plaintiffs’ Motion for a Temporary Restraining Order and/or Preliminary Injunction at 13, 16, 28, </w:t>
      </w:r>
      <w:proofErr w:type="spellStart"/>
      <w:r>
        <w:rPr>
          <w:color w:val="000000" w:themeColor="text1"/>
        </w:rPr>
        <w:t>Eknes</w:t>
      </w:r>
      <w:proofErr w:type="spellEnd"/>
      <w:r>
        <w:rPr>
          <w:color w:val="000000" w:themeColor="text1"/>
        </w:rPr>
        <w:t xml:space="preserve">-Tucker v. Ivey, No. 2:22-cv-00184-LCB-SRW (M.D. Ala. Apr. 21, 2022). </w:t>
      </w:r>
    </w:p>
  </w:footnote>
  <w:footnote w:id="27">
    <w:p w14:paraId="07B1587C" w14:textId="77777777" w:rsidR="001D4FB2" w:rsidRPr="005B3E31" w:rsidRDefault="001D4FB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note 7.</w:t>
      </w:r>
    </w:p>
  </w:footnote>
  <w:footnote w:id="28">
    <w:p w14:paraId="399C423F" w14:textId="59537D09"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Amici Curiae State of Alabama and 23 Other States in Support of Jurisdiction at 3, Moe v. Yost, No. 2025-0472 (Ohio May 16, 2025); </w:t>
      </w:r>
      <w:r>
        <w:rPr>
          <w:i/>
          <w:iCs/>
          <w:color w:val="000000" w:themeColor="text1"/>
        </w:rPr>
        <w:t>see also</w:t>
      </w:r>
      <w:r>
        <w:rPr>
          <w:color w:val="000000" w:themeColor="text1"/>
        </w:rPr>
        <w:t xml:space="preserve"> Chloe K. Jones, </w:t>
      </w:r>
      <w:r>
        <w:rPr>
          <w:i/>
          <w:iCs/>
          <w:color w:val="000000" w:themeColor="text1"/>
        </w:rPr>
        <w:t>The Facade of Medical Consensus: How Medical Associations Prioritize Politics over Science</w:t>
      </w:r>
      <w:r>
        <w:rPr>
          <w:color w:val="000000" w:themeColor="text1"/>
        </w:rPr>
        <w:t xml:space="preserve">, 2025 </w:t>
      </w:r>
      <w:r>
        <w:rPr>
          <w:smallCaps/>
          <w:color w:val="000000" w:themeColor="text1"/>
        </w:rPr>
        <w:t xml:space="preserve">Harv. J.L. &amp; Pub. </w:t>
      </w:r>
      <w:proofErr w:type="spellStart"/>
      <w:r>
        <w:rPr>
          <w:smallCaps/>
          <w:color w:val="000000" w:themeColor="text1"/>
        </w:rPr>
        <w:t>Pol’y</w:t>
      </w:r>
      <w:proofErr w:type="spellEnd"/>
      <w:r>
        <w:rPr>
          <w:smallCaps/>
          <w:color w:val="000000" w:themeColor="text1"/>
        </w:rPr>
        <w:t xml:space="preserve"> Per </w:t>
      </w:r>
      <w:proofErr w:type="spellStart"/>
      <w:r>
        <w:rPr>
          <w:smallCaps/>
          <w:color w:val="000000" w:themeColor="text1"/>
        </w:rPr>
        <w:t>Curiam</w:t>
      </w:r>
      <w:proofErr w:type="spellEnd"/>
      <w:r>
        <w:rPr>
          <w:color w:val="000000" w:themeColor="text1"/>
        </w:rPr>
        <w:t xml:space="preserve"> 1, 2–5 (2025) (quoting a WPATH author who wrote that “[w]e need[] a tool for our attorneys to use in defending access to care” and concluding that “many associations selectively shape scientific findings to advance specific policy outcomes”).</w:t>
      </w:r>
    </w:p>
  </w:footnote>
  <w:footnote w:id="29">
    <w:p w14:paraId="3AA64361" w14:textId="72F0B1D6"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Supporting State Respondents at 11, United States v. </w:t>
      </w:r>
      <w:proofErr w:type="spellStart"/>
      <w:r>
        <w:rPr>
          <w:color w:val="000000" w:themeColor="text1"/>
        </w:rPr>
        <w:t>Skrmetti</w:t>
      </w:r>
      <w:proofErr w:type="spellEnd"/>
      <w:r>
        <w:rPr>
          <w:color w:val="000000" w:themeColor="text1"/>
        </w:rPr>
        <w:t xml:space="preserve">, 145 S. Ct. 1816 (2025) (No. 23-477); </w:t>
      </w:r>
      <w:r>
        <w:rPr>
          <w:i/>
          <w:iCs/>
          <w:color w:val="000000" w:themeColor="text1"/>
        </w:rPr>
        <w:t>see also</w:t>
      </w:r>
      <w:r>
        <w:rPr>
          <w:color w:val="000000" w:themeColor="text1"/>
        </w:rPr>
        <w:t xml:space="preserve"> Powell, </w:t>
      </w:r>
      <w:r>
        <w:rPr>
          <w:i/>
          <w:iCs/>
          <w:color w:val="000000" w:themeColor="text1"/>
        </w:rPr>
        <w:t>supra</w:t>
      </w:r>
      <w:r>
        <w:rPr>
          <w:color w:val="000000" w:themeColor="text1"/>
        </w:rPr>
        <w:t xml:space="preserve"> note 9 (quoting David Goldberger: “I got the sense it was more important for A.C.L.U. staff to identify with clients and progressive causes than to stand on principle”). </w:t>
      </w:r>
    </w:p>
  </w:footnote>
  <w:footnote w:id="30">
    <w:p w14:paraId="1773A793"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27, at 11.</w:t>
      </w:r>
    </w:p>
  </w:footnote>
  <w:footnote w:id="31">
    <w:p w14:paraId="4AF062E1"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p>
  </w:footnote>
  <w:footnote w:id="32">
    <w:p w14:paraId="030E3F96" w14:textId="28A7BF2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xml:space="preserve"> note 27, at 14–15; Brief of Amici Curiae State of Alabama, </w:t>
      </w:r>
      <w:r>
        <w:rPr>
          <w:i/>
          <w:iCs/>
          <w:color w:val="000000" w:themeColor="text1"/>
        </w:rPr>
        <w:t>supra</w:t>
      </w:r>
      <w:r>
        <w:rPr>
          <w:color w:val="000000" w:themeColor="text1"/>
        </w:rPr>
        <w:t xml:space="preserve"> note 26, at 2; </w:t>
      </w:r>
      <w:r>
        <w:rPr>
          <w:i/>
          <w:iCs/>
          <w:color w:val="000000" w:themeColor="text1"/>
        </w:rPr>
        <w:t>see also</w:t>
      </w:r>
      <w:r>
        <w:rPr>
          <w:color w:val="000000" w:themeColor="text1"/>
        </w:rPr>
        <w:t xml:space="preserve"> Leor Sapir, </w:t>
      </w:r>
      <w:r>
        <w:rPr>
          <w:i/>
          <w:iCs/>
          <w:color w:val="000000" w:themeColor="text1"/>
        </w:rPr>
        <w:t>What Does the DOJ Not Want Americans to Know?</w:t>
      </w:r>
      <w:r>
        <w:rPr>
          <w:color w:val="000000" w:themeColor="text1"/>
        </w:rPr>
        <w:t xml:space="preserve">, </w:t>
      </w:r>
      <w:r>
        <w:rPr>
          <w:smallCaps/>
          <w:color w:val="000000" w:themeColor="text1"/>
        </w:rPr>
        <w:t>City J.</w:t>
      </w:r>
      <w:r>
        <w:rPr>
          <w:color w:val="000000" w:themeColor="text1"/>
        </w:rPr>
        <w:t xml:space="preserve"> (July 12, 2024), https://www.city-journal.org/article/what-does-the-doj-not-want-americans-to-know [create </w:t>
      </w:r>
      <w:proofErr w:type="spellStart"/>
      <w:r>
        <w:rPr>
          <w:color w:val="000000" w:themeColor="text1"/>
        </w:rPr>
        <w:t>perma</w:t>
      </w:r>
      <w:proofErr w:type="spellEnd"/>
      <w:r>
        <w:rPr>
          <w:color w:val="000000" w:themeColor="text1"/>
        </w:rPr>
        <w:t xml:space="preserve"> link] (“The (WPATH-commissioned) Johns Hopkins research team lead, Karen Robinson, informed AHRQ in an email that her team ‘found little to no evidence about children and adolescents.’”).</w:t>
      </w:r>
    </w:p>
  </w:footnote>
  <w:footnote w:id="33">
    <w:p w14:paraId="54AA1BE8"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27, at 15–19; Brief of Amici Curiae State of Alabama, </w:t>
      </w:r>
      <w:r>
        <w:rPr>
          <w:i/>
          <w:iCs/>
          <w:color w:val="000000" w:themeColor="text1"/>
        </w:rPr>
        <w:t>supra</w:t>
      </w:r>
      <w:r>
        <w:rPr>
          <w:color w:val="000000" w:themeColor="text1"/>
        </w:rPr>
        <w:t> note 26, at 5–7 (describing Admiral Rachel Levine’s meetings with WPATH leaders and pressure to remove age limitations).</w:t>
      </w:r>
    </w:p>
  </w:footnote>
  <w:footnote w:id="34">
    <w:p w14:paraId="1CFD78E4" w14:textId="199B8368"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27, at 15–20; Brief of Amici Curiae State of Alabama, </w:t>
      </w:r>
      <w:r w:rsidRPr="004A775A">
        <w:rPr>
          <w:i/>
          <w:iCs/>
          <w:color w:val="000000" w:themeColor="text1"/>
        </w:rPr>
        <w:t>supra</w:t>
      </w:r>
      <w:r>
        <w:rPr>
          <w:color w:val="000000" w:themeColor="text1"/>
        </w:rPr>
        <w:t xml:space="preserve"> note 26, at 5–7; </w:t>
      </w:r>
      <w:proofErr w:type="spellStart"/>
      <w:r>
        <w:rPr>
          <w:color w:val="000000" w:themeColor="text1"/>
        </w:rPr>
        <w:t>Azeen</w:t>
      </w:r>
      <w:proofErr w:type="spellEnd"/>
      <w:r>
        <w:rPr>
          <w:color w:val="000000" w:themeColor="text1"/>
        </w:rPr>
        <w:t xml:space="preserve"> </w:t>
      </w:r>
      <w:proofErr w:type="spellStart"/>
      <w:r>
        <w:rPr>
          <w:color w:val="000000" w:themeColor="text1"/>
        </w:rPr>
        <w:t>Ghorayshi</w:t>
      </w:r>
      <w:proofErr w:type="spellEnd"/>
      <w:r>
        <w:rPr>
          <w:color w:val="000000" w:themeColor="text1"/>
        </w:rPr>
        <w:t>, </w:t>
      </w:r>
      <w:r>
        <w:rPr>
          <w:i/>
          <w:iCs/>
          <w:color w:val="000000" w:themeColor="text1"/>
        </w:rPr>
        <w:t>Biden Officials Pushed to Remove Age Limits for Trans Surgery, Documents Show</w:t>
      </w:r>
      <w:r>
        <w:rPr>
          <w:color w:val="000000" w:themeColor="text1"/>
        </w:rPr>
        <w:t xml:space="preserve">, </w:t>
      </w:r>
      <w:r>
        <w:rPr>
          <w:smallCaps/>
          <w:color w:val="000000" w:themeColor="text1"/>
        </w:rPr>
        <w:t>N.Y. Times</w:t>
      </w:r>
      <w:r>
        <w:rPr>
          <w:color w:val="000000" w:themeColor="text1"/>
        </w:rPr>
        <w:t xml:space="preserve"> (June 25, 2024), https://www.nytimes.com/2024/06/25/health/transgender-minors-surgeries.html [create </w:t>
      </w:r>
      <w:proofErr w:type="spellStart"/>
      <w:r>
        <w:rPr>
          <w:color w:val="000000" w:themeColor="text1"/>
        </w:rPr>
        <w:t>perma</w:t>
      </w:r>
      <w:proofErr w:type="spellEnd"/>
      <w:r>
        <w:rPr>
          <w:color w:val="000000" w:themeColor="text1"/>
        </w:rPr>
        <w:t xml:space="preserve"> link].</w:t>
      </w:r>
    </w:p>
  </w:footnote>
  <w:footnote w:id="35">
    <w:p w14:paraId="431372A2"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w:t>
      </w:r>
      <w:proofErr w:type="spellStart"/>
      <w:r>
        <w:rPr>
          <w:color w:val="000000" w:themeColor="text1"/>
        </w:rPr>
        <w:t>Skrmetti</w:t>
      </w:r>
      <w:proofErr w:type="spellEnd"/>
      <w:r>
        <w:rPr>
          <w:color w:val="000000" w:themeColor="text1"/>
        </w:rPr>
        <w:t xml:space="preserve">, 679 F. Supp. 3d 668, 677 (M.D. Tenn. 2023);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w:t>
      </w:r>
    </w:p>
  </w:footnote>
  <w:footnote w:id="36">
    <w:p w14:paraId="5C218658"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w:t>
      </w:r>
      <w:proofErr w:type="spellStart"/>
      <w:r>
        <w:rPr>
          <w:color w:val="000000" w:themeColor="text1"/>
        </w:rPr>
        <w:t>Skrmetti</w:t>
      </w:r>
      <w:proofErr w:type="spellEnd"/>
      <w:r>
        <w:rPr>
          <w:color w:val="000000" w:themeColor="text1"/>
        </w:rPr>
        <w:t>, 83 F.4th 460, 466 (6th Cir. 2023).</w:t>
      </w:r>
    </w:p>
  </w:footnote>
  <w:footnote w:id="37">
    <w:p w14:paraId="0D2BC17A"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Id. </w:t>
      </w:r>
      <w:r w:rsidRPr="004A775A">
        <w:rPr>
          <w:color w:val="000000" w:themeColor="text1"/>
        </w:rPr>
        <w:t>at 491.</w:t>
      </w:r>
    </w:p>
  </w:footnote>
  <w:footnote w:id="38">
    <w:p w14:paraId="62AA2130"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Id. </w:t>
      </w:r>
      <w:r w:rsidRPr="004A775A">
        <w:rPr>
          <w:color w:val="000000" w:themeColor="text1"/>
        </w:rPr>
        <w:t>at 480.</w:t>
      </w:r>
      <w:r>
        <w:rPr>
          <w:color w:val="000000" w:themeColor="text1"/>
        </w:rPr>
        <w:t xml:space="preserve"> </w:t>
      </w:r>
    </w:p>
  </w:footnote>
  <w:footnote w:id="39">
    <w:p w14:paraId="33C80D4C" w14:textId="77777777" w:rsidR="006A70B9"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w:t>
      </w:r>
      <w:proofErr w:type="spellStart"/>
      <w:r>
        <w:rPr>
          <w:color w:val="000000" w:themeColor="text1"/>
        </w:rPr>
        <w:t>Skrmetti</w:t>
      </w:r>
      <w:proofErr w:type="spellEnd"/>
      <w:r>
        <w:rPr>
          <w:color w:val="000000" w:themeColor="text1"/>
        </w:rPr>
        <w:t xml:space="preserve">, 145 S. Ct. 1816, 1828 (2025); </w:t>
      </w:r>
      <w:proofErr w:type="spellStart"/>
      <w:r>
        <w:rPr>
          <w:color w:val="000000" w:themeColor="text1"/>
        </w:rPr>
        <w:t>Bursch</w:t>
      </w:r>
      <w:proofErr w:type="spellEnd"/>
      <w:r>
        <w:rPr>
          <w:color w:val="000000" w:themeColor="text1"/>
        </w:rPr>
        <w:t xml:space="preserve">, </w:t>
      </w:r>
      <w:r w:rsidRPr="004A775A">
        <w:rPr>
          <w:i/>
          <w:iCs/>
          <w:color w:val="000000" w:themeColor="text1"/>
        </w:rPr>
        <w:t>supra</w:t>
      </w:r>
      <w:r>
        <w:rPr>
          <w:color w:val="000000" w:themeColor="text1"/>
        </w:rPr>
        <w:t xml:space="preserve"> note 4.</w:t>
      </w:r>
    </w:p>
  </w:footnote>
  <w:footnote w:id="40">
    <w:p w14:paraId="1CB2F4CD" w14:textId="7E0CE367" w:rsidR="007E3419" w:rsidRPr="005B3E31" w:rsidRDefault="007E341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Reply Brief for the Petitioner at 20, United States v. </w:t>
      </w:r>
      <w:proofErr w:type="spellStart"/>
      <w:r>
        <w:rPr>
          <w:color w:val="000000" w:themeColor="text1"/>
        </w:rPr>
        <w:t>Skrmetti</w:t>
      </w:r>
      <w:proofErr w:type="spellEnd"/>
      <w:r>
        <w:rPr>
          <w:color w:val="000000" w:themeColor="text1"/>
        </w:rPr>
        <w:t xml:space="preserve">, 145 S. Ct. 1816 (2025) (No. 23-477); Complaint for Declaratory and Injunctive Relief, L.W. v. </w:t>
      </w:r>
      <w:proofErr w:type="spellStart"/>
      <w:r>
        <w:rPr>
          <w:color w:val="000000" w:themeColor="text1"/>
        </w:rPr>
        <w:t>Skrmetti</w:t>
      </w:r>
      <w:proofErr w:type="spellEnd"/>
      <w:r>
        <w:rPr>
          <w:color w:val="000000" w:themeColor="text1"/>
        </w:rPr>
        <w:t>, No. 3:23-cv-00376 (M.D. Tenn. Apr. 20, 2023).</w:t>
      </w:r>
    </w:p>
  </w:footnote>
  <w:footnote w:id="41">
    <w:p w14:paraId="18662E4C" w14:textId="4F7CD03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xml:space="preserve"> note 7; Sarah </w:t>
      </w:r>
      <w:proofErr w:type="spellStart"/>
      <w:r>
        <w:rPr>
          <w:color w:val="000000" w:themeColor="text1"/>
        </w:rPr>
        <w:t>Isgur</w:t>
      </w:r>
      <w:proofErr w:type="spellEnd"/>
      <w:r>
        <w:rPr>
          <w:color w:val="000000" w:themeColor="text1"/>
        </w:rPr>
        <w:t xml:space="preserve"> &amp; David French, </w:t>
      </w:r>
      <w:r>
        <w:rPr>
          <w:i/>
          <w:iCs/>
          <w:color w:val="000000" w:themeColor="text1"/>
        </w:rPr>
        <w:t>SCOTUS 2025 Term Debrief</w:t>
      </w:r>
      <w:r>
        <w:rPr>
          <w:color w:val="000000" w:themeColor="text1"/>
        </w:rPr>
        <w:t xml:space="preserve">, </w:t>
      </w:r>
      <w:r>
        <w:rPr>
          <w:smallCaps/>
          <w:color w:val="000000" w:themeColor="text1"/>
        </w:rPr>
        <w:t>Dispatch: Advisory Opinions</w:t>
      </w:r>
      <w:r>
        <w:rPr>
          <w:color w:val="000000" w:themeColor="text1"/>
        </w:rPr>
        <w:t xml:space="preserve"> (July 3, 2025), https://thedispatch.com/podcast/advisoryopinions/scotus-2025-term-debrief/ [create </w:t>
      </w:r>
      <w:proofErr w:type="spellStart"/>
      <w:r>
        <w:rPr>
          <w:color w:val="000000" w:themeColor="text1"/>
        </w:rPr>
        <w:t>perma</w:t>
      </w:r>
      <w:proofErr w:type="spellEnd"/>
      <w:r>
        <w:rPr>
          <w:color w:val="000000" w:themeColor="text1"/>
        </w:rPr>
        <w:t xml:space="preserve"> link] (“[W]as this an appeal that [plaintiffs] needed to make after that Sixth Circuit loss?”).</w:t>
      </w:r>
    </w:p>
  </w:footnote>
  <w:footnote w:id="42">
    <w:p w14:paraId="230ADA93" w14:textId="77777777"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Molly E. Pines, </w:t>
      </w:r>
      <w:r>
        <w:rPr>
          <w:i/>
          <w:iCs/>
          <w:color w:val="000000" w:themeColor="text1"/>
        </w:rPr>
        <w:t xml:space="preserve">Pick Your Precedent: </w:t>
      </w:r>
      <w:r w:rsidRPr="004A775A">
        <w:rPr>
          <w:color w:val="000000" w:themeColor="text1"/>
        </w:rPr>
        <w:t>Bostock</w:t>
      </w:r>
      <w:r>
        <w:rPr>
          <w:i/>
          <w:iCs/>
          <w:color w:val="000000" w:themeColor="text1"/>
        </w:rPr>
        <w:t xml:space="preserve">, </w:t>
      </w:r>
      <w:r w:rsidRPr="004A775A">
        <w:rPr>
          <w:color w:val="000000" w:themeColor="text1"/>
        </w:rPr>
        <w:t>Dobbs</w:t>
      </w:r>
      <w:r>
        <w:rPr>
          <w:i/>
          <w:iCs/>
          <w:color w:val="000000" w:themeColor="text1"/>
        </w:rPr>
        <w:t>, and the Uncertain Reach of Intermediate Scrutiny in</w:t>
      </w:r>
      <w:r>
        <w:rPr>
          <w:color w:val="000000" w:themeColor="text1"/>
        </w:rPr>
        <w:t xml:space="preserve"> United States v. </w:t>
      </w:r>
      <w:proofErr w:type="spellStart"/>
      <w:r>
        <w:rPr>
          <w:color w:val="000000" w:themeColor="text1"/>
        </w:rPr>
        <w:t>Skrmetti</w:t>
      </w:r>
      <w:proofErr w:type="spellEnd"/>
      <w:r>
        <w:rPr>
          <w:color w:val="000000" w:themeColor="text1"/>
        </w:rPr>
        <w:t xml:space="preserve">, 20 </w:t>
      </w:r>
      <w:r>
        <w:rPr>
          <w:smallCaps/>
          <w:color w:val="000000" w:themeColor="text1"/>
        </w:rPr>
        <w:t xml:space="preserve">Duke J. Const. L. &amp; Pub. </w:t>
      </w:r>
      <w:proofErr w:type="spellStart"/>
      <w:r>
        <w:rPr>
          <w:smallCaps/>
          <w:color w:val="000000" w:themeColor="text1"/>
        </w:rPr>
        <w:t>Pol’y</w:t>
      </w:r>
      <w:proofErr w:type="spellEnd"/>
      <w:r>
        <w:rPr>
          <w:smallCaps/>
          <w:color w:val="000000" w:themeColor="text1"/>
        </w:rPr>
        <w:t xml:space="preserve"> Sidebar</w:t>
      </w:r>
      <w:r>
        <w:rPr>
          <w:color w:val="000000" w:themeColor="text1"/>
        </w:rPr>
        <w:t xml:space="preserve"> 45, 63–65 (2025). </w:t>
      </w:r>
    </w:p>
  </w:footnote>
  <w:footnote w:id="43">
    <w:p w14:paraId="726FFF62" w14:textId="024CBA1B"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Bostock v. Clayton </w:t>
      </w:r>
      <w:proofErr w:type="spellStart"/>
      <w:r>
        <w:rPr>
          <w:color w:val="000000" w:themeColor="text1"/>
        </w:rPr>
        <w:t>Cnty</w:t>
      </w:r>
      <w:proofErr w:type="spellEnd"/>
      <w:r>
        <w:rPr>
          <w:color w:val="000000" w:themeColor="text1"/>
        </w:rPr>
        <w:t>., 590 U.S. 644, 656–57 (2020).</w:t>
      </w:r>
    </w:p>
  </w:footnote>
  <w:footnote w:id="44">
    <w:p w14:paraId="4DA54577" w14:textId="406E8D7A"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Petitioner at 4, Bostock v. Clayton </w:t>
      </w:r>
      <w:proofErr w:type="spellStart"/>
      <w:r>
        <w:rPr>
          <w:color w:val="000000" w:themeColor="text1"/>
        </w:rPr>
        <w:t>Cnty</w:t>
      </w:r>
      <w:proofErr w:type="spellEnd"/>
      <w:r>
        <w:rPr>
          <w:color w:val="000000" w:themeColor="text1"/>
        </w:rPr>
        <w:t>., 590 U.S. 644 (2020) (No. 17-1618).</w:t>
      </w:r>
    </w:p>
  </w:footnote>
  <w:footnote w:id="45">
    <w:p w14:paraId="5866D19A" w14:textId="5F08C284"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6, Bostock v. Clayton </w:t>
      </w:r>
      <w:proofErr w:type="spellStart"/>
      <w:r>
        <w:rPr>
          <w:color w:val="000000" w:themeColor="text1"/>
        </w:rPr>
        <w:t>Cnty</w:t>
      </w:r>
      <w:proofErr w:type="spellEnd"/>
      <w:r>
        <w:rPr>
          <w:color w:val="000000" w:themeColor="text1"/>
        </w:rPr>
        <w:t>., 590 U.S. 644 (2020) (No. 17-1618).</w:t>
      </w:r>
    </w:p>
  </w:footnote>
  <w:footnote w:id="46">
    <w:p w14:paraId="7B83E5F2"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Bostock</w:t>
      </w:r>
      <w:r w:rsidRPr="004A775A">
        <w:rPr>
          <w:color w:val="000000" w:themeColor="text1"/>
        </w:rPr>
        <w:t>, 590 U.S. at 653.</w:t>
      </w:r>
    </w:p>
  </w:footnote>
  <w:footnote w:id="47">
    <w:p w14:paraId="0E196F6D"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the Petitioner, </w:t>
      </w:r>
      <w:r w:rsidRPr="004A775A">
        <w:rPr>
          <w:i/>
          <w:iCs/>
          <w:color w:val="000000" w:themeColor="text1"/>
        </w:rPr>
        <w:t>supra</w:t>
      </w:r>
      <w:r>
        <w:rPr>
          <w:color w:val="000000" w:themeColor="text1"/>
        </w:rPr>
        <w:t> note 38, at 8.</w:t>
      </w:r>
    </w:p>
  </w:footnote>
  <w:footnote w:id="48">
    <w:p w14:paraId="00D45B7A" w14:textId="6E1B2980"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36, United States v. </w:t>
      </w:r>
      <w:proofErr w:type="spellStart"/>
      <w:r>
        <w:rPr>
          <w:color w:val="000000" w:themeColor="text1"/>
        </w:rPr>
        <w:t>Skrmetti</w:t>
      </w:r>
      <w:proofErr w:type="spellEnd"/>
      <w:r>
        <w:rPr>
          <w:color w:val="000000" w:themeColor="text1"/>
        </w:rPr>
        <w:t>, 145 S. Ct. 1816 (2025) (No. 23-477).</w:t>
      </w:r>
    </w:p>
  </w:footnote>
  <w:footnote w:id="49">
    <w:p w14:paraId="6DC6179B" w14:textId="231414C1" w:rsidR="00757714" w:rsidRPr="005B3E31" w:rsidRDefault="0075771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Hila Keren, </w:t>
      </w:r>
      <w:r>
        <w:rPr>
          <w:i/>
          <w:iCs/>
          <w:color w:val="000000" w:themeColor="text1"/>
        </w:rPr>
        <w:t>Parental Rights May Be Only Path to Save Gender-Affirming Care</w:t>
      </w:r>
      <w:r>
        <w:rPr>
          <w:color w:val="000000" w:themeColor="text1"/>
        </w:rPr>
        <w:t xml:space="preserve">, </w:t>
      </w:r>
      <w:r>
        <w:rPr>
          <w:smallCaps/>
          <w:color w:val="000000" w:themeColor="text1"/>
        </w:rPr>
        <w:t>Bloomberg L.</w:t>
      </w:r>
      <w:r>
        <w:rPr>
          <w:color w:val="000000" w:themeColor="text1"/>
        </w:rPr>
        <w:t xml:space="preserve"> (Dec. 10, 2024), https://news.bloomberglaw.com/us-law-week/parental-rights-may-be-only-path-to-save-gender-affirming-care [create </w:t>
      </w:r>
      <w:proofErr w:type="spellStart"/>
      <w:r>
        <w:rPr>
          <w:color w:val="000000" w:themeColor="text1"/>
        </w:rPr>
        <w:t>perma</w:t>
      </w:r>
      <w:proofErr w:type="spellEnd"/>
      <w:r>
        <w:rPr>
          <w:color w:val="000000" w:themeColor="text1"/>
        </w:rPr>
        <w:t xml:space="preserve"> link]; </w:t>
      </w:r>
      <w:proofErr w:type="spellStart"/>
      <w:r>
        <w:rPr>
          <w:color w:val="000000" w:themeColor="text1"/>
        </w:rPr>
        <w:t>Bursch</w:t>
      </w:r>
      <w:proofErr w:type="spellEnd"/>
      <w:r>
        <w:rPr>
          <w:color w:val="000000" w:themeColor="text1"/>
        </w:rPr>
        <w:t xml:space="preserve">, </w:t>
      </w:r>
      <w:r w:rsidRPr="004A775A">
        <w:rPr>
          <w:i/>
          <w:iCs/>
          <w:color w:val="000000" w:themeColor="text1"/>
        </w:rPr>
        <w:t>supra</w:t>
      </w:r>
      <w:r>
        <w:rPr>
          <w:color w:val="000000" w:themeColor="text1"/>
        </w:rPr>
        <w:t xml:space="preserve"> note 4.</w:t>
      </w:r>
    </w:p>
  </w:footnote>
  <w:footnote w:id="50">
    <w:p w14:paraId="63848FAA"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w:t>
      </w:r>
      <w:proofErr w:type="spellStart"/>
      <w:r>
        <w:rPr>
          <w:color w:val="000000" w:themeColor="text1"/>
        </w:rPr>
        <w:t>Skrmetti</w:t>
      </w:r>
      <w:proofErr w:type="spellEnd"/>
      <w:r>
        <w:rPr>
          <w:color w:val="000000" w:themeColor="text1"/>
        </w:rPr>
        <w:t>, 145 S. Ct. 1816, 1835 (2025).</w:t>
      </w:r>
    </w:p>
  </w:footnote>
  <w:footnote w:id="51">
    <w:p w14:paraId="6F8869D0" w14:textId="77777777" w:rsidR="00E170D6" w:rsidRPr="005B3E31" w:rsidRDefault="00E170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Id. </w:t>
      </w:r>
      <w:proofErr w:type="gramStart"/>
      <w:r w:rsidRPr="004A775A">
        <w:rPr>
          <w:color w:val="000000" w:themeColor="text1"/>
        </w:rPr>
        <w:t>at</w:t>
      </w:r>
      <w:proofErr w:type="gramEnd"/>
      <w:r w:rsidRPr="004A775A">
        <w:rPr>
          <w:color w:val="000000" w:themeColor="text1"/>
        </w:rPr>
        <w:t xml:space="preserve"> 1835–37.</w:t>
      </w:r>
      <w:r>
        <w:rPr>
          <w:color w:val="000000" w:themeColor="text1"/>
        </w:rPr>
        <w:t xml:space="preserve"> </w:t>
      </w:r>
    </w:p>
  </w:footnote>
  <w:footnote w:id="52">
    <w:p w14:paraId="5F503078" w14:textId="724C938A" w:rsidR="000A1CEB" w:rsidRPr="005B3E31" w:rsidRDefault="000A1CE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2; </w:t>
      </w:r>
      <w:proofErr w:type="spellStart"/>
      <w:r>
        <w:rPr>
          <w:color w:val="000000" w:themeColor="text1"/>
        </w:rPr>
        <w:t>Confessore</w:t>
      </w:r>
      <w:proofErr w:type="spellEnd"/>
      <w:r>
        <w:rPr>
          <w:color w:val="000000" w:themeColor="text1"/>
        </w:rPr>
        <w:t>, </w:t>
      </w:r>
      <w:r>
        <w:rPr>
          <w:i/>
          <w:iCs/>
          <w:color w:val="000000" w:themeColor="text1"/>
        </w:rPr>
        <w:t>supra</w:t>
      </w:r>
      <w:r>
        <w:rPr>
          <w:color w:val="000000" w:themeColor="text1"/>
        </w:rPr>
        <w:t> note 3; Transcript of Oral Argument, </w:t>
      </w:r>
      <w:r w:rsidRPr="004A775A">
        <w:rPr>
          <w:i/>
          <w:iCs/>
          <w:color w:val="000000" w:themeColor="text1"/>
        </w:rPr>
        <w:t>supra</w:t>
      </w:r>
      <w:r>
        <w:rPr>
          <w:color w:val="000000" w:themeColor="text1"/>
        </w:rPr>
        <w:t xml:space="preserve"> note 46, at 21–29; </w:t>
      </w:r>
      <w:proofErr w:type="spellStart"/>
      <w:r w:rsidRPr="004A775A">
        <w:rPr>
          <w:i/>
          <w:iCs/>
          <w:color w:val="000000" w:themeColor="text1"/>
        </w:rPr>
        <w:t>Skrmetti</w:t>
      </w:r>
      <w:proofErr w:type="spellEnd"/>
      <w:r>
        <w:rPr>
          <w:color w:val="000000" w:themeColor="text1"/>
        </w:rPr>
        <w:t xml:space="preserve">, 145 S. Ct. </w:t>
      </w:r>
      <w:proofErr w:type="gramStart"/>
      <w:r>
        <w:rPr>
          <w:color w:val="000000" w:themeColor="text1"/>
        </w:rPr>
        <w:t>at</w:t>
      </w:r>
      <w:proofErr w:type="gramEnd"/>
      <w:r>
        <w:rPr>
          <w:color w:val="000000" w:themeColor="text1"/>
        </w:rPr>
        <w:t xml:space="preserve"> 1835.</w:t>
      </w:r>
    </w:p>
  </w:footnote>
  <w:footnote w:id="53">
    <w:p w14:paraId="2260589E" w14:textId="77777777" w:rsidR="00D879FE" w:rsidRDefault="00000000">
      <w:pPr>
        <w:pStyle w:val="FootnoteText"/>
        <w:spacing w:line="480" w:lineRule="auto"/>
      </w:pPr>
      <w:r>
        <w:rPr>
          <w:rStyle w:val="FootnoteReference"/>
        </w:rPr>
        <w:footnoteRef/>
      </w:r>
      <w:r>
        <w:t xml:space="preserve"> </w:t>
      </w:r>
      <w:r>
        <w:rPr>
          <w:smallCaps/>
        </w:rPr>
        <w:t xml:space="preserve">Anthony T. </w:t>
      </w:r>
      <w:proofErr w:type="spellStart"/>
      <w:r>
        <w:rPr>
          <w:smallCaps/>
        </w:rPr>
        <w:t>Kronman</w:t>
      </w:r>
      <w:proofErr w:type="spellEnd"/>
      <w:r>
        <w:rPr>
          <w:smallCaps/>
        </w:rPr>
        <w:t>, The Lost Lawyer: Failing Ideals of the Legal Profession</w:t>
      </w:r>
      <w:r>
        <w:t xml:space="preserve"> 149 (1993).</w:t>
      </w:r>
    </w:p>
  </w:footnote>
  <w:footnote w:id="54">
    <w:p w14:paraId="653463E3" w14:textId="77777777" w:rsidR="00D879FE" w:rsidRDefault="00000000">
      <w:pPr>
        <w:pStyle w:val="FootnoteText"/>
        <w:spacing w:line="480" w:lineRule="auto"/>
      </w:pPr>
      <w:r>
        <w:rPr>
          <w:rStyle w:val="FootnoteReference"/>
        </w:rPr>
        <w:footnoteRef/>
      </w:r>
      <w:r>
        <w:t xml:space="preserve"> Richard J. Lazarus, </w:t>
      </w:r>
      <w:r>
        <w:rPr>
          <w:i/>
        </w:rPr>
        <w:t>Advocacy Matters Before and Within the Supreme Court: Transforming the Court by Transforming the Bar</w:t>
      </w:r>
      <w:r>
        <w:t xml:space="preserve">, 96 </w:t>
      </w:r>
      <w:r>
        <w:rPr>
          <w:smallCaps/>
        </w:rPr>
        <w:t>Geo. L.J.</w:t>
      </w:r>
      <w:r>
        <w:t xml:space="preserve"> 1487, 1540–41 (2008).</w:t>
      </w:r>
    </w:p>
  </w:footnote>
  <w:footnote w:id="55">
    <w:p w14:paraId="25E8E80A" w14:textId="77777777" w:rsidR="00D879FE" w:rsidRDefault="00000000">
      <w:pPr>
        <w:pStyle w:val="FootnoteText"/>
        <w:spacing w:line="480" w:lineRule="auto"/>
      </w:pPr>
      <w:r>
        <w:rPr>
          <w:rStyle w:val="FootnoteReference"/>
        </w:rPr>
        <w:footnoteRef/>
      </w:r>
      <w:r>
        <w:t xml:space="preserve"> Daniel Kahneman &amp; Dan </w:t>
      </w:r>
      <w:proofErr w:type="spellStart"/>
      <w:r>
        <w:t>Lovallo</w:t>
      </w:r>
      <w:proofErr w:type="spellEnd"/>
      <w:r>
        <w:t xml:space="preserve">, </w:t>
      </w:r>
      <w:r>
        <w:rPr>
          <w:i/>
        </w:rPr>
        <w:t>Timid Choices and Bold Forecasts: A Cognitive Perspective on Risk Taking</w:t>
      </w:r>
      <w:r>
        <w:t xml:space="preserve">, 39 </w:t>
      </w:r>
      <w:r>
        <w:rPr>
          <w:smallCaps/>
        </w:rPr>
        <w:t>Mgmt. Sci.</w:t>
      </w:r>
      <w:r>
        <w:t xml:space="preserve"> 17, 26 (1993).</w:t>
      </w:r>
    </w:p>
  </w:footnote>
  <w:footnote w:id="56">
    <w:p w14:paraId="731A82AC"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Sections IV</w:t>
      </w:r>
      <w:proofErr w:type="gramEnd"/>
      <w:r>
        <w:rPr>
          <w:color w:val="000000" w:themeColor="text1"/>
        </w:rPr>
        <w:t>, VI.</w:t>
      </w:r>
    </w:p>
  </w:footnote>
  <w:footnote w:id="57">
    <w:p w14:paraId="5B1405C8"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sidRPr="004A775A">
        <w:rPr>
          <w:smallCaps/>
          <w:color w:val="000000" w:themeColor="text1"/>
        </w:rPr>
        <w:t>Charles Tilly, Big Structures, Large Processes, Huge Comparisons</w:t>
      </w:r>
      <w:r>
        <w:rPr>
          <w:color w:val="000000" w:themeColor="text1"/>
        </w:rPr>
        <w:t xml:space="preserve"> 82 (1984).</w:t>
      </w:r>
    </w:p>
  </w:footnote>
  <w:footnote w:id="58">
    <w:p w14:paraId="2A2EA8E4" w14:textId="7EC50AD7" w:rsidR="00A726E0" w:rsidRPr="005B3E31" w:rsidRDefault="00A726E0" w:rsidP="003D74D8">
      <w:pPr>
        <w:pStyle w:val="FootnoteText"/>
        <w:spacing w:line="480" w:lineRule="auto"/>
      </w:pPr>
      <w:r>
        <w:rPr>
          <w:rStyle w:val="FootnoteReference"/>
        </w:rPr>
        <w:footnoteRef/>
      </w:r>
      <w:r>
        <w:t xml:space="preserve"> </w:t>
      </w:r>
      <w:proofErr w:type="spellStart"/>
      <w:r w:rsidRPr="004A775A">
        <w:rPr>
          <w:smallCaps/>
        </w:rPr>
        <w:t>Genna</w:t>
      </w:r>
      <w:proofErr w:type="spellEnd"/>
      <w:r w:rsidRPr="004A775A">
        <w:rPr>
          <w:smallCaps/>
        </w:rPr>
        <w:t xml:space="preserve"> Rae McNeil, Groundwork: Charles Hamilton Houston and the Struggle for Civil Rights</w:t>
      </w:r>
      <w:r>
        <w:t xml:space="preserve"> 182 (1983); </w:t>
      </w:r>
      <w:r>
        <w:rPr>
          <w:smallCaps/>
          <w:color w:val="000000" w:themeColor="text1"/>
        </w:rPr>
        <w:t>Robert L. Carter, A Matter of Law: A Memoir of Struggle in the Cause of Equal Rights</w:t>
      </w:r>
      <w:r>
        <w:rPr>
          <w:color w:val="000000" w:themeColor="text1"/>
        </w:rPr>
        <w:t xml:space="preserve"> 25 (2005); Leland B. Ware, </w:t>
      </w:r>
      <w:r>
        <w:rPr>
          <w:i/>
          <w:iCs/>
          <w:color w:val="000000" w:themeColor="text1"/>
        </w:rPr>
        <w:t xml:space="preserve">Setting the Stage for </w:t>
      </w:r>
      <w:r w:rsidRPr="004A775A">
        <w:rPr>
          <w:color w:val="000000" w:themeColor="text1"/>
        </w:rPr>
        <w:t>Brown</w:t>
      </w:r>
      <w:r>
        <w:rPr>
          <w:i/>
          <w:iCs/>
          <w:color w:val="000000" w:themeColor="text1"/>
        </w:rPr>
        <w:t>—The Development and Implementation of the NAACP’s School Desegregation Campaign</w:t>
      </w:r>
      <w:r w:rsidRPr="004A775A">
        <w:rPr>
          <w:i/>
          <w:iCs/>
          <w:color w:val="000000" w:themeColor="text1"/>
        </w:rPr>
        <w:t>, 1930–1950</w:t>
      </w:r>
      <w:r>
        <w:rPr>
          <w:color w:val="000000" w:themeColor="text1"/>
        </w:rPr>
        <w:t xml:space="preserve">, 52 </w:t>
      </w:r>
      <w:r>
        <w:rPr>
          <w:smallCaps/>
          <w:color w:val="000000" w:themeColor="text1"/>
        </w:rPr>
        <w:t>Mercer L. Rev.</w:t>
      </w:r>
      <w:r>
        <w:rPr>
          <w:color w:val="000000" w:themeColor="text1"/>
        </w:rPr>
        <w:t xml:space="preserve"> 631, 657 (2001).</w:t>
      </w:r>
    </w:p>
  </w:footnote>
  <w:footnote w:id="59">
    <w:p w14:paraId="5B12077F" w14:textId="77777777"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Richard Kluger, Simple Justice: The History of Brown v. Board of Education and Black America's Struggle for Equality</w:t>
      </w:r>
      <w:r>
        <w:rPr>
          <w:color w:val="000000" w:themeColor="text1"/>
        </w:rPr>
        <w:t xml:space="preserve"> 854 (1975); </w:t>
      </w:r>
      <w:r>
        <w:rPr>
          <w:smallCaps/>
          <w:color w:val="000000" w:themeColor="text1"/>
        </w:rPr>
        <w:t>Patricia Sullivan, Lift Every Voice: The NAACP and the Making of the Civil Rights Movement</w:t>
      </w:r>
      <w:r>
        <w:rPr>
          <w:color w:val="000000" w:themeColor="text1"/>
        </w:rPr>
        <w:t xml:space="preserve"> 530 (2009).</w:t>
      </w:r>
    </w:p>
  </w:footnote>
  <w:footnote w:id="60">
    <w:p w14:paraId="5DB676B7" w14:textId="77777777"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Jack Greenberg, Crusaders in the Courts: How a Dedicated Band of Lawyers Fought for the Civil Rights Revolution</w:t>
      </w:r>
      <w:r>
        <w:rPr>
          <w:color w:val="000000" w:themeColor="text1"/>
        </w:rPr>
        <w:t xml:space="preserve"> 72 (1994); </w:t>
      </w:r>
      <w:r>
        <w:rPr>
          <w:smallCaps/>
          <w:color w:val="000000" w:themeColor="text1"/>
        </w:rPr>
        <w:t xml:space="preserve">Mark V. </w:t>
      </w:r>
      <w:proofErr w:type="spellStart"/>
      <w:r>
        <w:rPr>
          <w:smallCaps/>
          <w:color w:val="000000" w:themeColor="text1"/>
        </w:rPr>
        <w:t>Tushnet</w:t>
      </w:r>
      <w:proofErr w:type="spellEnd"/>
      <w:r>
        <w:rPr>
          <w:smallCaps/>
          <w:color w:val="000000" w:themeColor="text1"/>
        </w:rPr>
        <w:t>, Making Civil Rights Law: Thurgood Marshall and the Supreme Court, 1936–1961</w:t>
      </w:r>
      <w:r>
        <w:rPr>
          <w:color w:val="000000" w:themeColor="text1"/>
        </w:rPr>
        <w:t>, at 38 (1994).</w:t>
      </w:r>
    </w:p>
  </w:footnote>
  <w:footnote w:id="61">
    <w:p w14:paraId="3BF533AE" w14:textId="77777777" w:rsidR="00D879FE" w:rsidRDefault="00000000">
      <w:pPr>
        <w:pStyle w:val="FootnoteText"/>
        <w:spacing w:line="480" w:lineRule="auto"/>
      </w:pPr>
      <w:r>
        <w:rPr>
          <w:rStyle w:val="FootnoteReference"/>
        </w:rPr>
        <w:footnoteRef/>
      </w:r>
      <w:r>
        <w:t xml:space="preserve"> </w:t>
      </w:r>
      <w:r>
        <w:rPr>
          <w:smallCaps/>
        </w:rPr>
        <w:t xml:space="preserve">Mark V. </w:t>
      </w:r>
      <w:proofErr w:type="spellStart"/>
      <w:r>
        <w:rPr>
          <w:smallCaps/>
        </w:rPr>
        <w:t>Tushnet</w:t>
      </w:r>
      <w:proofErr w:type="spellEnd"/>
      <w:r>
        <w:rPr>
          <w:smallCaps/>
        </w:rPr>
        <w:t>, The NAACP’s Legal Strategy Against Segregated Education, 1925–1950</w:t>
      </w:r>
      <w:r>
        <w:t>, at 68–69 (1987).</w:t>
      </w:r>
    </w:p>
  </w:footnote>
  <w:footnote w:id="62">
    <w:p w14:paraId="48CC74F3" w14:textId="77777777" w:rsidR="00D879FE" w:rsidRDefault="00000000">
      <w:pPr>
        <w:pStyle w:val="FootnoteText"/>
        <w:spacing w:line="480" w:lineRule="auto"/>
      </w:pPr>
      <w:r>
        <w:rPr>
          <w:rStyle w:val="FootnoteReference"/>
        </w:rPr>
        <w:footnoteRef/>
      </w:r>
      <w:r>
        <w:t xml:space="preserve"> </w:t>
      </w:r>
      <w:proofErr w:type="spellStart"/>
      <w:r>
        <w:rPr>
          <w:smallCaps/>
        </w:rPr>
        <w:t>Tushnet</w:t>
      </w:r>
      <w:proofErr w:type="spellEnd"/>
      <w:r>
        <w:rPr>
          <w:smallCaps/>
        </w:rPr>
        <w:t>, The NAACP’s Legal Strategy</w:t>
      </w:r>
      <w:r>
        <w:t xml:space="preserve">, </w:t>
      </w:r>
      <w:r>
        <w:rPr>
          <w:i/>
        </w:rPr>
        <w:t>supra</w:t>
      </w:r>
      <w:r>
        <w:t>, at 53.</w:t>
      </w:r>
    </w:p>
  </w:footnote>
  <w:footnote w:id="63">
    <w:p w14:paraId="66AF66D7" w14:textId="77777777" w:rsidR="00D879FE" w:rsidRDefault="00000000">
      <w:pPr>
        <w:pStyle w:val="FootnoteText"/>
        <w:spacing w:line="480" w:lineRule="auto"/>
      </w:pPr>
      <w:r>
        <w:rPr>
          <w:rStyle w:val="FootnoteReference"/>
        </w:rPr>
        <w:footnoteRef/>
      </w:r>
      <w:r>
        <w:t xml:space="preserve"> </w:t>
      </w:r>
      <w:proofErr w:type="spellStart"/>
      <w:r>
        <w:rPr>
          <w:smallCaps/>
        </w:rPr>
        <w:t>Tushnet</w:t>
      </w:r>
      <w:proofErr w:type="spellEnd"/>
      <w:r>
        <w:rPr>
          <w:smallCaps/>
        </w:rPr>
        <w:t>, The NAACP’s Legal Strategy</w:t>
      </w:r>
      <w:r>
        <w:t xml:space="preserve">, </w:t>
      </w:r>
      <w:r>
        <w:rPr>
          <w:i/>
        </w:rPr>
        <w:t>supra</w:t>
      </w:r>
      <w:r>
        <w:t>, at 105.</w:t>
      </w:r>
    </w:p>
  </w:footnote>
  <w:footnote w:id="64">
    <w:p w14:paraId="72093AC4" w14:textId="77777777" w:rsidR="00D879FE" w:rsidRDefault="00000000">
      <w:pPr>
        <w:pStyle w:val="FootnoteText"/>
        <w:spacing w:line="480" w:lineRule="auto"/>
      </w:pPr>
      <w:r>
        <w:rPr>
          <w:rStyle w:val="FootnoteReference"/>
        </w:rPr>
        <w:footnoteRef/>
      </w:r>
      <w:r>
        <w:t xml:space="preserve"> Nathan R. </w:t>
      </w:r>
      <w:proofErr w:type="spellStart"/>
      <w:r>
        <w:t>Margold</w:t>
      </w:r>
      <w:proofErr w:type="spellEnd"/>
      <w:r>
        <w:t>, Preliminary Report to the Joint Committee Supervising the Expenditure of the 1930 Appropriation by the American Fund for Public Service 2 (1931) (unpublished report) (on file with author).</w:t>
      </w:r>
    </w:p>
  </w:footnote>
  <w:footnote w:id="65">
    <w:p w14:paraId="67206A49" w14:textId="77777777" w:rsidR="00D879FE" w:rsidRDefault="00000000">
      <w:pPr>
        <w:pStyle w:val="FootnoteText"/>
        <w:spacing w:line="480" w:lineRule="auto"/>
      </w:pPr>
      <w:r>
        <w:rPr>
          <w:rStyle w:val="FootnoteReference"/>
        </w:rPr>
        <w:footnoteRef/>
      </w:r>
      <w:r>
        <w:t xml:space="preserve"> Robert L. Carter, </w:t>
      </w:r>
      <w:r>
        <w:rPr>
          <w:i/>
        </w:rPr>
        <w:t>The NAACP’s Legal Strategy Against Segregated Education</w:t>
      </w:r>
      <w:r>
        <w:t xml:space="preserve">, 86 </w:t>
      </w:r>
      <w:r>
        <w:rPr>
          <w:smallCaps/>
        </w:rPr>
        <w:t>Mich. L. Rev.</w:t>
      </w:r>
      <w:r>
        <w:t xml:space="preserve"> 1083, 1089 (1988) (book review).</w:t>
      </w:r>
    </w:p>
  </w:footnote>
  <w:footnote w:id="66">
    <w:p w14:paraId="619A60BD" w14:textId="77777777" w:rsidR="009F5D9C" w:rsidRPr="005B3E31" w:rsidRDefault="009F5D9C" w:rsidP="003D74D8">
      <w:pPr>
        <w:pStyle w:val="FootnoteText"/>
        <w:spacing w:line="480" w:lineRule="auto"/>
      </w:pPr>
      <w:r>
        <w:rPr>
          <w:rStyle w:val="FootnoteReference"/>
        </w:rPr>
        <w:footnoteRef/>
      </w:r>
      <w:r>
        <w:t xml:space="preserve"> </w:t>
      </w:r>
      <w:r>
        <w:rPr>
          <w:color w:val="000000" w:themeColor="text1"/>
        </w:rPr>
        <w:t xml:space="preserve">Carter, </w:t>
      </w:r>
      <w:r w:rsidRPr="004A775A">
        <w:rPr>
          <w:smallCaps/>
          <w:color w:val="000000" w:themeColor="text1"/>
        </w:rPr>
        <w:t>A Matter of Law</w:t>
      </w:r>
      <w:r>
        <w:rPr>
          <w:color w:val="000000" w:themeColor="text1"/>
        </w:rPr>
        <w:t xml:space="preserve">, </w:t>
      </w:r>
      <w:r w:rsidRPr="004A775A">
        <w:rPr>
          <w:i/>
          <w:iCs/>
          <w:color w:val="000000" w:themeColor="text1"/>
        </w:rPr>
        <w:t>supra</w:t>
      </w:r>
      <w:r>
        <w:rPr>
          <w:color w:val="000000" w:themeColor="text1"/>
        </w:rPr>
        <w:t xml:space="preserve"> note 53, at 98.</w:t>
      </w:r>
    </w:p>
  </w:footnote>
  <w:footnote w:id="67">
    <w:p w14:paraId="7A7E13EA" w14:textId="77777777" w:rsidR="00A726E0" w:rsidRPr="005B3E31" w:rsidRDefault="00A726E0" w:rsidP="003D74D8">
      <w:pPr>
        <w:pStyle w:val="FootnoteText"/>
        <w:spacing w:line="480" w:lineRule="auto"/>
      </w:pPr>
      <w:r>
        <w:rPr>
          <w:rStyle w:val="FootnoteReference"/>
        </w:rPr>
        <w:footnoteRef/>
      </w:r>
      <w:r>
        <w:t xml:space="preserve"> </w:t>
      </w:r>
      <w:proofErr w:type="spellStart"/>
      <w:r>
        <w:t>Tushnet</w:t>
      </w:r>
      <w:proofErr w:type="spellEnd"/>
      <w:r>
        <w:t xml:space="preserve">, </w:t>
      </w:r>
      <w:r w:rsidRPr="004A775A">
        <w:rPr>
          <w:smallCaps/>
        </w:rPr>
        <w:t>Making Civil Rights Law</w:t>
      </w:r>
      <w:r>
        <w:t xml:space="preserve">, </w:t>
      </w:r>
      <w:r>
        <w:rPr>
          <w:i/>
          <w:iCs/>
        </w:rPr>
        <w:t>supra</w:t>
      </w:r>
      <w:r>
        <w:t xml:space="preserve"> note 55, at 139.</w:t>
      </w:r>
    </w:p>
  </w:footnote>
  <w:footnote w:id="68">
    <w:p w14:paraId="51CEEF5E" w14:textId="77777777" w:rsidR="00A726E0" w:rsidRPr="005B3E31" w:rsidRDefault="00A726E0" w:rsidP="003D74D8">
      <w:pPr>
        <w:pStyle w:val="FootnoteText"/>
        <w:spacing w:line="480" w:lineRule="auto"/>
      </w:pPr>
      <w:r>
        <w:rPr>
          <w:rStyle w:val="FootnoteReference"/>
        </w:rPr>
        <w:footnoteRef/>
      </w:r>
      <w:r>
        <w:t xml:space="preserve"> </w:t>
      </w:r>
      <w:r>
        <w:rPr>
          <w:color w:val="000000" w:themeColor="text1"/>
        </w:rPr>
        <w:t xml:space="preserve">Kluger, </w:t>
      </w:r>
      <w:r w:rsidRPr="004A775A">
        <w:rPr>
          <w:i/>
          <w:iCs/>
          <w:color w:val="000000" w:themeColor="text1"/>
        </w:rPr>
        <w:t>supra</w:t>
      </w:r>
      <w:r>
        <w:rPr>
          <w:color w:val="000000" w:themeColor="text1"/>
        </w:rPr>
        <w:t xml:space="preserve"> note 54, at 972.</w:t>
      </w:r>
    </w:p>
  </w:footnote>
  <w:footnote w:id="69">
    <w:p w14:paraId="0AC1D0A1" w14:textId="77777777" w:rsidR="00A726E0" w:rsidRPr="005B3E31" w:rsidRDefault="00A726E0" w:rsidP="003D74D8">
      <w:pPr>
        <w:pStyle w:val="FootnoteText"/>
        <w:spacing w:line="480" w:lineRule="auto"/>
      </w:pPr>
      <w:r>
        <w:rPr>
          <w:rStyle w:val="FootnoteReference"/>
        </w:rPr>
        <w:footnoteRef/>
      </w:r>
      <w:r>
        <w:t xml:space="preserve"> </w:t>
      </w:r>
      <w:r>
        <w:rPr>
          <w:color w:val="000000" w:themeColor="text1"/>
        </w:rPr>
        <w:t xml:space="preserve">Greenberg, </w:t>
      </w:r>
      <w:r>
        <w:rPr>
          <w:i/>
          <w:iCs/>
          <w:color w:val="000000" w:themeColor="text1"/>
        </w:rPr>
        <w:t>supra</w:t>
      </w:r>
      <w:r>
        <w:rPr>
          <w:color w:val="000000" w:themeColor="text1"/>
        </w:rPr>
        <w:t xml:space="preserve"> note 55, at 163.</w:t>
      </w:r>
    </w:p>
  </w:footnote>
  <w:footnote w:id="70">
    <w:p w14:paraId="486D5E0B" w14:textId="77777777" w:rsidR="00A726E0" w:rsidRPr="005B3E31" w:rsidRDefault="00A726E0" w:rsidP="003D74D8">
      <w:pPr>
        <w:pStyle w:val="FootnoteText"/>
        <w:spacing w:line="480" w:lineRule="auto"/>
      </w:pPr>
      <w:r>
        <w:rPr>
          <w:rStyle w:val="FootnoteReference"/>
        </w:rPr>
        <w:footnoteRef/>
      </w:r>
      <w:r>
        <w:t xml:space="preserve"> Kluger, </w:t>
      </w:r>
      <w:r>
        <w:rPr>
          <w:i/>
          <w:iCs/>
        </w:rPr>
        <w:t>supra</w:t>
      </w:r>
      <w:r>
        <w:t xml:space="preserve"> note 54, at 517.</w:t>
      </w:r>
    </w:p>
  </w:footnote>
  <w:footnote w:id="71">
    <w:p w14:paraId="26BDB69F" w14:textId="77777777" w:rsidR="00A726E0" w:rsidRPr="005B3E31" w:rsidRDefault="00A726E0" w:rsidP="003D74D8">
      <w:pPr>
        <w:pStyle w:val="FootnoteText"/>
        <w:spacing w:line="480" w:lineRule="auto"/>
      </w:pPr>
      <w:r>
        <w:rPr>
          <w:rStyle w:val="FootnoteReference"/>
        </w:rPr>
        <w:footnoteRef/>
      </w:r>
      <w:r>
        <w:t xml:space="preserve"> </w:t>
      </w:r>
      <w:r w:rsidRPr="004A775A">
        <w:rPr>
          <w:color w:val="000000" w:themeColor="text1"/>
        </w:rPr>
        <w:t xml:space="preserve">Mark V. </w:t>
      </w:r>
      <w:proofErr w:type="spellStart"/>
      <w:r w:rsidRPr="004A775A">
        <w:rPr>
          <w:color w:val="000000" w:themeColor="text1"/>
        </w:rPr>
        <w:t>Tushnet</w:t>
      </w:r>
      <w:proofErr w:type="spellEnd"/>
      <w:r w:rsidRPr="004A775A">
        <w:rPr>
          <w:color w:val="000000" w:themeColor="text1"/>
        </w:rPr>
        <w:t xml:space="preserve">, </w:t>
      </w:r>
      <w:r>
        <w:rPr>
          <w:i/>
          <w:iCs/>
          <w:color w:val="000000" w:themeColor="text1"/>
        </w:rPr>
        <w:t>Thurgood Marshall as a Lawyer: The Campaign Against School Segregation 1945–1950</w:t>
      </w:r>
      <w:r w:rsidRPr="004A775A">
        <w:rPr>
          <w:color w:val="000000" w:themeColor="text1"/>
        </w:rPr>
        <w:t xml:space="preserve">, 40 </w:t>
      </w:r>
      <w:r w:rsidRPr="004A775A">
        <w:rPr>
          <w:smallCaps/>
          <w:color w:val="000000" w:themeColor="text1"/>
        </w:rPr>
        <w:t>Md. L. Rev.</w:t>
      </w:r>
      <w:r w:rsidRPr="004A775A">
        <w:rPr>
          <w:color w:val="000000" w:themeColor="text1"/>
        </w:rPr>
        <w:t xml:space="preserve"> 411, 411 (1981).</w:t>
      </w:r>
    </w:p>
  </w:footnote>
  <w:footnote w:id="72">
    <w:p w14:paraId="5713B772" w14:textId="77777777" w:rsidR="00A726E0" w:rsidRPr="005B3E31" w:rsidRDefault="00A726E0" w:rsidP="003D74D8">
      <w:pPr>
        <w:pStyle w:val="FootnoteText"/>
        <w:spacing w:line="480" w:lineRule="auto"/>
      </w:pPr>
      <w:r>
        <w:rPr>
          <w:rStyle w:val="FootnoteReference"/>
        </w:rPr>
        <w:footnoteRef/>
      </w:r>
      <w:r>
        <w:t xml:space="preserve"> Carter, </w:t>
      </w:r>
      <w:r>
        <w:rPr>
          <w:smallCaps/>
        </w:rPr>
        <w:t>A Matter of Law</w:t>
      </w:r>
      <w:r>
        <w:t xml:space="preserve">, </w:t>
      </w:r>
      <w:r>
        <w:rPr>
          <w:i/>
          <w:iCs/>
        </w:rPr>
        <w:t>supra</w:t>
      </w:r>
      <w:r>
        <w:t xml:space="preserve"> note 53, at 99.</w:t>
      </w:r>
    </w:p>
  </w:footnote>
  <w:footnote w:id="73">
    <w:p w14:paraId="2A716768" w14:textId="77777777" w:rsidR="000210BA" w:rsidRPr="005B3E31" w:rsidRDefault="000210BA" w:rsidP="003D74D8">
      <w:pPr>
        <w:pStyle w:val="FootnoteText"/>
        <w:spacing w:line="480" w:lineRule="auto"/>
        <w:rPr>
          <w:color w:val="000000" w:themeColor="text1"/>
        </w:rPr>
      </w:pPr>
      <w:r>
        <w:rPr>
          <w:rStyle w:val="FootnoteReference"/>
        </w:rPr>
        <w:footnoteRef/>
      </w:r>
      <w:r>
        <w:t xml:space="preserve"> </w:t>
      </w:r>
      <w:r w:rsidRPr="004A775A">
        <w:rPr>
          <w:color w:val="000000" w:themeColor="text1"/>
        </w:rPr>
        <w:t xml:space="preserve">Cass R. Sunstein, </w:t>
      </w:r>
      <w:r w:rsidRPr="004A775A">
        <w:rPr>
          <w:i/>
          <w:iCs/>
          <w:color w:val="000000" w:themeColor="text1"/>
        </w:rPr>
        <w:t>The Law of Group Polarization</w:t>
      </w:r>
      <w:r>
        <w:rPr>
          <w:color w:val="000000" w:themeColor="text1"/>
        </w:rPr>
        <w:t xml:space="preserve"> 7 (John M. Olin Program in L. &amp; Econ., Working Paper No. 91, 1999) (describing Solomon Asch’s conformity experiments: “When just one other person made an accurate match, errors were reduced by three-quarters, even if there was a strong majority the other way.”).</w:t>
      </w:r>
    </w:p>
  </w:footnote>
  <w:footnote w:id="74">
    <w:p w14:paraId="5B98D633" w14:textId="29FDC2A7" w:rsidR="00CC616A" w:rsidRPr="005B3E31" w:rsidRDefault="00CC616A" w:rsidP="003D74D8">
      <w:pPr>
        <w:pStyle w:val="FootnoteText"/>
        <w:spacing w:line="480" w:lineRule="auto"/>
      </w:pPr>
      <w:r>
        <w:rPr>
          <w:rStyle w:val="FootnoteReference"/>
        </w:rPr>
        <w:footnoteRef/>
      </w:r>
      <w: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xml:space="preserve"> note 7 (arguing that the ACLU could have benefitted from conservative team members “not to tell them that they were wrong on the law, but to tell them why this case was nothing like </w:t>
      </w:r>
      <w:r>
        <w:rPr>
          <w:i/>
          <w:iCs/>
          <w:color w:val="000000" w:themeColor="text1"/>
        </w:rPr>
        <w:t>Bostock</w:t>
      </w:r>
      <w:r>
        <w:rPr>
          <w:color w:val="000000" w:themeColor="text1"/>
        </w:rPr>
        <w:t xml:space="preserve"> and why a conservative justice like Justice Gorsuch could vote one way in </w:t>
      </w:r>
      <w:r>
        <w:rPr>
          <w:i/>
          <w:iCs/>
          <w:color w:val="000000" w:themeColor="text1"/>
        </w:rPr>
        <w:t>Bostock</w:t>
      </w:r>
      <w:r>
        <w:rPr>
          <w:color w:val="000000" w:themeColor="text1"/>
        </w:rPr>
        <w:t xml:space="preserve"> and be nowhere in the realm of gettable for this case”); </w:t>
      </w:r>
      <w:r>
        <w:rPr>
          <w:i/>
          <w:iCs/>
          <w:color w:val="000000" w:themeColor="text1"/>
        </w:rPr>
        <w:t>see also</w:t>
      </w:r>
      <w:r>
        <w:rPr>
          <w:color w:val="000000" w:themeColor="text1"/>
        </w:rPr>
        <w:t xml:space="preserve"> Leor Sapir, </w:t>
      </w:r>
      <w:r>
        <w:rPr>
          <w:i/>
          <w:iCs/>
          <w:color w:val="000000" w:themeColor="text1"/>
        </w:rPr>
        <w:t>Is the ACLU Ready to Defend Nonbinary Medicine?</w:t>
      </w:r>
      <w:r>
        <w:rPr>
          <w:color w:val="000000" w:themeColor="text1"/>
        </w:rPr>
        <w:t xml:space="preserve">, </w:t>
      </w:r>
      <w:r>
        <w:rPr>
          <w:smallCaps/>
          <w:color w:val="000000" w:themeColor="text1"/>
        </w:rPr>
        <w:t>City</w:t>
      </w:r>
      <w:r>
        <w:rPr>
          <w:color w:val="000000" w:themeColor="text1"/>
        </w:rPr>
        <w:t xml:space="preserve"> </w:t>
      </w:r>
      <w:r>
        <w:rPr>
          <w:smallCaps/>
          <w:color w:val="000000" w:themeColor="text1"/>
        </w:rPr>
        <w:t>J.</w:t>
      </w:r>
      <w:r>
        <w:rPr>
          <w:color w:val="000000" w:themeColor="text1"/>
        </w:rPr>
        <w:t xml:space="preserve"> (Feb. 14, 2025), https://www.city-journal.org/article/aclu-lawsuit-trump-transgender-executive-order [create </w:t>
      </w:r>
      <w:proofErr w:type="spellStart"/>
      <w:r>
        <w:rPr>
          <w:color w:val="000000" w:themeColor="text1"/>
        </w:rPr>
        <w:t>perma</w:t>
      </w:r>
      <w:proofErr w:type="spellEnd"/>
      <w:r>
        <w:rPr>
          <w:color w:val="000000" w:themeColor="text1"/>
        </w:rPr>
        <w:t xml:space="preserve"> link] (suggesting that the ACLU “has thrown its institutional weight behind the most radical and unpopular campaigns for transgender rights”).</w:t>
      </w:r>
    </w:p>
  </w:footnote>
  <w:footnote w:id="75">
    <w:p w14:paraId="115E3F11"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Sections IV</w:t>
      </w:r>
      <w:proofErr w:type="gramEnd"/>
      <w:r>
        <w:rPr>
          <w:color w:val="000000" w:themeColor="text1"/>
        </w:rPr>
        <w:t>, VI.</w:t>
      </w:r>
    </w:p>
  </w:footnote>
  <w:footnote w:id="76">
    <w:p w14:paraId="67A62F2A" w14:textId="77777777" w:rsidR="00000000" w:rsidRDefault="00000000" w:rsidP="001971D1">
      <w:pPr>
        <w:spacing w:line="480" w:lineRule="auto"/>
      </w:pPr>
      <w:r>
        <w:rPr>
          <w:rStyle w:val="FootnoteReference"/>
          <w:rFonts w:eastAsiaTheme="majorEastAsia"/>
        </w:rPr>
        <w:footnoteRef/>
      </w:r>
      <w:r>
        <w:rPr>
          <w:sz w:val="20"/>
          <w:szCs w:val="20"/>
        </w:rPr>
        <w:t xml:space="preserve"> </w:t>
      </w:r>
      <w:r>
        <w:rPr>
          <w:smallCaps/>
          <w:sz w:val="20"/>
          <w:szCs w:val="20"/>
        </w:rPr>
        <w:t xml:space="preserve">Mark V. </w:t>
      </w:r>
      <w:proofErr w:type="spellStart"/>
      <w:r>
        <w:rPr>
          <w:smallCaps/>
          <w:sz w:val="20"/>
          <w:szCs w:val="20"/>
        </w:rPr>
        <w:t>Tushnet</w:t>
      </w:r>
      <w:proofErr w:type="spellEnd"/>
      <w:r>
        <w:rPr>
          <w:smallCaps/>
          <w:sz w:val="20"/>
          <w:szCs w:val="20"/>
        </w:rPr>
        <w:t>, The NAACP’s Legal Strategy Against Segregated Education, 1925–1950</w:t>
      </w:r>
      <w:r>
        <w:rPr>
          <w:sz w:val="20"/>
          <w:szCs w:val="20"/>
        </w:rPr>
        <w:t>, at 71 (1987) (quoting Charles Hamilton Houston’s 1935 letters to Sidney Redmond).</w:t>
      </w:r>
    </w:p>
  </w:footnote>
  <w:footnote w:id="77">
    <w:p w14:paraId="6D6C3CBD" w14:textId="77777777" w:rsidR="00D879FE" w:rsidRDefault="00000000">
      <w:pPr>
        <w:pStyle w:val="FootnoteText"/>
        <w:spacing w:line="480" w:lineRule="auto"/>
      </w:pPr>
      <w:r>
        <w:rPr>
          <w:rStyle w:val="FootnoteReference"/>
        </w:rPr>
        <w:footnoteRef/>
      </w:r>
      <w:r>
        <w:t xml:space="preserve"> </w:t>
      </w:r>
      <w:r>
        <w:rPr>
          <w:smallCaps/>
        </w:rPr>
        <w:t xml:space="preserve">Fred </w:t>
      </w:r>
      <w:proofErr w:type="spellStart"/>
      <w:r>
        <w:rPr>
          <w:smallCaps/>
        </w:rPr>
        <w:t>Strebeigh</w:t>
      </w:r>
      <w:proofErr w:type="spellEnd"/>
      <w:r>
        <w:rPr>
          <w:smallCaps/>
        </w:rPr>
        <w:t>, Equal: Women Reshape American Law</w:t>
      </w:r>
      <w:r>
        <w:t xml:space="preserve"> 62 (2009).</w:t>
      </w:r>
    </w:p>
  </w:footnote>
  <w:footnote w:id="78">
    <w:p w14:paraId="27B3A2DB" w14:textId="77777777" w:rsidR="001B687B" w:rsidRPr="005B3E31" w:rsidRDefault="001B687B" w:rsidP="001B687B">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 xml:space="preserve">infra </w:t>
      </w:r>
      <w:r>
        <w:rPr>
          <w:color w:val="000000" w:themeColor="text1"/>
        </w:rPr>
        <w:t>Section IV</w:t>
      </w:r>
      <w:proofErr w:type="gramEnd"/>
      <w:r>
        <w:rPr>
          <w:color w:val="000000" w:themeColor="text1"/>
        </w:rPr>
        <w:t>.</w:t>
      </w:r>
    </w:p>
  </w:footnote>
  <w:footnote w:id="79">
    <w:p w14:paraId="729CFD03"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Lanni</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_Ref221994504 \h  \* MERGEFORMAT </w:instrText>
      </w:r>
      <w:r>
        <w:rPr>
          <w:color w:val="000000" w:themeColor="text1"/>
        </w:rPr>
      </w:r>
      <w:r>
        <w:rPr>
          <w:color w:val="000000" w:themeColor="text1"/>
        </w:rPr>
        <w:fldChar w:fldCharType="separate"/>
      </w:r>
      <w:r>
        <w:rPr>
          <w:color w:val="000000" w:themeColor="text1"/>
        </w:rPr>
        <w:t>24</w:t>
      </w:r>
      <w:r>
        <w:rPr>
          <w:color w:val="000000" w:themeColor="text1"/>
        </w:rPr>
        <w:fldChar w:fldCharType="end"/>
      </w:r>
      <w:r>
        <w:rPr>
          <w:color w:val="000000" w:themeColor="text1"/>
        </w:rPr>
        <w:t xml:space="preserve">, at 129, 134–35. </w:t>
      </w:r>
    </w:p>
  </w:footnote>
  <w:footnote w:id="80">
    <w:p w14:paraId="0BA3442B"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at 142–43.</w:t>
      </w:r>
    </w:p>
  </w:footnote>
  <w:footnote w:id="81">
    <w:p w14:paraId="117AE4A4"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Robin Osborne, Use and Abuse of Law in the Athenian Courts</w:t>
      </w:r>
      <w:r>
        <w:rPr>
          <w:color w:val="000000" w:themeColor="text1"/>
        </w:rPr>
        <w:t xml:space="preserve"> 38, 81 (Brill 2018).</w:t>
      </w:r>
    </w:p>
  </w:footnote>
  <w:footnote w:id="82">
    <w:p w14:paraId="4E536244"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Pierre </w:t>
      </w:r>
      <w:proofErr w:type="spellStart"/>
      <w:r>
        <w:rPr>
          <w:smallCaps/>
          <w:color w:val="000000" w:themeColor="text1"/>
        </w:rPr>
        <w:t>Schlag</w:t>
      </w:r>
      <w:proofErr w:type="spellEnd"/>
      <w:r>
        <w:rPr>
          <w:smallCaps/>
          <w:color w:val="000000" w:themeColor="text1"/>
        </w:rPr>
        <w:t>, The Enchantment of Reason</w:t>
      </w:r>
      <w:r>
        <w:rPr>
          <w:color w:val="000000" w:themeColor="text1"/>
        </w:rPr>
        <w:t xml:space="preserve"> 117–18 (1998); </w:t>
      </w:r>
      <w:r>
        <w:rPr>
          <w:i/>
          <w:iCs/>
          <w:color w:val="000000" w:themeColor="text1"/>
        </w:rPr>
        <w:t>see also</w:t>
      </w:r>
      <w:r>
        <w:rPr>
          <w:color w:val="000000" w:themeColor="text1"/>
        </w:rPr>
        <w:t xml:space="preserve"> </w:t>
      </w:r>
      <w:r>
        <w:rPr>
          <w:smallCaps/>
          <w:color w:val="000000" w:themeColor="text1"/>
        </w:rPr>
        <w:t xml:space="preserve">Cass R. Sunstein, </w:t>
      </w:r>
      <w:r>
        <w:rPr>
          <w:i/>
          <w:iCs/>
          <w:smallCaps/>
          <w:color w:val="000000" w:themeColor="text1"/>
        </w:rPr>
        <w:t>Conformity and Dissent</w:t>
      </w:r>
      <w:r>
        <w:rPr>
          <w:i/>
          <w:iCs/>
          <w:color w:val="000000" w:themeColor="text1"/>
        </w:rPr>
        <w:t xml:space="preserve"> </w:t>
      </w:r>
      <w:r>
        <w:rPr>
          <w:color w:val="000000" w:themeColor="text1"/>
        </w:rPr>
        <w:t>65–67 (2002).</w:t>
      </w:r>
    </w:p>
  </w:footnote>
  <w:footnote w:id="83">
    <w:p w14:paraId="6FEDB852"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Rahimi, 602 U.S. 680, 692 (2024); Saul Cornell, </w:t>
      </w:r>
      <w:r>
        <w:rPr>
          <w:i/>
          <w:iCs/>
          <w:color w:val="000000" w:themeColor="text1"/>
        </w:rPr>
        <w:t xml:space="preserve">The Founders’ Common Law and </w:t>
      </w:r>
      <w:proofErr w:type="spellStart"/>
      <w:r>
        <w:rPr>
          <w:i/>
          <w:iCs/>
          <w:color w:val="000000" w:themeColor="text1"/>
        </w:rPr>
        <w:t>Bruen’s</w:t>
      </w:r>
      <w:proofErr w:type="spellEnd"/>
      <w:r>
        <w:rPr>
          <w:i/>
          <w:iCs/>
          <w:color w:val="000000" w:themeColor="text1"/>
        </w:rPr>
        <w:t xml:space="preserve"> Text, History, and Tradition Test: From History ‘Lite’ to History Right</w:t>
      </w:r>
      <w:r>
        <w:rPr>
          <w:color w:val="000000" w:themeColor="text1"/>
        </w:rPr>
        <w:t xml:space="preserve">, 73 </w:t>
      </w:r>
      <w:r>
        <w:rPr>
          <w:smallCaps/>
          <w:color w:val="000000" w:themeColor="text1"/>
        </w:rPr>
        <w:t>Buff. L. Rev.</w:t>
      </w:r>
      <w:r>
        <w:rPr>
          <w:color w:val="000000" w:themeColor="text1"/>
        </w:rPr>
        <w:t xml:space="preserve"> 651, 656 (2025).</w:t>
      </w:r>
    </w:p>
  </w:footnote>
  <w:footnote w:id="84">
    <w:p w14:paraId="0DC51807"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85">
    <w:p w14:paraId="02D732DC" w14:textId="77777777" w:rsidR="00000000" w:rsidRDefault="00000000" w:rsidP="00B16CD7">
      <w:pPr>
        <w:spacing w:line="480" w:lineRule="auto"/>
      </w:pPr>
      <w:r>
        <w:rPr>
          <w:rStyle w:val="FootnoteReference"/>
          <w:rFonts w:eastAsiaTheme="majorEastAsia"/>
        </w:rPr>
        <w:footnoteRef/>
      </w:r>
      <w:r>
        <w:rPr>
          <w:sz w:val="20"/>
          <w:szCs w:val="20"/>
        </w:rPr>
        <w:t xml:space="preserve"> Jonathan H. Adler, </w:t>
      </w:r>
      <w:r>
        <w:rPr>
          <w:i/>
          <w:iCs/>
          <w:sz w:val="20"/>
          <w:szCs w:val="20"/>
        </w:rPr>
        <w:t xml:space="preserve">Law School Faculties Need </w:t>
      </w:r>
      <w:r>
        <w:rPr>
          <w:i/>
          <w:iCs/>
          <w:sz w:val="20"/>
          <w:szCs w:val="20"/>
        </w:rPr>
        <w:t>More Intellectual Diversity</w:t>
      </w:r>
      <w:r>
        <w:rPr>
          <w:sz w:val="20"/>
          <w:szCs w:val="20"/>
        </w:rPr>
        <w:t xml:space="preserve">, </w:t>
      </w:r>
      <w:r>
        <w:rPr>
          <w:smallCaps/>
          <w:sz w:val="20"/>
          <w:szCs w:val="20"/>
        </w:rPr>
        <w:t>Martin Ctr.</w:t>
      </w:r>
      <w:r>
        <w:rPr>
          <w:sz w:val="20"/>
          <w:szCs w:val="20"/>
        </w:rPr>
        <w:t xml:space="preserve"> (Apr. 12, 2017), https://jamesgmartin.center/2017/04/law-school-faculties-need-intellectual-diversity/.</w:t>
      </w:r>
    </w:p>
  </w:footnote>
  <w:footnote w:id="86">
    <w:p w14:paraId="14C6DE3E" w14:textId="77777777" w:rsidR="00000000" w:rsidRDefault="00000000" w:rsidP="00B16CD7">
      <w:pPr>
        <w:spacing w:line="480" w:lineRule="auto"/>
      </w:pPr>
      <w:r>
        <w:rPr>
          <w:rStyle w:val="FootnoteReference"/>
          <w:rFonts w:eastAsiaTheme="majorEastAsia"/>
        </w:rPr>
        <w:footnoteRef/>
      </w:r>
      <w:r>
        <w:rPr>
          <w:sz w:val="20"/>
          <w:szCs w:val="20"/>
        </w:rPr>
        <w:t xml:space="preserve"> Keith J. Hand &amp; Komi Frey, </w:t>
      </w:r>
      <w:r>
        <w:rPr>
          <w:i/>
          <w:iCs/>
          <w:sz w:val="20"/>
          <w:szCs w:val="20"/>
        </w:rPr>
        <w:t>Law Schools Must Create a Culture That Promotes Viewpoint Diversity. Here’s How</w:t>
      </w:r>
      <w:r>
        <w:rPr>
          <w:sz w:val="20"/>
          <w:szCs w:val="20"/>
        </w:rPr>
        <w:t xml:space="preserve">, </w:t>
      </w:r>
      <w:r>
        <w:rPr>
          <w:smallCaps/>
          <w:sz w:val="20"/>
          <w:szCs w:val="20"/>
        </w:rPr>
        <w:t>Minding the Campus</w:t>
      </w:r>
      <w:r>
        <w:rPr>
          <w:sz w:val="20"/>
          <w:szCs w:val="20"/>
        </w:rPr>
        <w:t xml:space="preserve"> (Aug. 30, 2024), https://www.mindingthecampus.org/2024/08/30/law-schools-must-create-a-culture-that-promotes-viewpoint-diversity-heres-how/.</w:t>
      </w:r>
    </w:p>
  </w:footnote>
  <w:footnote w:id="87">
    <w:p w14:paraId="2C48AC78" w14:textId="77777777" w:rsidR="00000000" w:rsidRDefault="00000000" w:rsidP="00B16CD7">
      <w:pPr>
        <w:spacing w:line="480" w:lineRule="auto"/>
      </w:pPr>
      <w:r>
        <w:rPr>
          <w:rStyle w:val="FootnoteReference"/>
          <w:rFonts w:eastAsiaTheme="majorEastAsia"/>
        </w:rPr>
        <w:footnoteRef/>
      </w:r>
      <w:r>
        <w:rPr>
          <w:sz w:val="20"/>
          <w:szCs w:val="20"/>
        </w:rPr>
        <w:t xml:space="preserve"> </w:t>
      </w:r>
      <w:r>
        <w:rPr>
          <w:i/>
          <w:iCs/>
          <w:sz w:val="20"/>
          <w:szCs w:val="20"/>
        </w:rPr>
        <w:t>Cf.</w:t>
      </w:r>
      <w:r>
        <w:rPr>
          <w:sz w:val="20"/>
          <w:szCs w:val="20"/>
        </w:rPr>
        <w:t xml:space="preserve"> 1 </w:t>
      </w:r>
      <w:r>
        <w:rPr>
          <w:smallCaps/>
          <w:sz w:val="20"/>
          <w:szCs w:val="20"/>
        </w:rPr>
        <w:t>Broadus Mitchell, Alexander Hamilton: Youth to Maturity, 1755–1788</w:t>
      </w:r>
      <w:r>
        <w:rPr>
          <w:sz w:val="20"/>
          <w:szCs w:val="20"/>
        </w:rPr>
        <w:t>, at xii (1957).</w:t>
      </w:r>
    </w:p>
  </w:footnote>
  <w:footnote w:id="88">
    <w:p w14:paraId="7B0D4E0F" w14:textId="77777777" w:rsidR="00000000" w:rsidRDefault="00000000" w:rsidP="00B16CD7">
      <w:pPr>
        <w:spacing w:line="480" w:lineRule="auto"/>
      </w:pPr>
      <w:r>
        <w:rPr>
          <w:rStyle w:val="FootnoteReference"/>
          <w:rFonts w:eastAsiaTheme="majorEastAsia"/>
        </w:rPr>
        <w:footnoteRef/>
      </w:r>
      <w:r>
        <w:rPr>
          <w:sz w:val="20"/>
          <w:szCs w:val="20"/>
        </w:rPr>
        <w:t xml:space="preserve"> Derek A. Webb, </w:t>
      </w:r>
      <w:r>
        <w:rPr>
          <w:i/>
          <w:iCs/>
          <w:sz w:val="20"/>
          <w:szCs w:val="20"/>
        </w:rPr>
        <w:t>The Original Meaning of Civility: Democratic Deliberation at the Philadelphia Constitutional Convention</w:t>
      </w:r>
      <w:r>
        <w:rPr>
          <w:sz w:val="20"/>
          <w:szCs w:val="20"/>
        </w:rPr>
        <w:t xml:space="preserve">, 64 </w:t>
      </w:r>
      <w:r>
        <w:rPr>
          <w:smallCaps/>
          <w:sz w:val="20"/>
          <w:szCs w:val="20"/>
        </w:rPr>
        <w:t>S.C. L. Rev.</w:t>
      </w:r>
      <w:r>
        <w:rPr>
          <w:sz w:val="20"/>
          <w:szCs w:val="20"/>
        </w:rPr>
        <w:t xml:space="preserve"> 183, 195 (2012).</w:t>
      </w:r>
    </w:p>
  </w:footnote>
  <w:footnote w:id="89">
    <w:p w14:paraId="487886D1" w14:textId="77777777" w:rsidR="00000000" w:rsidRDefault="00000000" w:rsidP="00B16CD7">
      <w:pPr>
        <w:spacing w:line="480" w:lineRule="auto"/>
      </w:pPr>
      <w:r>
        <w:rPr>
          <w:rStyle w:val="FootnoteReference"/>
          <w:rFonts w:eastAsiaTheme="majorEastAsia"/>
        </w:rPr>
        <w:footnoteRef/>
      </w:r>
      <w:r>
        <w:rPr>
          <w:sz w:val="20"/>
          <w:szCs w:val="20"/>
        </w:rPr>
        <w:t xml:space="preserve"> Benjamin Franklin, Speech at the Constitutional Convention (Sept. 17, 1787), </w:t>
      </w:r>
      <w:r>
        <w:rPr>
          <w:i/>
          <w:iCs/>
          <w:sz w:val="20"/>
          <w:szCs w:val="20"/>
        </w:rPr>
        <w:t>in</w:t>
      </w:r>
      <w:r>
        <w:rPr>
          <w:sz w:val="20"/>
          <w:szCs w:val="20"/>
        </w:rPr>
        <w:t xml:space="preserve"> 13 </w:t>
      </w:r>
      <w:r>
        <w:rPr>
          <w:smallCaps/>
          <w:sz w:val="20"/>
          <w:szCs w:val="20"/>
        </w:rPr>
        <w:t>The Documentary History of the Ratification of the Constitution</w:t>
      </w:r>
      <w:r>
        <w:rPr>
          <w:sz w:val="20"/>
          <w:szCs w:val="20"/>
        </w:rPr>
        <w:t xml:space="preserve"> 212–14 (John P. Kaminski et al. eds., 1981).</w:t>
      </w:r>
    </w:p>
  </w:footnote>
  <w:footnote w:id="90">
    <w:p w14:paraId="52D8D305" w14:textId="77777777" w:rsidR="00000000" w:rsidRDefault="00000000" w:rsidP="00B16CD7">
      <w:pPr>
        <w:spacing w:line="480" w:lineRule="auto"/>
      </w:pPr>
      <w:r>
        <w:rPr>
          <w:rStyle w:val="FootnoteReference"/>
          <w:rFonts w:eastAsiaTheme="majorEastAsia"/>
        </w:rPr>
        <w:footnoteRef/>
      </w:r>
      <w:r>
        <w:rPr>
          <w:sz w:val="20"/>
          <w:szCs w:val="20"/>
        </w:rPr>
        <w:t xml:space="preserve"> </w:t>
      </w:r>
      <w:r>
        <w:rPr>
          <w:smallCaps/>
          <w:sz w:val="20"/>
          <w:szCs w:val="20"/>
        </w:rPr>
        <w:t>James A. Brundage, The Medieval Origins of the Legal Profession</w:t>
      </w:r>
      <w:r>
        <w:rPr>
          <w:sz w:val="20"/>
          <w:szCs w:val="20"/>
        </w:rPr>
        <w:t xml:space="preserve"> 28 (2008).</w:t>
      </w:r>
    </w:p>
  </w:footnote>
  <w:footnote w:id="91">
    <w:p w14:paraId="63245183" w14:textId="77777777" w:rsidR="00000000" w:rsidRDefault="00000000" w:rsidP="00B16CD7">
      <w:pPr>
        <w:spacing w:line="480" w:lineRule="auto"/>
      </w:pPr>
      <w:r>
        <w:rPr>
          <w:rStyle w:val="FootnoteReference"/>
          <w:rFonts w:eastAsiaTheme="majorEastAsia"/>
        </w:rPr>
        <w:footnoteRef/>
      </w:r>
      <w:r>
        <w:rPr>
          <w:sz w:val="20"/>
          <w:szCs w:val="20"/>
        </w:rPr>
        <w:t xml:space="preserve"> Albert H.Y. Chen, </w:t>
      </w:r>
      <w:r>
        <w:rPr>
          <w:i/>
          <w:iCs/>
          <w:sz w:val="20"/>
          <w:szCs w:val="20"/>
        </w:rPr>
        <w:t>Mediation, Litigation, and Justice: Confucian Reflections in a Modern Liberal Society</w:t>
      </w:r>
      <w:r>
        <w:rPr>
          <w:sz w:val="20"/>
          <w:szCs w:val="20"/>
        </w:rPr>
        <w:t xml:space="preserve">, </w:t>
      </w:r>
      <w:r>
        <w:rPr>
          <w:i/>
          <w:iCs/>
          <w:sz w:val="20"/>
          <w:szCs w:val="20"/>
        </w:rPr>
        <w:t>in</w:t>
      </w:r>
      <w:r>
        <w:rPr>
          <w:sz w:val="20"/>
          <w:szCs w:val="20"/>
        </w:rPr>
        <w:t xml:space="preserve"> </w:t>
      </w:r>
      <w:r>
        <w:rPr>
          <w:smallCaps/>
          <w:sz w:val="20"/>
          <w:szCs w:val="20"/>
        </w:rPr>
        <w:t>Confucianism for the Modern World</w:t>
      </w:r>
      <w:r>
        <w:rPr>
          <w:sz w:val="20"/>
          <w:szCs w:val="20"/>
        </w:rPr>
        <w:t xml:space="preserve"> 257, 261–62 (Daniel A. Bell &amp; </w:t>
      </w:r>
      <w:proofErr w:type="spellStart"/>
      <w:r>
        <w:rPr>
          <w:sz w:val="20"/>
          <w:szCs w:val="20"/>
        </w:rPr>
        <w:t>Hahm</w:t>
      </w:r>
      <w:proofErr w:type="spellEnd"/>
      <w:r>
        <w:rPr>
          <w:sz w:val="20"/>
          <w:szCs w:val="20"/>
        </w:rPr>
        <w:t xml:space="preserve"> </w:t>
      </w:r>
      <w:proofErr w:type="spellStart"/>
      <w:r>
        <w:rPr>
          <w:sz w:val="20"/>
          <w:szCs w:val="20"/>
        </w:rPr>
        <w:t>Chaibong</w:t>
      </w:r>
      <w:proofErr w:type="spellEnd"/>
      <w:r>
        <w:rPr>
          <w:sz w:val="20"/>
          <w:szCs w:val="20"/>
        </w:rPr>
        <w:t xml:space="preserve"> eds., 2003).</w:t>
      </w:r>
    </w:p>
  </w:footnote>
  <w:footnote w:id="92">
    <w:p w14:paraId="0358019C" w14:textId="77777777" w:rsidR="00000000" w:rsidRDefault="00000000" w:rsidP="00B16CD7">
      <w:pPr>
        <w:spacing w:line="480" w:lineRule="auto"/>
      </w:pPr>
      <w:r>
        <w:rPr>
          <w:rStyle w:val="FootnoteReference"/>
          <w:rFonts w:eastAsiaTheme="majorEastAsia"/>
        </w:rPr>
        <w:footnoteRef/>
      </w:r>
      <w:r>
        <w:rPr>
          <w:sz w:val="20"/>
          <w:szCs w:val="20"/>
        </w:rPr>
        <w:t xml:space="preserve"> </w:t>
      </w:r>
      <w:r>
        <w:rPr>
          <w:smallCaps/>
          <w:sz w:val="20"/>
          <w:szCs w:val="20"/>
        </w:rPr>
        <w:t xml:space="preserve">George </w:t>
      </w:r>
      <w:proofErr w:type="spellStart"/>
      <w:r>
        <w:rPr>
          <w:smallCaps/>
          <w:sz w:val="20"/>
          <w:szCs w:val="20"/>
        </w:rPr>
        <w:t>Sharswood</w:t>
      </w:r>
      <w:proofErr w:type="spellEnd"/>
      <w:r>
        <w:rPr>
          <w:smallCaps/>
          <w:sz w:val="20"/>
          <w:szCs w:val="20"/>
        </w:rPr>
        <w:t>, An Essay on Professional Ethics</w:t>
      </w:r>
      <w:r>
        <w:rPr>
          <w:sz w:val="20"/>
          <w:szCs w:val="20"/>
        </w:rPr>
        <w:t xml:space="preserve"> 138 (2d ed. 1860).</w:t>
      </w:r>
    </w:p>
  </w:footnote>
  <w:footnote w:id="93">
    <w:p w14:paraId="58DE5777" w14:textId="77777777" w:rsidR="00D50550" w:rsidRPr="005B3E31" w:rsidRDefault="00D50550" w:rsidP="00D5055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Art Hinshaw</w:t>
      </w:r>
      <w:r>
        <w:rPr>
          <w:color w:val="000000" w:themeColor="text1"/>
        </w:rPr>
        <w:t xml:space="preserve"> et al., </w:t>
      </w:r>
      <w:r>
        <w:rPr>
          <w:smallCaps/>
          <w:color w:val="000000" w:themeColor="text1"/>
        </w:rPr>
        <w:t>Discussions in Dispute Resolution</w:t>
      </w:r>
      <w:r>
        <w:rPr>
          <w:color w:val="000000" w:themeColor="text1"/>
        </w:rPr>
        <w:t xml:space="preserve"> at xix (2021).</w:t>
      </w:r>
    </w:p>
  </w:footnote>
  <w:footnote w:id="94">
    <w:p w14:paraId="44775E0A" w14:textId="77777777" w:rsidR="00D50550" w:rsidRPr="005B3E31" w:rsidRDefault="00D50550" w:rsidP="00D50550">
      <w:pPr>
        <w:pStyle w:val="FootnoteText"/>
        <w:spacing w:line="480" w:lineRule="auto"/>
      </w:pPr>
      <w:r>
        <w:rPr>
          <w:rStyle w:val="FootnoteReference"/>
        </w:rPr>
        <w:footnoteRef/>
      </w:r>
      <w: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Discussions of Dispute Resolution</w:t>
      </w:r>
      <w:r>
        <w:rPr>
          <w:color w:val="000000" w:themeColor="text1"/>
        </w:rPr>
        <w:t xml:space="preserve"> 324 (2021); </w:t>
      </w:r>
      <w:r>
        <w:rPr>
          <w:i/>
          <w:iCs/>
          <w:color w:val="000000" w:themeColor="text1"/>
        </w:rPr>
        <w:t>see also</w:t>
      </w:r>
      <w:r>
        <w:rPr>
          <w:color w:val="000000" w:themeColor="text1"/>
        </w:rPr>
        <w:t xml:space="preserve"> </w:t>
      </w:r>
      <w:r>
        <w:rPr>
          <w:smallCaps/>
          <w:color w:val="000000" w:themeColor="text1"/>
        </w:rPr>
        <w:t xml:space="preserve">Nader, Harmony Ideology,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306.</w:t>
      </w:r>
    </w:p>
  </w:footnote>
  <w:footnote w:id="95">
    <w:p w14:paraId="62426A2D" w14:textId="77777777" w:rsidR="00000000" w:rsidRDefault="00000000">
      <w:pPr>
        <w:spacing w:line="480" w:lineRule="auto"/>
      </w:pPr>
      <w:r>
        <w:rPr>
          <w:rStyle w:val="FootnoteReference"/>
          <w:rFonts w:eastAsiaTheme="majorEastAsia"/>
        </w:rPr>
        <w:footnoteRef/>
      </w:r>
      <w:r>
        <w:rPr>
          <w:sz w:val="20"/>
          <w:szCs w:val="20"/>
        </w:rPr>
        <w:t xml:space="preserve"> </w:t>
      </w:r>
      <w:r>
        <w:rPr>
          <w:smallCaps/>
          <w:sz w:val="20"/>
          <w:szCs w:val="20"/>
        </w:rPr>
        <w:t>Cass R. Sunstein &amp; Reid Hastie, Wiser: Getting Beyond Groupthink to Make Groups Smarter</w:t>
      </w:r>
      <w:r>
        <w:rPr>
          <w:sz w:val="20"/>
          <w:szCs w:val="20"/>
        </w:rPr>
        <w:t xml:space="preserve"> 24, 38 (2015).</w:t>
      </w:r>
    </w:p>
  </w:footnote>
  <w:footnote w:id="96">
    <w:p w14:paraId="28F03C81" w14:textId="77777777" w:rsidR="00000000" w:rsidRDefault="00000000">
      <w:pPr>
        <w:spacing w:line="480" w:lineRule="auto"/>
      </w:pPr>
      <w:r>
        <w:rPr>
          <w:rStyle w:val="FootnoteReference"/>
          <w:rFonts w:eastAsiaTheme="majorEastAsia"/>
        </w:rPr>
        <w:footnoteRef/>
      </w:r>
      <w:r>
        <w:rPr>
          <w:sz w:val="20"/>
          <w:szCs w:val="20"/>
        </w:rPr>
        <w:t xml:space="preserve"> </w:t>
      </w:r>
      <w:r>
        <w:rPr>
          <w:smallCaps/>
          <w:sz w:val="20"/>
          <w:szCs w:val="20"/>
        </w:rPr>
        <w:t xml:space="preserve">David </w:t>
      </w:r>
      <w:proofErr w:type="spellStart"/>
      <w:r>
        <w:rPr>
          <w:smallCaps/>
          <w:sz w:val="20"/>
          <w:szCs w:val="20"/>
        </w:rPr>
        <w:t>Boies</w:t>
      </w:r>
      <w:proofErr w:type="spellEnd"/>
      <w:r>
        <w:rPr>
          <w:smallCaps/>
          <w:sz w:val="20"/>
          <w:szCs w:val="20"/>
        </w:rPr>
        <w:t xml:space="preserve"> &amp; Theodore B. Olson, Redeeming the Dream</w:t>
      </w:r>
      <w:r>
        <w:rPr>
          <w:sz w:val="20"/>
          <w:szCs w:val="20"/>
        </w:rPr>
        <w:t xml:space="preserve"> 30 (2014).</w:t>
      </w:r>
    </w:p>
  </w:footnote>
  <w:footnote w:id="97">
    <w:p w14:paraId="24C2F89C" w14:textId="77777777" w:rsidR="00D879FE" w:rsidRDefault="00000000">
      <w:pPr>
        <w:pStyle w:val="FootnoteText"/>
        <w:spacing w:line="480" w:lineRule="auto"/>
      </w:pPr>
      <w:r>
        <w:rPr>
          <w:rStyle w:val="FootnoteReference"/>
        </w:rPr>
        <w:footnoteRef/>
      </w:r>
      <w:r>
        <w:t xml:space="preserve"> </w:t>
      </w:r>
      <w:r>
        <w:rPr>
          <w:smallCaps/>
        </w:rPr>
        <w:t>Benjamin N. Cardozo, The Nature of the Judicial Process</w:t>
      </w:r>
      <w:r>
        <w:t xml:space="preserve"> 174–75 (1921).</w:t>
      </w:r>
    </w:p>
  </w:footnote>
  <w:footnote w:id="98">
    <w:p w14:paraId="66C839C8" w14:textId="77777777" w:rsidR="008B3E8F" w:rsidRPr="005B3E31" w:rsidRDefault="008B3E8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Paul’t</w:t>
      </w:r>
      <w:proofErr w:type="spellEnd"/>
      <w:r>
        <w:rPr>
          <w:color w:val="000000" w:themeColor="text1"/>
        </w:rPr>
        <w:t xml:space="preserve"> Hart, </w:t>
      </w:r>
      <w:r>
        <w:rPr>
          <w:i/>
          <w:iCs/>
          <w:color w:val="000000" w:themeColor="text1"/>
        </w:rPr>
        <w:t>Irving L. Janis’ Victims of Groupthink</w:t>
      </w:r>
      <w:r>
        <w:rPr>
          <w:color w:val="000000" w:themeColor="text1"/>
        </w:rPr>
        <w:t xml:space="preserve">, 12 </w:t>
      </w:r>
      <w:r>
        <w:rPr>
          <w:smallCaps/>
          <w:color w:val="000000" w:themeColor="text1"/>
        </w:rPr>
        <w:t>Pol. Psychol</w:t>
      </w:r>
      <w:r>
        <w:rPr>
          <w:color w:val="000000" w:themeColor="text1"/>
        </w:rPr>
        <w:t>. 247, 256 (1991).</w:t>
      </w:r>
    </w:p>
  </w:footnote>
  <w:footnote w:id="99">
    <w:p w14:paraId="2A5DA7F1" w14:textId="77777777" w:rsidR="00F97EE5" w:rsidRPr="005B3E31" w:rsidRDefault="00F97EE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257–58.</w:t>
      </w:r>
    </w:p>
  </w:footnote>
  <w:footnote w:id="100">
    <w:p w14:paraId="66008CCF" w14:textId="77777777" w:rsidR="005A65F4" w:rsidRPr="005B3E31" w:rsidRDefault="005A65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 fig.1, 267–68. </w:t>
      </w:r>
    </w:p>
  </w:footnote>
  <w:footnote w:id="101">
    <w:p w14:paraId="3E26CD3F"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notes 168–70 and accompanying text; </w:t>
      </w:r>
      <w:r>
        <w:rPr>
          <w:i/>
          <w:iCs/>
          <w:color w:val="000000" w:themeColor="text1"/>
        </w:rPr>
        <w:t>cf.</w:t>
      </w:r>
      <w:r>
        <w:rPr>
          <w:color w:val="000000" w:themeColor="text1"/>
        </w:rPr>
        <w:t xml:space="preserve"> Hart, </w:t>
      </w:r>
      <w:r>
        <w:rPr>
          <w:i/>
          <w:iCs/>
          <w:color w:val="000000" w:themeColor="text1"/>
        </w:rPr>
        <w:t>supra</w:t>
      </w:r>
      <w:r>
        <w:rPr>
          <w:color w:val="000000" w:themeColor="text1"/>
        </w:rPr>
        <w:t xml:space="preserve"> note 168, at 270–71 (reporting “sizable” correlations between scores on symptoms of defective decision-making and unfavorable policy outcomes, while cautioning that “[c]</w:t>
      </w:r>
      <w:proofErr w:type="spellStart"/>
      <w:r>
        <w:rPr>
          <w:color w:val="000000" w:themeColor="text1"/>
        </w:rPr>
        <w:t>orrelations</w:t>
      </w:r>
      <w:proofErr w:type="spellEnd"/>
      <w:r>
        <w:rPr>
          <w:color w:val="000000" w:themeColor="text1"/>
        </w:rPr>
        <w:t xml:space="preserve"> do not allow statements about causality”).</w:t>
      </w:r>
    </w:p>
  </w:footnote>
  <w:footnote w:id="102">
    <w:p w14:paraId="719CC0E0" w14:textId="072143A8"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I.A.</w:t>
      </w:r>
    </w:p>
  </w:footnote>
  <w:footnote w:id="103">
    <w:p w14:paraId="25A04D29" w14:textId="77777777" w:rsidR="00C41041"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Ann Southworth, </w:t>
      </w:r>
      <w:r>
        <w:rPr>
          <w:i/>
          <w:iCs/>
          <w:color w:val="000000" w:themeColor="text1"/>
        </w:rPr>
        <w:t>Conservative Lawyers and the Contest over the Meaning of “Public Interest Law”</w:t>
      </w:r>
      <w:r>
        <w:rPr>
          <w:color w:val="000000" w:themeColor="text1"/>
        </w:rPr>
        <w:t xml:space="preserve">, 52 </w:t>
      </w:r>
      <w:proofErr w:type="spellStart"/>
      <w:r>
        <w:rPr>
          <w:color w:val="000000" w:themeColor="text1"/>
        </w:rPr>
        <w:t>U</w:t>
      </w:r>
      <w:r>
        <w:rPr>
          <w:smallCaps/>
          <w:color w:val="000000" w:themeColor="text1"/>
        </w:rPr>
        <w:t>Cla</w:t>
      </w:r>
      <w:proofErr w:type="spellEnd"/>
      <w:r>
        <w:rPr>
          <w:color w:val="000000" w:themeColor="text1"/>
        </w:rPr>
        <w:t xml:space="preserve"> L. </w:t>
      </w:r>
      <w:r>
        <w:rPr>
          <w:smallCaps/>
          <w:color w:val="000000" w:themeColor="text1"/>
        </w:rPr>
        <w:t>Rev</w:t>
      </w:r>
      <w:r>
        <w:rPr>
          <w:color w:val="000000" w:themeColor="text1"/>
        </w:rPr>
        <w:t xml:space="preserve">. 1223, 1229, 1248, 1268 (2005); </w:t>
      </w:r>
      <w:r>
        <w:rPr>
          <w:smallCaps/>
          <w:color w:val="000000" w:themeColor="text1"/>
        </w:rPr>
        <w:t>Amanda Hollis-</w:t>
      </w:r>
      <w:proofErr w:type="spellStart"/>
      <w:r>
        <w:rPr>
          <w:smallCaps/>
          <w:color w:val="000000" w:themeColor="text1"/>
        </w:rPr>
        <w:t>Brusky</w:t>
      </w:r>
      <w:proofErr w:type="spellEnd"/>
      <w:r>
        <w:rPr>
          <w:smallCaps/>
          <w:color w:val="000000" w:themeColor="text1"/>
        </w:rPr>
        <w:t>, Ideas With Consequences: The Federalist Society and the Conservative Counterrevolution</w:t>
      </w:r>
      <w:r>
        <w:rPr>
          <w:color w:val="000000" w:themeColor="text1"/>
        </w:rPr>
        <w:t xml:space="preserve"> 2 (2015); </w:t>
      </w:r>
      <w:r>
        <w:rPr>
          <w:smallCaps/>
          <w:color w:val="000000" w:themeColor="text1"/>
        </w:rPr>
        <w:t>The Worlds Cause Lawyers Make: Structure and Agency in Legal Practice</w:t>
      </w:r>
      <w:r>
        <w:rPr>
          <w:color w:val="000000" w:themeColor="text1"/>
        </w:rPr>
        <w:t xml:space="preserve"> 92 (Austin Sarat &amp; Stuart A. </w:t>
      </w:r>
      <w:proofErr w:type="spellStart"/>
      <w:r>
        <w:rPr>
          <w:color w:val="000000" w:themeColor="text1"/>
        </w:rPr>
        <w:t>Scheingold</w:t>
      </w:r>
      <w:proofErr w:type="spellEnd"/>
      <w:r>
        <w:rPr>
          <w:color w:val="000000" w:themeColor="text1"/>
        </w:rPr>
        <w:t xml:space="preserve"> eds., 2005); Jesse Merriam, </w:t>
      </w:r>
      <w:r>
        <w:rPr>
          <w:i/>
          <w:iCs/>
          <w:color w:val="000000" w:themeColor="text1"/>
        </w:rPr>
        <w:t>A Sheep in Wolf’s Clothing: The Story of Why Conservatives Began to Look Beyond Originalism</w:t>
      </w:r>
      <w:r>
        <w:rPr>
          <w:color w:val="000000" w:themeColor="text1"/>
        </w:rPr>
        <w:t xml:space="preserve">, 11 </w:t>
      </w:r>
      <w:r>
        <w:rPr>
          <w:smallCaps/>
          <w:color w:val="000000" w:themeColor="text1"/>
        </w:rPr>
        <w:t>Faulkner L. Rev.</w:t>
      </w:r>
      <w:r>
        <w:rPr>
          <w:color w:val="000000" w:themeColor="text1"/>
        </w:rPr>
        <w:t xml:space="preserve"> 63, 102 (2019).</w:t>
      </w:r>
    </w:p>
  </w:footnote>
  <w:footnote w:id="104">
    <w:p w14:paraId="11BCD412" w14:textId="77777777"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supra note 173, at 1250; </w:t>
      </w:r>
      <w:r>
        <w:rPr>
          <w:smallCaps/>
          <w:color w:val="000000" w:themeColor="text1"/>
        </w:rPr>
        <w:t xml:space="preserve">Steven M. </w:t>
      </w:r>
      <w:proofErr w:type="spellStart"/>
      <w:r>
        <w:rPr>
          <w:smallCaps/>
          <w:color w:val="000000" w:themeColor="text1"/>
        </w:rPr>
        <w:t>Teles</w:t>
      </w:r>
      <w:proofErr w:type="spellEnd"/>
      <w:r>
        <w:rPr>
          <w:smallCaps/>
          <w:color w:val="000000" w:themeColor="text1"/>
        </w:rPr>
        <w:t>, The Rise of the Conservative Legal Movement: The Battles for Control of the Law</w:t>
      </w:r>
      <w:r>
        <w:rPr>
          <w:color w:val="000000" w:themeColor="text1"/>
        </w:rPr>
        <w:t xml:space="preserve"> 58–59 (2008); </w:t>
      </w:r>
      <w:r>
        <w:rPr>
          <w:i/>
          <w:iCs/>
          <w:color w:val="000000" w:themeColor="text1"/>
        </w:rPr>
        <w:t>id</w:t>
      </w:r>
      <w:r>
        <w:rPr>
          <w:color w:val="000000" w:themeColor="text1"/>
        </w:rPr>
        <w:t xml:space="preserve">. at 61;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1226, 1241.</w:t>
      </w:r>
    </w:p>
  </w:footnote>
  <w:footnote w:id="105">
    <w:p w14:paraId="14207688" w14:textId="77777777" w:rsidR="002A63F1" w:rsidRPr="005B3E31" w:rsidRDefault="002A63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69. </w:t>
      </w:r>
    </w:p>
  </w:footnote>
  <w:footnote w:id="106">
    <w:p w14:paraId="3C6FF787" w14:textId="77777777"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69 (quoting the Horowitz Report). </w:t>
      </w:r>
    </w:p>
  </w:footnote>
  <w:footnote w:id="107">
    <w:p w14:paraId="2E77D1C2" w14:textId="77777777" w:rsidR="00075271" w:rsidRPr="005B3E31" w:rsidRDefault="00075271" w:rsidP="003D74D8">
      <w:pPr>
        <w:pStyle w:val="FootnoteText"/>
        <w:spacing w:line="480" w:lineRule="auto"/>
      </w:pPr>
      <w:r>
        <w:rPr>
          <w:rStyle w:val="FootnoteReference"/>
        </w:rPr>
        <w:footnoteRef/>
      </w:r>
      <w:r>
        <w:t xml:space="preserve">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82 (quoting the Center for Applied Jurisprudence grant proposal).</w:t>
      </w:r>
    </w:p>
  </w:footnote>
  <w:footnote w:id="108">
    <w:p w14:paraId="45B6BF8A" w14:textId="77777777" w:rsidR="00B866D6" w:rsidRPr="005B3E31" w:rsidRDefault="00B866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82, 220.</w:t>
      </w:r>
    </w:p>
  </w:footnote>
  <w:footnote w:id="109">
    <w:p w14:paraId="0EDEF697" w14:textId="77777777"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1250–51;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58–59.</w:t>
      </w:r>
    </w:p>
  </w:footnote>
  <w:footnote w:id="110">
    <w:p w14:paraId="1AA6B016" w14:textId="77777777"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173, at 1250, 1252;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223–24; The Worlds Cause Lawyers Make, </w:t>
      </w:r>
      <w:r>
        <w:rPr>
          <w:i/>
          <w:iCs/>
          <w:color w:val="000000" w:themeColor="text1"/>
        </w:rPr>
        <w:t>supra</w:t>
      </w:r>
      <w:r>
        <w:rPr>
          <w:color w:val="000000" w:themeColor="text1"/>
        </w:rPr>
        <w:t xml:space="preserve"> note 173, at 125. </w:t>
      </w:r>
    </w:p>
  </w:footnote>
  <w:footnote w:id="111">
    <w:p w14:paraId="07BDFC6F" w14:textId="77777777" w:rsidR="00E92179" w:rsidRPr="005B3E31" w:rsidRDefault="00E9217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1225.</w:t>
      </w:r>
    </w:p>
  </w:footnote>
  <w:footnote w:id="112">
    <w:p w14:paraId="1E89E9E5" w14:textId="77777777" w:rsidR="004F5498"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1252–53 (quoting the Horowitz Report); </w:t>
      </w:r>
      <w:r>
        <w:rPr>
          <w:smallCaps/>
          <w:color w:val="000000" w:themeColor="text1"/>
        </w:rPr>
        <w:t>Hollis-</w:t>
      </w:r>
      <w:proofErr w:type="spellStart"/>
      <w:r>
        <w:rPr>
          <w:smallCaps/>
          <w:color w:val="000000" w:themeColor="text1"/>
        </w:rPr>
        <w:t>Brusky</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22.</w:t>
      </w:r>
    </w:p>
  </w:footnote>
  <w:footnote w:id="113">
    <w:p w14:paraId="2BDEB92E" w14:textId="77777777" w:rsidR="00F256BE" w:rsidRPr="005B3E31" w:rsidRDefault="00F256B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76–77.</w:t>
      </w:r>
    </w:p>
  </w:footnote>
  <w:footnote w:id="114">
    <w:p w14:paraId="1A72DC06" w14:textId="77777777" w:rsidR="00F2639C" w:rsidRPr="005B3E31" w:rsidRDefault="00F2639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xml:space="preserve">, at 221, 223–24;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1252–53.</w:t>
      </w:r>
    </w:p>
  </w:footnote>
  <w:footnote w:id="115">
    <w:p w14:paraId="436FA281" w14:textId="77777777" w:rsidR="000927E5" w:rsidRPr="005B3E31" w:rsidRDefault="000927E5" w:rsidP="003D74D8">
      <w:pPr>
        <w:pStyle w:val="FootnoteText"/>
        <w:spacing w:line="480" w:lineRule="auto"/>
      </w:pPr>
      <w:r>
        <w:rPr>
          <w:rStyle w:val="FootnoteReference"/>
        </w:rPr>
        <w:footnoteRef/>
      </w:r>
      <w:r>
        <w:t xml:space="preserve"> </w:t>
      </w:r>
      <w:proofErr w:type="spellStart"/>
      <w:r>
        <w:rPr>
          <w:color w:val="000000" w:themeColor="text1"/>
        </w:rPr>
        <w:t>Teles</w:t>
      </w:r>
      <w:proofErr w:type="spellEnd"/>
      <w:r>
        <w:rPr>
          <w:color w:val="000000" w:themeColor="text1"/>
        </w:rPr>
        <w:t>, supra note 174, at 220–21, 223–24; see also id. at 48 (describing the litigation committee that the Ford Foundation required of the liberal public interest law firms it funded, which “would have to approve each case”).</w:t>
      </w:r>
    </w:p>
  </w:footnote>
  <w:footnote w:id="116">
    <w:p w14:paraId="2CB9FDEA" w14:textId="77777777" w:rsidR="00FD1BD9" w:rsidRPr="005B3E31" w:rsidRDefault="00FD1BD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Zoya Haq, </w:t>
      </w:r>
      <w:r>
        <w:rPr>
          <w:i/>
          <w:iCs/>
          <w:color w:val="000000" w:themeColor="text1"/>
        </w:rPr>
        <w:t>How the Federalist Society Shaped America’s Judiciary</w:t>
      </w:r>
      <w:r>
        <w:rPr>
          <w:color w:val="000000" w:themeColor="text1"/>
        </w:rPr>
        <w:t xml:space="preserve">, </w:t>
      </w:r>
      <w:r>
        <w:rPr>
          <w:smallCaps/>
          <w:color w:val="000000" w:themeColor="text1"/>
        </w:rPr>
        <w:t>Yale News</w:t>
      </w:r>
      <w:r>
        <w:rPr>
          <w:color w:val="000000" w:themeColor="text1"/>
        </w:rPr>
        <w:t xml:space="preserve"> (Nov. 3, 2024, at 7:41 PM), https://yaledailynews.com/blog/2024/11/04/how-the-federalist-society-shaped-americas-judiciary/ [**create </w:t>
      </w:r>
      <w:proofErr w:type="spellStart"/>
      <w:r>
        <w:rPr>
          <w:color w:val="000000" w:themeColor="text1"/>
        </w:rPr>
        <w:t>perma</w:t>
      </w:r>
      <w:proofErr w:type="spellEnd"/>
      <w:r>
        <w:rPr>
          <w:color w:val="000000" w:themeColor="text1"/>
        </w:rPr>
        <w:t xml:space="preserve"> cc**]; </w:t>
      </w:r>
      <w:r>
        <w:rPr>
          <w:i/>
          <w:iCs/>
          <w:color w:val="000000" w:themeColor="text1"/>
        </w:rPr>
        <w:t>see also</w:t>
      </w:r>
      <w:r>
        <w:rPr>
          <w:color w:val="000000" w:themeColor="text1"/>
        </w:rPr>
        <w:t xml:space="preserve"> Merriam, </w:t>
      </w:r>
      <w:r>
        <w:rPr>
          <w:i/>
          <w:iCs/>
          <w:color w:val="000000" w:themeColor="text1"/>
        </w:rPr>
        <w:t>supra</w:t>
      </w:r>
      <w:r>
        <w:rPr>
          <w:color w:val="000000" w:themeColor="text1"/>
        </w:rPr>
        <w:t xml:space="preserve"> note 173, at 109–20 (tracing originalism’s rise and transformation within legal conservatism).</w:t>
      </w:r>
    </w:p>
  </w:footnote>
  <w:footnote w:id="117">
    <w:p w14:paraId="764EC5AF" w14:textId="222D4658" w:rsidR="00FD1209" w:rsidRPr="005B3E31" w:rsidRDefault="00FD120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proofErr w:type="gramStart"/>
      <w:r>
        <w:rPr>
          <w:i/>
          <w:iCs/>
          <w:color w:val="000000" w:themeColor="text1"/>
        </w:rPr>
        <w:t>infra</w:t>
      </w:r>
      <w:r>
        <w:rPr>
          <w:color w:val="000000" w:themeColor="text1"/>
        </w:rPr>
        <w:t xml:space="preserve"> Section III</w:t>
      </w:r>
      <w:proofErr w:type="gramEnd"/>
      <w:r>
        <w:rPr>
          <w:color w:val="000000" w:themeColor="text1"/>
        </w:rPr>
        <w:t>.</w:t>
      </w:r>
    </w:p>
  </w:footnote>
  <w:footnote w:id="118">
    <w:p w14:paraId="4702B5F2" w14:textId="3DF06E4B"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119">
    <w:p w14:paraId="4E0AE9FE" w14:textId="77777777" w:rsidR="00D3194D" w:rsidRPr="005B3E31" w:rsidRDefault="00D3194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Duygu</w:t>
      </w:r>
      <w:proofErr w:type="spellEnd"/>
      <w:r>
        <w:rPr>
          <w:color w:val="000000" w:themeColor="text1"/>
        </w:rPr>
        <w:t xml:space="preserve"> </w:t>
      </w:r>
      <w:proofErr w:type="spellStart"/>
      <w:r>
        <w:rPr>
          <w:color w:val="000000" w:themeColor="text1"/>
        </w:rPr>
        <w:t>Güner</w:t>
      </w:r>
      <w:proofErr w:type="spellEnd"/>
      <w:r>
        <w:rPr>
          <w:color w:val="000000" w:themeColor="text1"/>
        </w:rPr>
        <w:t xml:space="preserve"> </w:t>
      </w:r>
      <w:proofErr w:type="spellStart"/>
      <w:r>
        <w:rPr>
          <w:color w:val="000000" w:themeColor="text1"/>
        </w:rPr>
        <w:t>Gültekin</w:t>
      </w:r>
      <w:proofErr w:type="spellEnd"/>
      <w:r>
        <w:rPr>
          <w:color w:val="000000" w:themeColor="text1"/>
        </w:rPr>
        <w:t xml:space="preserve">, </w:t>
      </w:r>
      <w:r>
        <w:rPr>
          <w:i/>
          <w:iCs/>
          <w:color w:val="000000" w:themeColor="text1"/>
        </w:rPr>
        <w:t>Groupthink in Contemporary Decision Making: A Failure to Dissent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Overcoming Cognitive Biases in Strategic Management and Decision Making</w:t>
      </w:r>
      <w:r>
        <w:rPr>
          <w:color w:val="000000" w:themeColor="text1"/>
        </w:rPr>
        <w:t xml:space="preserve"> 91, 92 (</w:t>
      </w:r>
      <w:proofErr w:type="spellStart"/>
      <w:r>
        <w:rPr>
          <w:color w:val="000000" w:themeColor="text1"/>
        </w:rPr>
        <w:t>Enis</w:t>
      </w:r>
      <w:proofErr w:type="spellEnd"/>
      <w:r>
        <w:rPr>
          <w:color w:val="000000" w:themeColor="text1"/>
        </w:rPr>
        <w:t xml:space="preserve"> </w:t>
      </w:r>
      <w:proofErr w:type="spellStart"/>
      <w:r>
        <w:rPr>
          <w:color w:val="000000" w:themeColor="text1"/>
        </w:rPr>
        <w:t>Siniksaran</w:t>
      </w:r>
      <w:proofErr w:type="spellEnd"/>
      <w:r>
        <w:rPr>
          <w:color w:val="000000" w:themeColor="text1"/>
        </w:rPr>
        <w:t xml:space="preserve"> ed., 2024) (listing “law firms” among the contemporary settings in which groups make decisions).</w:t>
      </w:r>
    </w:p>
  </w:footnote>
  <w:footnote w:id="120">
    <w:p w14:paraId="13BF9064" w14:textId="77777777" w:rsidR="008A5C8A" w:rsidRPr="005B3E31" w:rsidRDefault="008A5C8A"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Chris Guthrie et al., </w:t>
      </w:r>
      <w:r>
        <w:rPr>
          <w:i/>
          <w:iCs/>
          <w:color w:val="000000" w:themeColor="text1"/>
        </w:rPr>
        <w:t>Inside the Judicial Mind</w:t>
      </w:r>
      <w:r>
        <w:rPr>
          <w:color w:val="000000" w:themeColor="text1"/>
        </w:rPr>
        <w:t xml:space="preserve">, 86 </w:t>
      </w:r>
      <w:r>
        <w:rPr>
          <w:i/>
          <w:iCs/>
          <w:smallCaps/>
          <w:color w:val="000000" w:themeColor="text1"/>
        </w:rPr>
        <w:t>Cornell L. Rev.</w:t>
      </w:r>
      <w:r>
        <w:rPr>
          <w:color w:val="000000" w:themeColor="text1"/>
        </w:rPr>
        <w:t xml:space="preserve"> 777, 828–29 (2001); Chris Guthrie et al., </w:t>
      </w:r>
      <w:r>
        <w:rPr>
          <w:i/>
          <w:iCs/>
          <w:color w:val="000000" w:themeColor="text1"/>
        </w:rPr>
        <w:t>Judging by Heuristic: Cognitive Illusions in Judicial Decision Making</w:t>
      </w:r>
      <w:r>
        <w:rPr>
          <w:color w:val="000000" w:themeColor="text1"/>
        </w:rPr>
        <w:t xml:space="preserve">, 86 </w:t>
      </w:r>
      <w:r>
        <w:rPr>
          <w:smallCaps/>
          <w:color w:val="000000" w:themeColor="text1"/>
        </w:rPr>
        <w:t>Judicature</w:t>
      </w:r>
      <w:r>
        <w:rPr>
          <w:color w:val="000000" w:themeColor="text1"/>
        </w:rPr>
        <w:t xml:space="preserve"> 44, 50 (2002); Adebola </w:t>
      </w:r>
      <w:proofErr w:type="spellStart"/>
      <w:r>
        <w:rPr>
          <w:color w:val="000000" w:themeColor="text1"/>
        </w:rPr>
        <w:t>Olaborede</w:t>
      </w:r>
      <w:proofErr w:type="spellEnd"/>
      <w:r>
        <w:rPr>
          <w:color w:val="000000" w:themeColor="text1"/>
        </w:rPr>
        <w:t xml:space="preserve"> &amp; </w:t>
      </w:r>
      <w:proofErr w:type="spellStart"/>
      <w:r>
        <w:rPr>
          <w:color w:val="000000" w:themeColor="text1"/>
        </w:rPr>
        <w:t>Lirieka</w:t>
      </w:r>
      <w:proofErr w:type="spellEnd"/>
      <w:r>
        <w:rPr>
          <w:color w:val="000000" w:themeColor="text1"/>
        </w:rPr>
        <w:t xml:space="preserve"> </w:t>
      </w:r>
      <w:proofErr w:type="spellStart"/>
      <w:r>
        <w:rPr>
          <w:color w:val="000000" w:themeColor="text1"/>
        </w:rPr>
        <w:t>Meintjes</w:t>
      </w:r>
      <w:proofErr w:type="spellEnd"/>
      <w:r>
        <w:rPr>
          <w:color w:val="000000" w:themeColor="text1"/>
        </w:rPr>
        <w:t xml:space="preserve">-van der Walt, </w:t>
      </w:r>
      <w:r>
        <w:rPr>
          <w:i/>
          <w:iCs/>
          <w:color w:val="000000" w:themeColor="text1"/>
        </w:rPr>
        <w:t>Cognitive Bias Affecting Decision-Making in the Legal Process</w:t>
      </w:r>
      <w:r>
        <w:rPr>
          <w:color w:val="000000" w:themeColor="text1"/>
        </w:rPr>
        <w:t xml:space="preserve">, 41 </w:t>
      </w:r>
      <w:r>
        <w:rPr>
          <w:smallCaps/>
          <w:color w:val="000000" w:themeColor="text1"/>
        </w:rPr>
        <w:t>Obiter</w:t>
      </w:r>
      <w:r>
        <w:rPr>
          <w:color w:val="000000" w:themeColor="text1"/>
        </w:rPr>
        <w:t xml:space="preserve"> 806, 829–30 (2020); </w:t>
      </w:r>
      <w:proofErr w:type="spellStart"/>
      <w:r>
        <w:rPr>
          <w:color w:val="000000" w:themeColor="text1"/>
        </w:rPr>
        <w:t>Eyal</w:t>
      </w:r>
      <w:proofErr w:type="spellEnd"/>
      <w:r>
        <w:rPr>
          <w:color w:val="000000" w:themeColor="text1"/>
        </w:rPr>
        <w:t xml:space="preserve"> Peer &amp; </w:t>
      </w:r>
      <w:proofErr w:type="spellStart"/>
      <w:r>
        <w:rPr>
          <w:color w:val="000000" w:themeColor="text1"/>
        </w:rPr>
        <w:t>Eyal</w:t>
      </w:r>
      <w:proofErr w:type="spellEnd"/>
      <w:r>
        <w:rPr>
          <w:color w:val="000000" w:themeColor="text1"/>
        </w:rPr>
        <w:t xml:space="preserve"> Gamliel, </w:t>
      </w:r>
      <w:r>
        <w:rPr>
          <w:i/>
          <w:iCs/>
          <w:color w:val="000000" w:themeColor="text1"/>
        </w:rPr>
        <w:t>Heuristics and Biases in Judicial Decisions</w:t>
      </w:r>
      <w:r>
        <w:rPr>
          <w:color w:val="000000" w:themeColor="text1"/>
        </w:rPr>
        <w:t xml:space="preserve">, 49 </w:t>
      </w:r>
      <w:r>
        <w:rPr>
          <w:smallCaps/>
          <w:color w:val="000000" w:themeColor="text1"/>
        </w:rPr>
        <w:t>Ct. Rev.</w:t>
      </w:r>
      <w:r>
        <w:rPr>
          <w:color w:val="000000" w:themeColor="text1"/>
        </w:rPr>
        <w:t xml:space="preserve"> 114, 118 (2013); Ian Weinstein, </w:t>
      </w:r>
      <w:r>
        <w:rPr>
          <w:i/>
          <w:iCs/>
          <w:color w:val="000000" w:themeColor="text1"/>
        </w:rPr>
        <w:t>Don’t Believe Everything You Think: Cognitive Bias in Legal Decision Making</w:t>
      </w:r>
      <w:r>
        <w:rPr>
          <w:color w:val="000000" w:themeColor="text1"/>
        </w:rPr>
        <w:t xml:space="preserve">, 8 </w:t>
      </w:r>
      <w:r>
        <w:rPr>
          <w:smallCaps/>
          <w:color w:val="000000" w:themeColor="text1"/>
        </w:rPr>
        <w:t>Clinical L. Rev.</w:t>
      </w:r>
      <w:r>
        <w:rPr>
          <w:color w:val="000000" w:themeColor="text1"/>
        </w:rPr>
        <w:t xml:space="preserve"> 783, 833–34 (2002); Leeanne Sharp, </w:t>
      </w:r>
      <w:r>
        <w:rPr>
          <w:i/>
          <w:iCs/>
          <w:color w:val="000000" w:themeColor="text1"/>
        </w:rPr>
        <w:t>Cognitive Heuristics and Law-An Interdisciplinary Approach to Better Judicial Decision Making</w:t>
      </w:r>
      <w:r>
        <w:rPr>
          <w:color w:val="000000" w:themeColor="text1"/>
        </w:rPr>
        <w:t xml:space="preserve">, 20 </w:t>
      </w:r>
      <w:r>
        <w:rPr>
          <w:smallCaps/>
          <w:color w:val="000000" w:themeColor="text1"/>
        </w:rPr>
        <w:t>Bull. Austl. Soc’y Legal Phil.</w:t>
      </w:r>
      <w:r>
        <w:rPr>
          <w:color w:val="000000" w:themeColor="text1"/>
        </w:rPr>
        <w:t xml:space="preserve"> 71, 94–95 (1995); Erica Beecher-Monas, </w:t>
      </w:r>
      <w:r>
        <w:rPr>
          <w:i/>
          <w:iCs/>
          <w:color w:val="000000" w:themeColor="text1"/>
        </w:rPr>
        <w:t>Heuristics, Biases, and the Importance of Gatekeeping</w:t>
      </w:r>
      <w:r>
        <w:rPr>
          <w:color w:val="000000" w:themeColor="text1"/>
        </w:rPr>
        <w:t xml:space="preserve">, 2003 </w:t>
      </w:r>
      <w:r>
        <w:rPr>
          <w:smallCaps/>
          <w:color w:val="000000" w:themeColor="text1"/>
        </w:rPr>
        <w:t>Mich. St. L. Rev.</w:t>
      </w:r>
      <w:r>
        <w:rPr>
          <w:color w:val="000000" w:themeColor="text1"/>
        </w:rPr>
        <w:t xml:space="preserve"> 987, 1021–22 (2003); Gary Irwin &amp; David Real, </w:t>
      </w:r>
      <w:r>
        <w:rPr>
          <w:i/>
          <w:iCs/>
          <w:color w:val="000000" w:themeColor="text1"/>
        </w:rPr>
        <w:t>Unconscious Influences on Judicial Decision-Making: The Illusion of Objectivity</w:t>
      </w:r>
      <w:r>
        <w:rPr>
          <w:color w:val="000000" w:themeColor="text1"/>
        </w:rPr>
        <w:t xml:space="preserve">, 42 </w:t>
      </w:r>
      <w:r>
        <w:rPr>
          <w:smallCaps/>
          <w:color w:val="000000" w:themeColor="text1"/>
        </w:rPr>
        <w:t>McGeorge L. Rev.</w:t>
      </w:r>
      <w:r>
        <w:rPr>
          <w:color w:val="000000" w:themeColor="text1"/>
        </w:rPr>
        <w:t xml:space="preserve"> 1, 9–10 (2010); Jeffrey J. </w:t>
      </w:r>
      <w:proofErr w:type="spellStart"/>
      <w:r>
        <w:rPr>
          <w:color w:val="000000" w:themeColor="text1"/>
        </w:rPr>
        <w:t>Rachlinski</w:t>
      </w:r>
      <w:proofErr w:type="spellEnd"/>
      <w:r>
        <w:rPr>
          <w:color w:val="000000" w:themeColor="text1"/>
        </w:rPr>
        <w:t xml:space="preserve">, </w:t>
      </w:r>
      <w:r>
        <w:rPr>
          <w:i/>
          <w:iCs/>
          <w:color w:val="000000" w:themeColor="text1"/>
        </w:rPr>
        <w:t>Heuristics and Biases in the Courts: Ignorance or Adaptation?</w:t>
      </w:r>
      <w:r>
        <w:rPr>
          <w:color w:val="000000" w:themeColor="text1"/>
        </w:rPr>
        <w:t xml:space="preserve">, 79 </w:t>
      </w:r>
      <w:r>
        <w:rPr>
          <w:smallCaps/>
          <w:color w:val="000000" w:themeColor="text1"/>
        </w:rPr>
        <w:t>Or. L. Rev.</w:t>
      </w:r>
      <w:r>
        <w:rPr>
          <w:color w:val="000000" w:themeColor="text1"/>
        </w:rPr>
        <w:t xml:space="preserve"> 61, 101–02 (2000); Jeffrey J. </w:t>
      </w:r>
      <w:proofErr w:type="spellStart"/>
      <w:r>
        <w:rPr>
          <w:color w:val="000000" w:themeColor="text1"/>
        </w:rPr>
        <w:t>Rachlinski</w:t>
      </w:r>
      <w:proofErr w:type="spellEnd"/>
      <w:r>
        <w:rPr>
          <w:color w:val="000000" w:themeColor="text1"/>
        </w:rPr>
        <w:t xml:space="preserve"> et al., </w:t>
      </w:r>
      <w:r>
        <w:rPr>
          <w:i/>
          <w:iCs/>
          <w:color w:val="000000" w:themeColor="text1"/>
        </w:rPr>
        <w:t>Can Judges Make Reliable Numeric Judgments? Distorted Damages and Skewed Sentences</w:t>
      </w:r>
      <w:r>
        <w:rPr>
          <w:color w:val="000000" w:themeColor="text1"/>
        </w:rPr>
        <w:t xml:space="preserve">, 90 </w:t>
      </w:r>
      <w:r>
        <w:rPr>
          <w:smallCaps/>
          <w:color w:val="000000" w:themeColor="text1"/>
        </w:rPr>
        <w:t>Ind. L.J.</w:t>
      </w:r>
      <w:r>
        <w:rPr>
          <w:color w:val="000000" w:themeColor="text1"/>
        </w:rPr>
        <w:t xml:space="preserve"> 695, 738–39 (2015); Gary Edmond &amp; Kristy </w:t>
      </w:r>
      <w:proofErr w:type="spellStart"/>
      <w:r>
        <w:rPr>
          <w:color w:val="000000" w:themeColor="text1"/>
        </w:rPr>
        <w:t>Martire</w:t>
      </w:r>
      <w:proofErr w:type="spellEnd"/>
      <w:r>
        <w:rPr>
          <w:color w:val="000000" w:themeColor="text1"/>
        </w:rPr>
        <w:t xml:space="preserve">, </w:t>
      </w:r>
      <w:r>
        <w:rPr>
          <w:i/>
          <w:iCs/>
          <w:color w:val="000000" w:themeColor="text1"/>
        </w:rPr>
        <w:t>Just Cognition: Scientific Research on Bias and Some Implications for Legal Procedure and Decision-Making</w:t>
      </w:r>
      <w:r>
        <w:rPr>
          <w:color w:val="000000" w:themeColor="text1"/>
        </w:rPr>
        <w:t xml:space="preserve">, 82 </w:t>
      </w:r>
      <w:r>
        <w:rPr>
          <w:smallCaps/>
          <w:color w:val="000000" w:themeColor="text1"/>
        </w:rPr>
        <w:t>Mod. L. Rev.</w:t>
      </w:r>
      <w:r>
        <w:rPr>
          <w:color w:val="000000" w:themeColor="text1"/>
        </w:rPr>
        <w:t xml:space="preserve"> 633, 660–61 (2019).</w:t>
      </w:r>
    </w:p>
  </w:footnote>
  <w:footnote w:id="121">
    <w:p w14:paraId="3712FB02" w14:textId="77777777"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R. Krill et al., </w:t>
      </w:r>
      <w:r>
        <w:rPr>
          <w:i/>
          <w:iCs/>
          <w:color w:val="000000" w:themeColor="text1"/>
        </w:rPr>
        <w:t>The Prevalence of Substance Use and Other Mental Health Concerns Among American Attorneys</w:t>
      </w:r>
      <w:r>
        <w:rPr>
          <w:color w:val="000000" w:themeColor="text1"/>
        </w:rPr>
        <w:t xml:space="preserve">, 10 </w:t>
      </w:r>
      <w:r>
        <w:rPr>
          <w:smallCaps/>
          <w:color w:val="000000" w:themeColor="text1"/>
        </w:rPr>
        <w:t>J. Addiction Med</w:t>
      </w:r>
      <w:r>
        <w:rPr>
          <w:color w:val="000000" w:themeColor="text1"/>
        </w:rPr>
        <w:t>. 46, 51 (2016) (reporting that 23% of surveyed attorneys experienced mild or higher levels of stress and that 61% reported career concerns with anxiety).</w:t>
      </w:r>
    </w:p>
  </w:footnote>
  <w:footnote w:id="122">
    <w:p w14:paraId="6E345BC8" w14:textId="77777777" w:rsidR="00FE7D9D"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t>
      </w:r>
      <w:proofErr w:type="spellStart"/>
      <w:r>
        <w:rPr>
          <w:color w:val="000000" w:themeColor="text1"/>
        </w:rPr>
        <w:t>Leipold</w:t>
      </w:r>
      <w:proofErr w:type="spellEnd"/>
      <w:r>
        <w:rPr>
          <w:color w:val="000000" w:themeColor="text1"/>
        </w:rPr>
        <w:t xml:space="preserve">, </w:t>
      </w:r>
      <w:r>
        <w:rPr>
          <w:i/>
          <w:iCs/>
          <w:color w:val="000000" w:themeColor="text1"/>
        </w:rPr>
        <w:t>Incoming Class of 2023 is the Most Diverse Ever, But More Work Remains</w:t>
      </w:r>
      <w:r>
        <w:rPr>
          <w:color w:val="000000" w:themeColor="text1"/>
        </w:rPr>
        <w:t xml:space="preserve">, LSAC (Dec. 15, 2023), https://www.lsac.org/blog/incoming-class-2023-most-diverse-ever-more-work-remains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Melissa H. </w:t>
      </w:r>
      <w:proofErr w:type="spellStart"/>
      <w:r>
        <w:rPr>
          <w:color w:val="000000" w:themeColor="text1"/>
        </w:rPr>
        <w:t>Weresh</w:t>
      </w:r>
      <w:proofErr w:type="spellEnd"/>
      <w:r>
        <w:rPr>
          <w:color w:val="000000" w:themeColor="text1"/>
        </w:rPr>
        <w:t xml:space="preserve">, </w:t>
      </w:r>
      <w:r>
        <w:rPr>
          <w:i/>
          <w:iCs/>
          <w:color w:val="000000" w:themeColor="text1"/>
        </w:rPr>
        <w:t>Hidden Lessons, Unforeseen Consequences: Interrogating the Hidden Curriculum in Legal Education and Its Impact on Students from Historically Underrepresented Groups</w:t>
      </w:r>
      <w:r>
        <w:rPr>
          <w:color w:val="000000" w:themeColor="text1"/>
        </w:rPr>
        <w:t xml:space="preserve">, 75 </w:t>
      </w:r>
      <w:r>
        <w:rPr>
          <w:smallCaps/>
          <w:color w:val="000000" w:themeColor="text1"/>
        </w:rPr>
        <w:t>Ala. L. Rev.</w:t>
      </w:r>
      <w:r>
        <w:rPr>
          <w:color w:val="000000" w:themeColor="text1"/>
        </w:rPr>
        <w:t xml:space="preserve"> 655, 659 (2024); Alexi Freeman &amp; Caley Carlson, </w:t>
      </w:r>
      <w:r>
        <w:rPr>
          <w:i/>
          <w:iCs/>
          <w:color w:val="000000" w:themeColor="text1"/>
        </w:rPr>
        <w:t>Belonging Matters: One School’s Strategy for Fostering Community and Confidence Among Students from Historically Excluded Groups</w:t>
      </w:r>
      <w:r>
        <w:rPr>
          <w:color w:val="000000" w:themeColor="text1"/>
        </w:rPr>
        <w:t xml:space="preserve">, 19 NW. J. L. &amp; </w:t>
      </w:r>
      <w:r>
        <w:rPr>
          <w:smallCaps/>
          <w:color w:val="000000" w:themeColor="text1"/>
        </w:rPr>
        <w:t xml:space="preserve">Soc. </w:t>
      </w:r>
      <w:proofErr w:type="spellStart"/>
      <w:r>
        <w:rPr>
          <w:smallCaps/>
          <w:color w:val="000000" w:themeColor="text1"/>
        </w:rPr>
        <w:t>Pol’y</w:t>
      </w:r>
      <w:proofErr w:type="spellEnd"/>
      <w:r>
        <w:rPr>
          <w:color w:val="000000" w:themeColor="text1"/>
        </w:rPr>
        <w:t xml:space="preserve"> 76, 77 (2023).</w:t>
      </w:r>
    </w:p>
  </w:footnote>
  <w:footnote w:id="123">
    <w:p w14:paraId="69B2029D" w14:textId="77777777"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Weresh</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at 659–60 (collecting scholarly definitions of the hidden curriculum).</w:t>
      </w:r>
    </w:p>
  </w:footnote>
  <w:footnote w:id="124">
    <w:p w14:paraId="6D1B1DB8" w14:textId="77777777" w:rsidR="00B24820" w:rsidRPr="005B3E31" w:rsidRDefault="00B2482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Susan Sturm &amp; Lani Guinier, </w:t>
      </w:r>
      <w:r>
        <w:rPr>
          <w:i/>
          <w:iCs/>
          <w:color w:val="000000" w:themeColor="text1"/>
          <w:sz w:val="20"/>
          <w:szCs w:val="20"/>
        </w:rPr>
        <w:t>The Law School Matrix: Reforming Legal Education in a Culture of Competition and Conformity</w:t>
      </w:r>
      <w:r>
        <w:rPr>
          <w:color w:val="000000" w:themeColor="text1"/>
          <w:sz w:val="20"/>
          <w:szCs w:val="20"/>
        </w:rPr>
        <w:t xml:space="preserve">, 60 </w:t>
      </w:r>
      <w:proofErr w:type="spellStart"/>
      <w:r>
        <w:rPr>
          <w:smallCaps/>
          <w:color w:val="000000" w:themeColor="text1"/>
          <w:sz w:val="20"/>
          <w:szCs w:val="20"/>
        </w:rPr>
        <w:t>Vand</w:t>
      </w:r>
      <w:proofErr w:type="spellEnd"/>
      <w:r>
        <w:rPr>
          <w:smallCaps/>
          <w:color w:val="000000" w:themeColor="text1"/>
          <w:sz w:val="20"/>
          <w:szCs w:val="20"/>
        </w:rPr>
        <w:t>. L. Rev</w:t>
      </w:r>
      <w:r>
        <w:rPr>
          <w:color w:val="000000" w:themeColor="text1"/>
          <w:sz w:val="20"/>
          <w:szCs w:val="20"/>
        </w:rPr>
        <w:t>. 515, 521, 530 (2007) (“[S]</w:t>
      </w:r>
      <w:proofErr w:type="spellStart"/>
      <w:r>
        <w:rPr>
          <w:color w:val="000000" w:themeColor="text1"/>
          <w:sz w:val="20"/>
          <w:szCs w:val="20"/>
        </w:rPr>
        <w:t>tudents</w:t>
      </w:r>
      <w:proofErr w:type="spellEnd"/>
      <w:r>
        <w:rPr>
          <w:color w:val="000000" w:themeColor="text1"/>
          <w:sz w:val="20"/>
          <w:szCs w:val="20"/>
        </w:rPr>
        <w:t xml:space="preserve"> don’t want to take chances either by stepping out of a highly stylized way of interacting or by introducing novel ideas about which they are curious but unsure.”).</w:t>
      </w:r>
    </w:p>
  </w:footnote>
  <w:footnote w:id="125">
    <w:p w14:paraId="44501022" w14:textId="77777777"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Kennon M. Sheldon &amp; Lawrence S. Krieger, </w:t>
      </w:r>
      <w:r>
        <w:rPr>
          <w:i/>
          <w:iCs/>
          <w:color w:val="000000" w:themeColor="text1"/>
        </w:rPr>
        <w:t>Does Legal Education Have Undermining Effects on Law Students? Evaluating Changes in Motivation, Values, and Well-Being</w:t>
      </w:r>
      <w:r>
        <w:rPr>
          <w:color w:val="000000" w:themeColor="text1"/>
        </w:rPr>
        <w:t xml:space="preserve">, 22 </w:t>
      </w:r>
      <w:proofErr w:type="spellStart"/>
      <w:r>
        <w:rPr>
          <w:smallCaps/>
          <w:color w:val="000000" w:themeColor="text1"/>
        </w:rPr>
        <w:t>Behav</w:t>
      </w:r>
      <w:proofErr w:type="spellEnd"/>
      <w:r>
        <w:rPr>
          <w:smallCaps/>
          <w:color w:val="000000" w:themeColor="text1"/>
        </w:rPr>
        <w:t>. Sci</w:t>
      </w:r>
      <w:r>
        <w:rPr>
          <w:color w:val="000000" w:themeColor="text1"/>
        </w:rPr>
        <w:t xml:space="preserve">. &amp; L. 261, 272–73, 275, 281 (2004); </w:t>
      </w:r>
      <w:r>
        <w:rPr>
          <w:i/>
          <w:iCs/>
          <w:color w:val="000000" w:themeColor="text1"/>
        </w:rPr>
        <w:t>see also</w:t>
      </w:r>
      <w:r>
        <w:rPr>
          <w:color w:val="000000" w:themeColor="text1"/>
        </w:rPr>
        <w:t xml:space="preserve"> </w:t>
      </w:r>
      <w:r>
        <w:rPr>
          <w:smallCaps/>
          <w:color w:val="000000" w:themeColor="text1"/>
        </w:rPr>
        <w:t>William M. Sullivan, Anne Colby, Judith Welch Wegner, Lloyd Bond &amp; Lee S. Shulman, Educating Lawyers: Preparation for the Profession of Law</w:t>
      </w:r>
      <w:r>
        <w:rPr>
          <w:color w:val="000000" w:themeColor="text1"/>
        </w:rPr>
        <w:t xml:space="preserve"> 187 (Jossey-Bass 2007).</w:t>
      </w:r>
    </w:p>
  </w:footnote>
  <w:footnote w:id="126">
    <w:p w14:paraId="4E87BE98" w14:textId="77777777" w:rsidR="0077618D" w:rsidRPr="005B3E31" w:rsidRDefault="0077618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Jeffrey Perrin et al., </w:t>
      </w:r>
      <w:r>
        <w:rPr>
          <w:i/>
          <w:iCs/>
          <w:color w:val="000000" w:themeColor="text1"/>
        </w:rPr>
        <w:t>Do Learners Fear More Than Fear Itself: The Role of Fear in Law Students Educational Experiences</w:t>
      </w:r>
      <w:r>
        <w:rPr>
          <w:color w:val="000000" w:themeColor="text1"/>
        </w:rPr>
        <w:t xml:space="preserve">, 2 J. </w:t>
      </w:r>
      <w:r>
        <w:rPr>
          <w:smallCaps/>
          <w:color w:val="000000" w:themeColor="text1"/>
        </w:rPr>
        <w:t>Educ. &amp; Training Stud</w:t>
      </w:r>
      <w:r>
        <w:rPr>
          <w:color w:val="000000" w:themeColor="text1"/>
        </w:rPr>
        <w:t>. 67, 70 (2014) (quoting one of twelve law students interviewed).</w:t>
      </w:r>
    </w:p>
  </w:footnote>
  <w:footnote w:id="127">
    <w:p w14:paraId="48A7A9AE"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Weresh</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xml:space="preserve">, at 676; </w:t>
      </w:r>
      <w:r>
        <w:rPr>
          <w:i/>
          <w:iCs/>
          <w:color w:val="000000" w:themeColor="text1"/>
        </w:rPr>
        <w:t>see also</w:t>
      </w:r>
      <w:r>
        <w:rPr>
          <w:color w:val="000000" w:themeColor="text1"/>
        </w:rPr>
        <w:t xml:space="preserve"> Adam </w:t>
      </w:r>
      <w:proofErr w:type="spellStart"/>
      <w:r>
        <w:rPr>
          <w:color w:val="000000" w:themeColor="text1"/>
        </w:rPr>
        <w:t>Bonica</w:t>
      </w:r>
      <w:proofErr w:type="spellEnd"/>
      <w:r>
        <w:rPr>
          <w:color w:val="000000" w:themeColor="text1"/>
        </w:rPr>
        <w:t xml:space="preserve">, Adam S. Chilton, Kyle </w:t>
      </w:r>
      <w:proofErr w:type="spellStart"/>
      <w:r>
        <w:rPr>
          <w:color w:val="000000" w:themeColor="text1"/>
        </w:rPr>
        <w:t>Rozema</w:t>
      </w:r>
      <w:proofErr w:type="spellEnd"/>
      <w:r>
        <w:rPr>
          <w:color w:val="000000" w:themeColor="text1"/>
        </w:rPr>
        <w:t xml:space="preserve"> &amp; Maya Sen, </w:t>
      </w:r>
      <w:r>
        <w:rPr>
          <w:i/>
          <w:iCs/>
          <w:color w:val="000000" w:themeColor="text1"/>
        </w:rPr>
        <w:t>The Legal Academy’s Ideological Uniformity</w:t>
      </w:r>
      <w:r>
        <w:rPr>
          <w:color w:val="000000" w:themeColor="text1"/>
        </w:rPr>
        <w:t xml:space="preserve">, 47 </w:t>
      </w:r>
      <w:r>
        <w:rPr>
          <w:smallCaps/>
          <w:color w:val="000000" w:themeColor="text1"/>
        </w:rPr>
        <w:t>J. Legal Stud</w:t>
      </w:r>
      <w:r>
        <w:rPr>
          <w:color w:val="000000" w:themeColor="text1"/>
        </w:rPr>
        <w:t xml:space="preserve">. 1, 20–22 (2018); </w:t>
      </w:r>
      <w:r>
        <w:rPr>
          <w:i/>
          <w:iCs/>
          <w:color w:val="000000" w:themeColor="text1"/>
        </w:rPr>
        <w:t>see also</w:t>
      </w:r>
      <w:r>
        <w:rPr>
          <w:color w:val="000000" w:themeColor="text1"/>
        </w:rPr>
        <w:t xml:space="preserve"> James Lindgren, </w:t>
      </w:r>
      <w:r>
        <w:rPr>
          <w:i/>
          <w:iCs/>
          <w:color w:val="000000" w:themeColor="text1"/>
        </w:rPr>
        <w:t>Measuring Diversity: Law Faculties in 1997 and 2013</w:t>
      </w:r>
      <w:r>
        <w:rPr>
          <w:color w:val="000000" w:themeColor="text1"/>
        </w:rPr>
        <w:t xml:space="preserve">, 39 </w:t>
      </w:r>
      <w:r>
        <w:rPr>
          <w:smallCaps/>
          <w:color w:val="000000" w:themeColor="text1"/>
        </w:rPr>
        <w:t xml:space="preserve">Harv. J.L. &amp; Pub. </w:t>
      </w:r>
      <w:proofErr w:type="spellStart"/>
      <w:r>
        <w:rPr>
          <w:smallCaps/>
          <w:color w:val="000000" w:themeColor="text1"/>
        </w:rPr>
        <w:t>Pol’y</w:t>
      </w:r>
      <w:proofErr w:type="spellEnd"/>
      <w:r>
        <w:rPr>
          <w:color w:val="000000" w:themeColor="text1"/>
        </w:rPr>
        <w:t xml:space="preserve"> 89, 144–51 (2016).</w:t>
      </w:r>
    </w:p>
  </w:footnote>
  <w:footnote w:id="128">
    <w:p w14:paraId="63255798"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Conklin, </w:t>
      </w:r>
      <w:r>
        <w:rPr>
          <w:i/>
          <w:iCs/>
          <w:color w:val="000000" w:themeColor="text1"/>
        </w:rPr>
        <w:t>Increasing Ideological Discrimination in Law School Rankings: Measuring the Conservative Penalty and Liberal Bonus with Updated 2024 Rankings Data</w:t>
      </w:r>
      <w:r>
        <w:rPr>
          <w:color w:val="000000" w:themeColor="text1"/>
        </w:rPr>
        <w:t xml:space="preserve">, 16 </w:t>
      </w:r>
      <w:r>
        <w:rPr>
          <w:smallCaps/>
          <w:color w:val="000000" w:themeColor="text1"/>
        </w:rPr>
        <w:t xml:space="preserve">Tenn. J.L. &amp; </w:t>
      </w:r>
      <w:proofErr w:type="spellStart"/>
      <w:r>
        <w:rPr>
          <w:smallCaps/>
          <w:color w:val="000000" w:themeColor="text1"/>
        </w:rPr>
        <w:t>Pol’y</w:t>
      </w:r>
      <w:proofErr w:type="spellEnd"/>
      <w:r>
        <w:rPr>
          <w:color w:val="000000" w:themeColor="text1"/>
        </w:rPr>
        <w:t xml:space="preserve"> 77, 81 (2023).</w:t>
      </w:r>
    </w:p>
  </w:footnote>
  <w:footnote w:id="129">
    <w:p w14:paraId="2A9E44D3"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Jonathan H. Adler, </w:t>
      </w:r>
      <w:r>
        <w:rPr>
          <w:i/>
          <w:iCs/>
          <w:color w:val="000000" w:themeColor="text1"/>
        </w:rPr>
        <w:t>Law School Faculties Need More Intellectual Diversity</w:t>
      </w:r>
      <w:r>
        <w:rPr>
          <w:color w:val="000000" w:themeColor="text1"/>
        </w:rPr>
        <w:t xml:space="preserve">, </w:t>
      </w:r>
      <w:r>
        <w:rPr>
          <w:smallCaps/>
          <w:color w:val="000000" w:themeColor="text1"/>
        </w:rPr>
        <w:t>Martin Ctr</w:t>
      </w:r>
      <w:r>
        <w:rPr>
          <w:color w:val="000000" w:themeColor="text1"/>
        </w:rPr>
        <w:t xml:space="preserve">. (Apr. 12, 2017), https://jamesgmartin.center/2017/04/law-school-faculties-need-intellectual-diversity/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Hand &amp; Frey, </w:t>
      </w:r>
      <w:r>
        <w:rPr>
          <w:i/>
          <w:iCs/>
          <w:color w:val="000000" w:themeColor="text1"/>
        </w:rPr>
        <w:t>infra</w:t>
      </w:r>
      <w:r>
        <w:rPr>
          <w:color w:val="000000" w:themeColor="text1"/>
        </w:rPr>
        <w:t xml:space="preserve"> note 201, at 2.</w:t>
      </w:r>
    </w:p>
  </w:footnote>
  <w:footnote w:id="130">
    <w:p w14:paraId="14C32DFE"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131">
    <w:p w14:paraId="1EC82CDC" w14:textId="77777777" w:rsidR="00357123" w:rsidRPr="005B3E31" w:rsidRDefault="0035712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Keith J. Hand &amp; Komi Frey, </w:t>
      </w:r>
      <w:r>
        <w:rPr>
          <w:i/>
          <w:iCs/>
          <w:color w:val="000000" w:themeColor="text1"/>
        </w:rPr>
        <w:t>Law Schools Must Create a Culture That Promotes Viewpoint Diversity</w:t>
      </w:r>
      <w:r>
        <w:rPr>
          <w:color w:val="000000" w:themeColor="text1"/>
        </w:rPr>
        <w:t xml:space="preserve">, 75 </w:t>
      </w:r>
      <w:r>
        <w:rPr>
          <w:smallCaps/>
          <w:color w:val="000000" w:themeColor="text1"/>
        </w:rPr>
        <w:t>Ala. L. Rev.</w:t>
      </w:r>
      <w:r>
        <w:rPr>
          <w:color w:val="000000" w:themeColor="text1"/>
        </w:rPr>
        <w:t xml:space="preserve"> 1, 1–2 (2024).</w:t>
      </w:r>
    </w:p>
  </w:footnote>
  <w:footnote w:id="132">
    <w:p w14:paraId="006DC79F" w14:textId="4BC4024C"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I; </w:t>
      </w:r>
      <w:r>
        <w:rPr>
          <w:i/>
          <w:iCs/>
          <w:color w:val="000000" w:themeColor="text1"/>
        </w:rPr>
        <w:t>see infra</w:t>
      </w:r>
      <w:r>
        <w:rPr>
          <w:color w:val="000000" w:themeColor="text1"/>
        </w:rPr>
        <w:t xml:space="preserve"> Section V.</w:t>
      </w:r>
    </w:p>
  </w:footnote>
  <w:footnote w:id="133">
    <w:p w14:paraId="0E8FCE1F" w14:textId="77777777" w:rsidR="005A3407" w:rsidRPr="005B3E31" w:rsidRDefault="005A34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Melissa L. </w:t>
      </w:r>
      <w:proofErr w:type="spellStart"/>
      <w:r>
        <w:rPr>
          <w:color w:val="000000" w:themeColor="text1"/>
        </w:rPr>
        <w:t>Breger</w:t>
      </w:r>
      <w:proofErr w:type="spellEnd"/>
      <w:r>
        <w:rPr>
          <w:color w:val="000000" w:themeColor="text1"/>
        </w:rPr>
        <w:t xml:space="preserve">, </w:t>
      </w:r>
      <w:r>
        <w:rPr>
          <w:i/>
          <w:iCs/>
          <w:color w:val="000000" w:themeColor="text1"/>
        </w:rPr>
        <w:t>Making Waves or Keeping the Calm?: Analyzing the Institutional Culture of Family Courts Through the Lens of Social Psychology Groupthink Theory</w:t>
      </w:r>
      <w:r>
        <w:rPr>
          <w:color w:val="000000" w:themeColor="text1"/>
        </w:rPr>
        <w:t xml:space="preserve">, 34 </w:t>
      </w:r>
      <w:r>
        <w:rPr>
          <w:smallCaps/>
          <w:color w:val="000000" w:themeColor="text1"/>
        </w:rPr>
        <w:t>Law &amp; Psych. Rev</w:t>
      </w:r>
      <w:r>
        <w:rPr>
          <w:color w:val="000000" w:themeColor="text1"/>
        </w:rPr>
        <w:t>. 55, 67–78 (2010) (describing how the antecedents for groupthink are present in family Court culture, namely the structural informality of the Court, the “highly cohesive group” of repeat lawyers and judges, and the “provocative situational context” of its crisis-driven cases).</w:t>
      </w:r>
    </w:p>
  </w:footnote>
  <w:footnote w:id="134">
    <w:p w14:paraId="3DE326F2" w14:textId="77777777" w:rsidR="00877173" w:rsidRPr="005B3E31" w:rsidRDefault="0087717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72–73.</w:t>
      </w:r>
    </w:p>
  </w:footnote>
  <w:footnote w:id="135">
    <w:p w14:paraId="4E59F348" w14:textId="77777777" w:rsidR="007417E4" w:rsidRPr="005B3E31" w:rsidRDefault="007417E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Yotam</w:t>
      </w:r>
      <w:proofErr w:type="spellEnd"/>
      <w:r>
        <w:rPr>
          <w:color w:val="000000" w:themeColor="text1"/>
        </w:rPr>
        <w:t xml:space="preserve"> </w:t>
      </w:r>
      <w:proofErr w:type="spellStart"/>
      <w:r>
        <w:rPr>
          <w:color w:val="000000" w:themeColor="text1"/>
        </w:rPr>
        <w:t>Zeira</w:t>
      </w:r>
      <w:proofErr w:type="spellEnd"/>
      <w:r>
        <w:rPr>
          <w:color w:val="000000" w:themeColor="text1"/>
        </w:rPr>
        <w:t>, </w:t>
      </w:r>
      <w:r>
        <w:rPr>
          <w:i/>
          <w:iCs/>
          <w:color w:val="000000" w:themeColor="text1"/>
        </w:rPr>
        <w:t>Disarming the Recollection of the Criminal Defense Attorney</w:t>
      </w:r>
      <w:r>
        <w:rPr>
          <w:color w:val="000000" w:themeColor="text1"/>
        </w:rPr>
        <w:t xml:space="preserve">, 16 </w:t>
      </w:r>
      <w:r>
        <w:rPr>
          <w:smallCaps/>
          <w:color w:val="000000" w:themeColor="text1"/>
        </w:rPr>
        <w:t xml:space="preserve">Cardozo J. Conflict </w:t>
      </w:r>
      <w:proofErr w:type="spellStart"/>
      <w:r>
        <w:rPr>
          <w:smallCaps/>
          <w:color w:val="000000" w:themeColor="text1"/>
        </w:rPr>
        <w:t>Resol</w:t>
      </w:r>
      <w:proofErr w:type="spellEnd"/>
      <w:r>
        <w:rPr>
          <w:color w:val="000000" w:themeColor="text1"/>
        </w:rPr>
        <w:t xml:space="preserve">. 83, 102 (2015); </w:t>
      </w:r>
      <w:r>
        <w:rPr>
          <w:i/>
          <w:iCs/>
          <w:color w:val="000000" w:themeColor="text1"/>
        </w:rPr>
        <w:t>see also</w:t>
      </w:r>
      <w:r>
        <w:rPr>
          <w:color w:val="000000" w:themeColor="text1"/>
        </w:rPr>
        <w:t xml:space="preserve"> Tigran W. Eldred, </w:t>
      </w:r>
      <w:r>
        <w:rPr>
          <w:i/>
          <w:iCs/>
          <w:color w:val="000000" w:themeColor="text1"/>
        </w:rPr>
        <w:t>Prescriptions for Ethical Blindness: Improving Advocacy for Indigent Defendants in Criminal Cases</w:t>
      </w:r>
      <w:r>
        <w:rPr>
          <w:color w:val="000000" w:themeColor="text1"/>
        </w:rPr>
        <w:t xml:space="preserve">, 65 </w:t>
      </w:r>
      <w:r>
        <w:rPr>
          <w:smallCaps/>
          <w:color w:val="000000" w:themeColor="text1"/>
        </w:rPr>
        <w:t>Rutgers L. Rev.</w:t>
      </w:r>
      <w:r>
        <w:rPr>
          <w:color w:val="000000" w:themeColor="text1"/>
        </w:rPr>
        <w:t xml:space="preserve"> 333, 353 (2013).</w:t>
      </w:r>
    </w:p>
  </w:footnote>
  <w:footnote w:id="136">
    <w:p w14:paraId="6BD6FFD3" w14:textId="77777777" w:rsidR="00524787" w:rsidRPr="005B3E31" w:rsidRDefault="00524787"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Jennifer K. </w:t>
      </w:r>
      <w:proofErr w:type="spellStart"/>
      <w:r>
        <w:rPr>
          <w:color w:val="000000" w:themeColor="text1"/>
        </w:rPr>
        <w:t>Robbennolt</w:t>
      </w:r>
      <w:proofErr w:type="spellEnd"/>
      <w:r>
        <w:rPr>
          <w:color w:val="000000" w:themeColor="text1"/>
        </w:rPr>
        <w:t xml:space="preserve"> &amp; Jean R. </w:t>
      </w:r>
      <w:proofErr w:type="spellStart"/>
      <w:r>
        <w:rPr>
          <w:color w:val="000000" w:themeColor="text1"/>
        </w:rPr>
        <w:t>Sternlight</w:t>
      </w:r>
      <w:proofErr w:type="spellEnd"/>
      <w:r>
        <w:rPr>
          <w:color w:val="000000" w:themeColor="text1"/>
        </w:rPr>
        <w:t xml:space="preserve">, </w:t>
      </w:r>
      <w:r>
        <w:rPr>
          <w:i/>
          <w:iCs/>
          <w:color w:val="000000" w:themeColor="text1"/>
        </w:rPr>
        <w:t>Behavioral Legal Ethics</w:t>
      </w:r>
      <w:r>
        <w:rPr>
          <w:color w:val="000000" w:themeColor="text1"/>
        </w:rPr>
        <w:t xml:space="preserve">, </w:t>
      </w:r>
      <w:r>
        <w:rPr>
          <w:smallCaps/>
          <w:color w:val="000000" w:themeColor="text1"/>
        </w:rPr>
        <w:t>45 Ariz. St. L.J.</w:t>
      </w:r>
      <w:r>
        <w:rPr>
          <w:color w:val="000000" w:themeColor="text1"/>
        </w:rPr>
        <w:t xml:space="preserve"> 1107 (2013); </w:t>
      </w:r>
      <w:r>
        <w:rPr>
          <w:i/>
          <w:iCs/>
          <w:color w:val="000000" w:themeColor="text1"/>
        </w:rPr>
        <w:t>see also</w:t>
      </w:r>
      <w:r>
        <w:rPr>
          <w:color w:val="000000" w:themeColor="text1"/>
        </w:rPr>
        <w:t xml:space="preserve"> </w:t>
      </w:r>
      <w:proofErr w:type="spellStart"/>
      <w:r>
        <w:rPr>
          <w:color w:val="000000" w:themeColor="text1"/>
        </w:rPr>
        <w:t>Langevoort</w:t>
      </w:r>
      <w:proofErr w:type="spellEnd"/>
      <w:r>
        <w:rPr>
          <w:color w:val="000000" w:themeColor="text1"/>
        </w:rPr>
        <w:t xml:space="preserve">, </w:t>
      </w:r>
      <w:r>
        <w:rPr>
          <w:i/>
          <w:iCs/>
          <w:color w:val="000000" w:themeColor="text1"/>
        </w:rPr>
        <w:t>infra</w:t>
      </w:r>
      <w:r>
        <w:rPr>
          <w:color w:val="000000" w:themeColor="text1"/>
        </w:rPr>
        <w:t xml:space="preserve"> note 208, at 105–06; Susan Saab Fortney, </w:t>
      </w:r>
      <w:r>
        <w:rPr>
          <w:i/>
          <w:iCs/>
          <w:color w:val="000000" w:themeColor="text1"/>
        </w:rPr>
        <w:t>Soul for Sale: An Empirical Study of Associate Satisfaction, Law Firm Culture, and the Effects of Billable Hour Requirements</w:t>
      </w:r>
      <w:r>
        <w:rPr>
          <w:smallCaps/>
          <w:color w:val="000000" w:themeColor="text1"/>
        </w:rPr>
        <w:t xml:space="preserve">, 69 </w:t>
      </w:r>
      <w:proofErr w:type="spellStart"/>
      <w:r>
        <w:rPr>
          <w:smallCaps/>
          <w:color w:val="000000" w:themeColor="text1"/>
        </w:rPr>
        <w:t>Umk</w:t>
      </w:r>
      <w:r>
        <w:rPr>
          <w:color w:val="000000" w:themeColor="text1"/>
        </w:rPr>
        <w:t>C</w:t>
      </w:r>
      <w:proofErr w:type="spellEnd"/>
      <w:r>
        <w:rPr>
          <w:color w:val="000000" w:themeColor="text1"/>
        </w:rPr>
        <w:t xml:space="preserve"> </w:t>
      </w:r>
      <w:r>
        <w:rPr>
          <w:smallCaps/>
          <w:color w:val="000000" w:themeColor="text1"/>
        </w:rPr>
        <w:t>L. Rev</w:t>
      </w:r>
      <w:r>
        <w:rPr>
          <w:color w:val="000000" w:themeColor="text1"/>
        </w:rPr>
        <w:t>. 239, 254 (2000).</w:t>
      </w:r>
    </w:p>
  </w:footnote>
  <w:footnote w:id="137">
    <w:p w14:paraId="3221265B" w14:textId="77777777" w:rsidR="00953CF7" w:rsidRPr="005B3E31" w:rsidRDefault="00953C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&amp; Thomas Palay, </w:t>
      </w:r>
      <w:r>
        <w:rPr>
          <w:i/>
          <w:iCs/>
          <w:color w:val="000000" w:themeColor="text1"/>
        </w:rPr>
        <w:t>Tournament of Lawyers: The Transformation of the Big Law Firm</w:t>
      </w:r>
      <w:r>
        <w:rPr>
          <w:color w:val="000000" w:themeColor="text1"/>
        </w:rPr>
        <w:t xml:space="preserve"> 2, 120 n.93 (1991). </w:t>
      </w:r>
    </w:p>
  </w:footnote>
  <w:footnote w:id="138">
    <w:p w14:paraId="3CC94FB2" w14:textId="77777777" w:rsidR="00F609F1" w:rsidRPr="005B3E31" w:rsidRDefault="00F609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M. Perlman, </w:t>
      </w:r>
      <w:r>
        <w:rPr>
          <w:i/>
          <w:iCs/>
          <w:color w:val="000000" w:themeColor="text1"/>
        </w:rPr>
        <w:t>A Behavioral Theory of Legal Ethics</w:t>
      </w:r>
      <w:r>
        <w:rPr>
          <w:color w:val="000000" w:themeColor="text1"/>
        </w:rPr>
        <w:t xml:space="preserve">, 90 </w:t>
      </w:r>
      <w:r>
        <w:rPr>
          <w:smallCaps/>
          <w:color w:val="000000" w:themeColor="text1"/>
        </w:rPr>
        <w:t>Ind. L.J</w:t>
      </w:r>
      <w:r>
        <w:rPr>
          <w:color w:val="000000" w:themeColor="text1"/>
        </w:rPr>
        <w:t xml:space="preserve">. 1639, 1664 (2015); </w:t>
      </w:r>
      <w:r>
        <w:rPr>
          <w:i/>
          <w:iCs/>
          <w:color w:val="000000" w:themeColor="text1"/>
        </w:rPr>
        <w:t>see also</w:t>
      </w:r>
      <w:r>
        <w:rPr>
          <w:color w:val="000000" w:themeColor="text1"/>
        </w:rPr>
        <w:t xml:space="preserve"> Donald C. </w:t>
      </w:r>
      <w:proofErr w:type="spellStart"/>
      <w:r>
        <w:rPr>
          <w:color w:val="000000" w:themeColor="text1"/>
        </w:rPr>
        <w:t>Langevoort</w:t>
      </w:r>
      <w:proofErr w:type="spellEnd"/>
      <w:r>
        <w:rPr>
          <w:color w:val="000000" w:themeColor="text1"/>
        </w:rPr>
        <w:t xml:space="preserve">, </w:t>
      </w:r>
      <w:r>
        <w:rPr>
          <w:i/>
          <w:iCs/>
          <w:color w:val="000000" w:themeColor="text1"/>
        </w:rPr>
        <w:t xml:space="preserve">Where Were the Lawyers? A Behavioral Inquiry </w:t>
      </w:r>
      <w:proofErr w:type="gramStart"/>
      <w:r>
        <w:rPr>
          <w:i/>
          <w:iCs/>
          <w:color w:val="000000" w:themeColor="text1"/>
        </w:rPr>
        <w:t>Into</w:t>
      </w:r>
      <w:proofErr w:type="gramEnd"/>
      <w:r>
        <w:rPr>
          <w:i/>
          <w:iCs/>
          <w:color w:val="000000" w:themeColor="text1"/>
        </w:rPr>
        <w:t xml:space="preserve"> Lawyers’ Responsibility for Clients’ Fraud</w:t>
      </w:r>
      <w:r>
        <w:rPr>
          <w:color w:val="000000" w:themeColor="text1"/>
        </w:rPr>
        <w:t xml:space="preserve">, 46 </w:t>
      </w:r>
      <w:proofErr w:type="spellStart"/>
      <w:r>
        <w:rPr>
          <w:smallCaps/>
          <w:color w:val="000000" w:themeColor="text1"/>
        </w:rPr>
        <w:t>Vand</w:t>
      </w:r>
      <w:proofErr w:type="spellEnd"/>
      <w:r>
        <w:rPr>
          <w:smallCaps/>
          <w:color w:val="000000" w:themeColor="text1"/>
        </w:rPr>
        <w:t>. L. Rev.</w:t>
      </w:r>
      <w:r>
        <w:rPr>
          <w:color w:val="000000" w:themeColor="text1"/>
        </w:rPr>
        <w:t xml:space="preserve"> 75, 105–06 (1993).</w:t>
      </w:r>
    </w:p>
  </w:footnote>
  <w:footnote w:id="139">
    <w:p w14:paraId="120322F4" w14:textId="77777777" w:rsidR="00580764" w:rsidRPr="005B3E31" w:rsidRDefault="00580764" w:rsidP="003D74D8">
      <w:pPr>
        <w:pStyle w:val="FootnoteText"/>
        <w:spacing w:line="480" w:lineRule="auto"/>
      </w:pPr>
      <w:r>
        <w:rPr>
          <w:rStyle w:val="FootnoteReference"/>
        </w:rPr>
        <w:footnoteRef/>
      </w:r>
      <w:r>
        <w:t xml:space="preserve"> Marc Galanter, </w:t>
      </w:r>
      <w:r>
        <w:rPr>
          <w:i/>
          <w:iCs/>
        </w:rPr>
        <w:t>Worlds of Deals: Using Negotiation to Teach about Legal Process</w:t>
      </w:r>
      <w:r>
        <w:t xml:space="preserve">, 34 </w:t>
      </w:r>
      <w:r>
        <w:rPr>
          <w:smallCaps/>
        </w:rPr>
        <w:t>J. Legal Educ.</w:t>
      </w:r>
      <w:r>
        <w:t xml:space="preserve"> 268, 268 (1984).</w:t>
      </w:r>
    </w:p>
  </w:footnote>
  <w:footnote w:id="140">
    <w:p w14:paraId="1D60A277" w14:textId="77777777" w:rsidR="000D2CC9" w:rsidRPr="005B3E31" w:rsidRDefault="000D2CC9"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250 (Springer 2011); </w:t>
      </w:r>
      <w:proofErr w:type="spellStart"/>
      <w:r>
        <w:t>Schneyer</w:t>
      </w:r>
      <w:proofErr w:type="spellEnd"/>
      <w:r>
        <w:t>, infra note 209, at 11.</w:t>
      </w:r>
    </w:p>
  </w:footnote>
  <w:footnote w:id="141">
    <w:p w14:paraId="1F456F12" w14:textId="77777777" w:rsidR="000D2CC9" w:rsidRPr="005B3E31" w:rsidRDefault="000D2CC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 M. Kahan, </w:t>
      </w:r>
      <w:r>
        <w:rPr>
          <w:i/>
          <w:iCs/>
          <w:color w:val="000000" w:themeColor="text1"/>
        </w:rPr>
        <w:t>Foreword: Neutral Principles, Motivated Cognition, and Some Problems for Constitutional Law</w:t>
      </w:r>
      <w:r>
        <w:rPr>
          <w:color w:val="000000" w:themeColor="text1"/>
        </w:rPr>
        <w:t xml:space="preserve">, 125 </w:t>
      </w:r>
      <w:r>
        <w:rPr>
          <w:smallCaps/>
          <w:color w:val="000000" w:themeColor="text1"/>
        </w:rPr>
        <w:t>Harv. L. Rev.</w:t>
      </w:r>
      <w:r>
        <w:rPr>
          <w:color w:val="000000" w:themeColor="text1"/>
        </w:rPr>
        <w:t xml:space="preserve"> 1, 20–27 (2011); </w:t>
      </w:r>
      <w:r>
        <w:rPr>
          <w:smallCaps/>
          <w:color w:val="000000" w:themeColor="text1"/>
        </w:rPr>
        <w:t>Micah Zenko, Red Team: How to Succeed by Thinking Like the Enemy</w:t>
      </w:r>
      <w:r>
        <w:rPr>
          <w:color w:val="000000" w:themeColor="text1"/>
        </w:rPr>
        <w:t xml:space="preserve"> 71–76 (2015).</w:t>
      </w:r>
    </w:p>
  </w:footnote>
  <w:footnote w:id="142">
    <w:p w14:paraId="45C2D616" w14:textId="77777777"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Wolfe Morrison &amp; Frances J. Milliken, </w:t>
      </w:r>
      <w:r>
        <w:rPr>
          <w:i/>
          <w:iCs/>
          <w:color w:val="000000" w:themeColor="text1"/>
          <w:sz w:val="20"/>
          <w:szCs w:val="20"/>
        </w:rPr>
        <w:t>Organizational Silence: A Barrier to Change and Development in a Pluralistic World</w:t>
      </w:r>
      <w:r>
        <w:rPr>
          <w:color w:val="000000" w:themeColor="text1"/>
          <w:sz w:val="20"/>
          <w:szCs w:val="20"/>
        </w:rPr>
        <w:t xml:space="preserve">, 25 </w:t>
      </w:r>
      <w:r>
        <w:rPr>
          <w:smallCaps/>
          <w:color w:val="000000" w:themeColor="text1"/>
          <w:sz w:val="20"/>
          <w:szCs w:val="20"/>
        </w:rPr>
        <w:t>Acad. Mgmt. Rev</w:t>
      </w:r>
      <w:r>
        <w:rPr>
          <w:color w:val="000000" w:themeColor="text1"/>
          <w:sz w:val="20"/>
          <w:szCs w:val="20"/>
        </w:rPr>
        <w:t xml:space="preserve">. 707, 721 (2000); </w:t>
      </w:r>
      <w:r>
        <w:rPr>
          <w:smallCaps/>
          <w:color w:val="000000" w:themeColor="text1"/>
          <w:sz w:val="20"/>
          <w:szCs w:val="20"/>
        </w:rPr>
        <w:t>Sunstein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 </w:t>
      </w:r>
      <w:r>
        <w:rPr>
          <w:i/>
          <w:iCs/>
          <w:color w:val="000000" w:themeColor="text1"/>
          <w:sz w:val="20"/>
          <w:szCs w:val="20"/>
        </w:rPr>
        <w:t xml:space="preserve">see also </w:t>
      </w:r>
      <w:r>
        <w:rPr>
          <w:smallCaps/>
          <w:color w:val="000000" w:themeColor="text1"/>
          <w:sz w:val="20"/>
          <w:szCs w:val="20"/>
        </w:rPr>
        <w:t>Scott E. Page, The Difference: How the Power of Diversity Creates Better Groups, Firms, Schools, and Societies</w:t>
      </w:r>
      <w:r>
        <w:rPr>
          <w:color w:val="000000" w:themeColor="text1"/>
          <w:sz w:val="20"/>
          <w:szCs w:val="20"/>
        </w:rPr>
        <w:t xml:space="preserve"> 41–51, 143–45 (2007).</w:t>
      </w:r>
    </w:p>
  </w:footnote>
  <w:footnote w:id="143">
    <w:p w14:paraId="5E9BEDF2" w14:textId="77777777"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Chambliss &amp; David B. Wilkins, </w:t>
      </w:r>
      <w:r>
        <w:rPr>
          <w:i/>
          <w:iCs/>
          <w:color w:val="000000" w:themeColor="text1"/>
          <w:sz w:val="20"/>
          <w:szCs w:val="20"/>
        </w:rPr>
        <w:t>Promoting Effective Ethical Infrastructure in Large Law Firms: A Call for Research and Reporting</w:t>
      </w:r>
      <w:r>
        <w:rPr>
          <w:color w:val="000000" w:themeColor="text1"/>
          <w:sz w:val="20"/>
          <w:szCs w:val="20"/>
        </w:rPr>
        <w:t xml:space="preserve">, 30 </w:t>
      </w:r>
      <w:r>
        <w:rPr>
          <w:smallCaps/>
          <w:color w:val="000000" w:themeColor="text1"/>
          <w:sz w:val="20"/>
          <w:szCs w:val="20"/>
        </w:rPr>
        <w:t>Hofstra L. Rev</w:t>
      </w:r>
      <w:r>
        <w:rPr>
          <w:color w:val="000000" w:themeColor="text1"/>
          <w:sz w:val="20"/>
          <w:szCs w:val="20"/>
        </w:rPr>
        <w:t>. 691, 699, 701 (2002) (reporting surveyed lawyers’ own assessments).</w:t>
      </w:r>
    </w:p>
  </w:footnote>
  <w:footnote w:id="144">
    <w:p w14:paraId="1F044298" w14:textId="77777777"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Deborah L. Rhode, </w:t>
      </w:r>
      <w:r>
        <w:rPr>
          <w:i/>
          <w:iCs/>
          <w:color w:val="000000" w:themeColor="text1"/>
          <w:sz w:val="20"/>
          <w:szCs w:val="20"/>
        </w:rPr>
        <w:t>Leadership in Law</w:t>
      </w:r>
      <w:r>
        <w:rPr>
          <w:color w:val="000000" w:themeColor="text1"/>
          <w:sz w:val="20"/>
          <w:szCs w:val="20"/>
        </w:rPr>
        <w:t xml:space="preserve">, 69 </w:t>
      </w:r>
      <w:r>
        <w:rPr>
          <w:smallCaps/>
          <w:color w:val="000000" w:themeColor="text1"/>
          <w:sz w:val="20"/>
          <w:szCs w:val="20"/>
        </w:rPr>
        <w:t>Stan. L. Rev</w:t>
      </w:r>
      <w:r>
        <w:rPr>
          <w:color w:val="000000" w:themeColor="text1"/>
          <w:sz w:val="20"/>
          <w:szCs w:val="20"/>
        </w:rPr>
        <w:t>. 1603, 1636 (2017) (quoting Kouzes &amp; Posner).</w:t>
      </w:r>
    </w:p>
  </w:footnote>
  <w:footnote w:id="145">
    <w:p w14:paraId="017B875B"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Ted </w:t>
      </w:r>
      <w:proofErr w:type="spellStart"/>
      <w:r>
        <w:rPr>
          <w:color w:val="000000" w:themeColor="text1"/>
          <w:sz w:val="20"/>
          <w:szCs w:val="20"/>
        </w:rPr>
        <w:t>Schneyer</w:t>
      </w:r>
      <w:proofErr w:type="spellEnd"/>
      <w:r>
        <w:rPr>
          <w:color w:val="000000" w:themeColor="text1"/>
          <w:sz w:val="20"/>
          <w:szCs w:val="20"/>
        </w:rPr>
        <w:t xml:space="preserve">, </w:t>
      </w:r>
      <w:r>
        <w:rPr>
          <w:i/>
          <w:iCs/>
          <w:color w:val="000000" w:themeColor="text1"/>
          <w:sz w:val="20"/>
          <w:szCs w:val="20"/>
        </w:rPr>
        <w:t>Professional Discipline for Law Firms</w:t>
      </w:r>
      <w:r>
        <w:rPr>
          <w:color w:val="000000" w:themeColor="text1"/>
          <w:sz w:val="20"/>
          <w:szCs w:val="20"/>
        </w:rPr>
        <w:t xml:space="preserve">, 77 </w:t>
      </w:r>
      <w:r>
        <w:rPr>
          <w:smallCaps/>
          <w:color w:val="000000" w:themeColor="text1"/>
          <w:sz w:val="20"/>
          <w:szCs w:val="20"/>
        </w:rPr>
        <w:t>Cornell L. Rev.</w:t>
      </w:r>
      <w:r>
        <w:rPr>
          <w:color w:val="000000" w:themeColor="text1"/>
          <w:sz w:val="20"/>
          <w:szCs w:val="20"/>
        </w:rPr>
        <w:t xml:space="preserve"> 1, 10–11 (1991).</w:t>
      </w:r>
    </w:p>
  </w:footnote>
  <w:footnote w:id="146">
    <w:p w14:paraId="7B046221"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119–22.</w:t>
      </w:r>
    </w:p>
  </w:footnote>
  <w:footnote w:id="147">
    <w:p w14:paraId="72359568" w14:textId="77777777" w:rsidR="003C5683" w:rsidRPr="005B3E31" w:rsidRDefault="003C56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Michels, </w:t>
      </w:r>
      <w:r>
        <w:rPr>
          <w:i/>
          <w:iCs/>
          <w:color w:val="000000" w:themeColor="text1"/>
        </w:rPr>
        <w:t>infra</w:t>
      </w:r>
      <w:r>
        <w:rPr>
          <w:color w:val="000000" w:themeColor="text1"/>
        </w:rPr>
        <w:t xml:space="preserve"> note 212; </w:t>
      </w:r>
      <w:r>
        <w:rPr>
          <w:i/>
          <w:iCs/>
          <w:color w:val="000000" w:themeColor="text1"/>
        </w:rPr>
        <w:t>see also</w:t>
      </w:r>
      <w:r>
        <w:rPr>
          <w:color w:val="000000" w:themeColor="text1"/>
        </w:rPr>
        <w:t xml:space="preserve"> </w:t>
      </w:r>
      <w:proofErr w:type="spellStart"/>
      <w:r>
        <w:rPr>
          <w:color w:val="000000" w:themeColor="text1"/>
        </w:rPr>
        <w:t>Langevoort</w:t>
      </w:r>
      <w:proofErr w:type="spellEnd"/>
      <w:r>
        <w:rPr>
          <w:color w:val="000000" w:themeColor="text1"/>
        </w:rPr>
        <w:t xml:space="preserve">, </w:t>
      </w:r>
      <w:r>
        <w:rPr>
          <w:i/>
          <w:iCs/>
          <w:color w:val="000000" w:themeColor="text1"/>
        </w:rPr>
        <w:t>supra</w:t>
      </w:r>
      <w:r>
        <w:rPr>
          <w:color w:val="000000" w:themeColor="text1"/>
        </w:rPr>
        <w:t xml:space="preserve"> note 208.</w:t>
      </w:r>
    </w:p>
  </w:footnote>
  <w:footnote w:id="148">
    <w:p w14:paraId="0CB1A11C"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Kevin H. Michels, </w:t>
      </w:r>
      <w:r>
        <w:rPr>
          <w:i/>
          <w:iCs/>
          <w:color w:val="000000" w:themeColor="text1"/>
          <w:sz w:val="20"/>
          <w:szCs w:val="20"/>
        </w:rPr>
        <w:t>Lawyer Independence: From Ideal to Viable Legal Standard</w:t>
      </w:r>
      <w:r>
        <w:rPr>
          <w:color w:val="000000" w:themeColor="text1"/>
          <w:sz w:val="20"/>
          <w:szCs w:val="20"/>
        </w:rPr>
        <w:t xml:space="preserve">, 61 </w:t>
      </w:r>
      <w:r>
        <w:rPr>
          <w:smallCaps/>
          <w:color w:val="000000" w:themeColor="text1"/>
          <w:sz w:val="20"/>
          <w:szCs w:val="20"/>
        </w:rPr>
        <w:t xml:space="preserve">Case W. </w:t>
      </w:r>
      <w:proofErr w:type="spellStart"/>
      <w:r>
        <w:rPr>
          <w:smallCaps/>
          <w:color w:val="000000" w:themeColor="text1"/>
          <w:sz w:val="20"/>
          <w:szCs w:val="20"/>
        </w:rPr>
        <w:t>Rsrv</w:t>
      </w:r>
      <w:proofErr w:type="spellEnd"/>
      <w:r>
        <w:rPr>
          <w:smallCaps/>
          <w:color w:val="000000" w:themeColor="text1"/>
          <w:sz w:val="20"/>
          <w:szCs w:val="20"/>
        </w:rPr>
        <w:t>. L. Rev.</w:t>
      </w:r>
      <w:r>
        <w:rPr>
          <w:color w:val="000000" w:themeColor="text1"/>
          <w:sz w:val="20"/>
          <w:szCs w:val="20"/>
        </w:rPr>
        <w:t xml:space="preserve"> 85, 113–14 (2010).</w:t>
      </w:r>
    </w:p>
  </w:footnote>
  <w:footnote w:id="149">
    <w:p w14:paraId="157E590F"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Sullivan, </w:t>
      </w:r>
      <w:r>
        <w:rPr>
          <w:i/>
          <w:iCs/>
          <w:color w:val="000000" w:themeColor="text1"/>
        </w:rPr>
        <w:t>Reforming the Office of Legal Counsel</w:t>
      </w:r>
      <w:r>
        <w:rPr>
          <w:color w:val="000000" w:themeColor="text1"/>
        </w:rPr>
        <w:t xml:space="preserve">, 35 </w:t>
      </w:r>
      <w:r>
        <w:rPr>
          <w:smallCaps/>
          <w:color w:val="000000" w:themeColor="text1"/>
        </w:rPr>
        <w:t xml:space="preserve">Notre Dame J.L. Ethics &amp; Pub. </w:t>
      </w:r>
      <w:proofErr w:type="spellStart"/>
      <w:r>
        <w:rPr>
          <w:smallCaps/>
          <w:color w:val="000000" w:themeColor="text1"/>
        </w:rPr>
        <w:t>Pol’y</w:t>
      </w:r>
      <w:proofErr w:type="spellEnd"/>
      <w:r>
        <w:rPr>
          <w:color w:val="000000" w:themeColor="text1"/>
        </w:rPr>
        <w:t xml:space="preserve"> 723, 729 (2021); </w:t>
      </w:r>
      <w:r>
        <w:rPr>
          <w:i/>
          <w:iCs/>
          <w:color w:val="000000" w:themeColor="text1"/>
        </w:rPr>
        <w:t>see also</w:t>
      </w:r>
      <w:r>
        <w:rPr>
          <w:color w:val="000000" w:themeColor="text1"/>
        </w:rPr>
        <w:t xml:space="preserve"> Harold </w:t>
      </w:r>
      <w:proofErr w:type="spellStart"/>
      <w:r>
        <w:rPr>
          <w:color w:val="000000" w:themeColor="text1"/>
        </w:rPr>
        <w:t>Hongju</w:t>
      </w:r>
      <w:proofErr w:type="spellEnd"/>
      <w:r>
        <w:rPr>
          <w:color w:val="000000" w:themeColor="text1"/>
        </w:rPr>
        <w:t xml:space="preserve"> Koh, </w:t>
      </w:r>
      <w:r>
        <w:rPr>
          <w:i/>
          <w:iCs/>
          <w:color w:val="000000" w:themeColor="text1"/>
        </w:rPr>
        <w:t>Protecting the Office of Legal Counsel from Itself</w:t>
      </w:r>
      <w:r>
        <w:rPr>
          <w:color w:val="000000" w:themeColor="text1"/>
        </w:rPr>
        <w:t xml:space="preserve">, 15 </w:t>
      </w:r>
      <w:r>
        <w:rPr>
          <w:smallCaps/>
          <w:color w:val="000000" w:themeColor="text1"/>
        </w:rPr>
        <w:t>Cardozo L. Rev.</w:t>
      </w:r>
      <w:r>
        <w:rPr>
          <w:color w:val="000000" w:themeColor="text1"/>
        </w:rPr>
        <w:t xml:space="preserve"> 513, 515 (1993).</w:t>
      </w:r>
    </w:p>
  </w:footnote>
  <w:footnote w:id="150">
    <w:p w14:paraId="2B2B5C88" w14:textId="77777777" w:rsidR="009B7B63" w:rsidRPr="005B3E31" w:rsidRDefault="009B7B63" w:rsidP="003D74D8">
      <w:pPr>
        <w:pStyle w:val="FootnoteText"/>
        <w:spacing w:line="480" w:lineRule="auto"/>
        <w:rPr>
          <w:color w:val="000000" w:themeColor="text1"/>
        </w:rPr>
      </w:pPr>
      <w:r>
        <w:rPr>
          <w:rStyle w:val="FootnoteReference"/>
          <w:color w:val="000000" w:themeColor="text1"/>
        </w:rPr>
        <w:footnoteRef/>
      </w:r>
      <w:r>
        <w:rPr>
          <w:color w:val="000000" w:themeColor="text1"/>
        </w:rPr>
        <w:t> </w:t>
      </w:r>
      <w:r>
        <w:rPr>
          <w:i/>
          <w:iCs/>
          <w:color w:val="000000" w:themeColor="text1"/>
        </w:rPr>
        <w:t>A Very Costly UCC Filing Error</w:t>
      </w:r>
      <w:r>
        <w:rPr>
          <w:color w:val="000000" w:themeColor="text1"/>
        </w:rPr>
        <w:t xml:space="preserve">, </w:t>
      </w:r>
      <w:r>
        <w:rPr>
          <w:smallCaps/>
          <w:color w:val="000000" w:themeColor="text1"/>
        </w:rPr>
        <w:t>Capitol Servs. LLC</w:t>
      </w:r>
      <w:r>
        <w:rPr>
          <w:color w:val="000000" w:themeColor="text1"/>
        </w:rPr>
        <w:t xml:space="preserve"> (2025), https://www.capitolservices.com/a-very-costly-ucc-filing-error/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Joe Patrice, </w:t>
      </w:r>
      <w:r>
        <w:rPr>
          <w:i/>
          <w:iCs/>
          <w:color w:val="000000" w:themeColor="text1"/>
        </w:rPr>
        <w:t xml:space="preserve">Mayer Brown &amp; Simpson </w:t>
      </w:r>
      <w:proofErr w:type="spellStart"/>
      <w:r>
        <w:rPr>
          <w:i/>
          <w:iCs/>
          <w:color w:val="000000" w:themeColor="text1"/>
        </w:rPr>
        <w:t>Thacher</w:t>
      </w:r>
      <w:proofErr w:type="spellEnd"/>
      <w:r>
        <w:rPr>
          <w:i/>
          <w:iCs/>
          <w:color w:val="000000" w:themeColor="text1"/>
        </w:rPr>
        <w:t xml:space="preserve"> Make Epic Screwup</w:t>
      </w:r>
      <w:r>
        <w:rPr>
          <w:color w:val="000000" w:themeColor="text1"/>
        </w:rPr>
        <w:t xml:space="preserve">, </w:t>
      </w:r>
      <w:r>
        <w:rPr>
          <w:smallCaps/>
          <w:color w:val="000000" w:themeColor="text1"/>
        </w:rPr>
        <w:t>Above the Law</w:t>
      </w:r>
      <w:r>
        <w:rPr>
          <w:color w:val="000000" w:themeColor="text1"/>
        </w:rPr>
        <w:t xml:space="preserve"> (Jan. 21, 2015, at 15:03 </w:t>
      </w:r>
      <w:r>
        <w:rPr>
          <w:smallCaps/>
          <w:color w:val="000000" w:themeColor="text1"/>
        </w:rPr>
        <w:t>Est</w:t>
      </w:r>
      <w:r>
        <w:rPr>
          <w:color w:val="000000" w:themeColor="text1"/>
        </w:rPr>
        <w:t xml:space="preserve">), http://abovethelaw.com/2015/01/mayer-brown-simpson-thacher-make-epic-screwup/ [create </w:t>
      </w:r>
      <w:proofErr w:type="spellStart"/>
      <w:r>
        <w:rPr>
          <w:color w:val="000000" w:themeColor="text1"/>
        </w:rPr>
        <w:t>perma</w:t>
      </w:r>
      <w:proofErr w:type="spellEnd"/>
      <w:r>
        <w:rPr>
          <w:color w:val="000000" w:themeColor="text1"/>
        </w:rPr>
        <w:t xml:space="preserve"> link].</w:t>
      </w:r>
    </w:p>
  </w:footnote>
  <w:footnote w:id="151">
    <w:p w14:paraId="39899D35" w14:textId="7777777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Motors Liquidation Co., 777 F.3d 100, 105 (2d Cir. 2015); </w:t>
      </w:r>
      <w:r>
        <w:rPr>
          <w:i/>
          <w:iCs/>
          <w:color w:val="000000" w:themeColor="text1"/>
        </w:rPr>
        <w:t>see also</w:t>
      </w:r>
      <w:r>
        <w:rPr>
          <w:color w:val="000000" w:themeColor="text1"/>
        </w:rPr>
        <w:t> Tom Hals, </w:t>
      </w:r>
      <w:r>
        <w:rPr>
          <w:i/>
          <w:iCs/>
          <w:color w:val="000000" w:themeColor="text1"/>
        </w:rPr>
        <w:t>U.S. Court Says JPMorgan Must Live with $1.5 Billion Paperwork Error</w:t>
      </w:r>
      <w:r>
        <w:rPr>
          <w:color w:val="000000" w:themeColor="text1"/>
        </w:rPr>
        <w:t xml:space="preserve">, </w:t>
      </w:r>
      <w:r>
        <w:rPr>
          <w:smallCaps/>
          <w:color w:val="000000" w:themeColor="text1"/>
        </w:rPr>
        <w:t>Reuters</w:t>
      </w:r>
      <w:r>
        <w:rPr>
          <w:color w:val="000000" w:themeColor="text1"/>
        </w:rPr>
        <w:t xml:space="preserve"> (Jan. 21, 2015, at 1:14 PM EST), https://www.reuters.com/article/business/us-court-says-jpmorgan-must-live-with-15-billion-paperwork-error-idUSKBN0KU2AY/ [create </w:t>
      </w:r>
      <w:proofErr w:type="spellStart"/>
      <w:r>
        <w:rPr>
          <w:color w:val="000000" w:themeColor="text1"/>
        </w:rPr>
        <w:t>perma</w:t>
      </w:r>
      <w:proofErr w:type="spellEnd"/>
      <w:r>
        <w:rPr>
          <w:color w:val="000000" w:themeColor="text1"/>
        </w:rPr>
        <w:t xml:space="preserve"> link].</w:t>
      </w:r>
    </w:p>
  </w:footnote>
  <w:footnote w:id="152">
    <w:p w14:paraId="6F60BEE3" w14:textId="7777777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In re</w:t>
      </w:r>
      <w:r>
        <w:rPr>
          <w:color w:val="000000" w:themeColor="text1"/>
        </w:rPr>
        <w:t xml:space="preserve"> Motors Liquidation Co., 777 F.3d at 102, 105. </w:t>
      </w:r>
    </w:p>
  </w:footnote>
  <w:footnote w:id="153">
    <w:p w14:paraId="6D87F2FD" w14:textId="7777777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102. </w:t>
      </w:r>
    </w:p>
  </w:footnote>
  <w:footnote w:id="154">
    <w:p w14:paraId="1381BCBD"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Mandatory Board Diversity</w:t>
      </w:r>
      <w:r>
        <w:rPr>
          <w:color w:val="000000" w:themeColor="text1"/>
        </w:rPr>
        <w:t xml:space="preserve">, 16 </w:t>
      </w:r>
      <w:r>
        <w:rPr>
          <w:smallCaps/>
          <w:color w:val="000000" w:themeColor="text1"/>
        </w:rPr>
        <w:t xml:space="preserve">Harv. L. &amp; </w:t>
      </w:r>
      <w:proofErr w:type="spellStart"/>
      <w:r>
        <w:rPr>
          <w:smallCaps/>
          <w:color w:val="000000" w:themeColor="text1"/>
        </w:rPr>
        <w:t>Pol’y</w:t>
      </w:r>
      <w:proofErr w:type="spellEnd"/>
      <w:r>
        <w:rPr>
          <w:smallCaps/>
          <w:color w:val="000000" w:themeColor="text1"/>
        </w:rPr>
        <w:t xml:space="preserve"> Rev</w:t>
      </w:r>
      <w:r>
        <w:rPr>
          <w:color w:val="000000" w:themeColor="text1"/>
        </w:rPr>
        <w:t>. 245, 280 (2022).</w:t>
      </w:r>
    </w:p>
  </w:footnote>
  <w:footnote w:id="155">
    <w:p w14:paraId="733256A1"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Howard,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_Ref214115161 \h  \* MERGEFORMAT </w:instrText>
      </w:r>
      <w:r>
        <w:rPr>
          <w:color w:val="000000" w:themeColor="text1"/>
        </w:rPr>
      </w:r>
      <w:r>
        <w:rPr>
          <w:color w:val="000000" w:themeColor="text1"/>
        </w:rPr>
        <w:fldChar w:fldCharType="separate"/>
      </w:r>
      <w:r>
        <w:rPr>
          <w:color w:val="000000" w:themeColor="text1"/>
        </w:rPr>
        <w:t>223</w:t>
      </w:r>
      <w:r>
        <w:rPr>
          <w:color w:val="000000" w:themeColor="text1"/>
        </w:rPr>
        <w:fldChar w:fldCharType="end"/>
      </w:r>
      <w:r>
        <w:rPr>
          <w:color w:val="000000" w:themeColor="text1"/>
        </w:rPr>
        <w:t>, at 428.</w:t>
      </w:r>
    </w:p>
  </w:footnote>
  <w:footnote w:id="156">
    <w:p w14:paraId="6D3252A0"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Steven A. Ramirez, </w:t>
      </w:r>
      <w:r>
        <w:rPr>
          <w:i/>
          <w:iCs/>
          <w:color w:val="000000" w:themeColor="text1"/>
          <w:sz w:val="20"/>
          <w:szCs w:val="20"/>
        </w:rPr>
        <w:t xml:space="preserve">A Flaw in the Sarbanes-Oxley Reform: Can Diversity in the Boardroom Quell Corporate </w:t>
      </w:r>
      <w:proofErr w:type="gramStart"/>
      <w:r>
        <w:rPr>
          <w:i/>
          <w:iCs/>
          <w:color w:val="000000" w:themeColor="text1"/>
          <w:sz w:val="20"/>
          <w:szCs w:val="20"/>
        </w:rPr>
        <w:t>Corruption?</w:t>
      </w:r>
      <w:r>
        <w:rPr>
          <w:color w:val="000000" w:themeColor="text1"/>
          <w:sz w:val="20"/>
          <w:szCs w:val="20"/>
        </w:rPr>
        <w:t>,</w:t>
      </w:r>
      <w:proofErr w:type="gramEnd"/>
      <w:r>
        <w:rPr>
          <w:color w:val="000000" w:themeColor="text1"/>
          <w:sz w:val="20"/>
          <w:szCs w:val="20"/>
        </w:rPr>
        <w:t xml:space="preserve"> 77 </w:t>
      </w:r>
      <w:r>
        <w:rPr>
          <w:smallCaps/>
          <w:color w:val="000000" w:themeColor="text1"/>
          <w:sz w:val="20"/>
          <w:szCs w:val="20"/>
        </w:rPr>
        <w:t>St. John’s L. Rev</w:t>
      </w:r>
      <w:r>
        <w:rPr>
          <w:color w:val="000000" w:themeColor="text1"/>
          <w:sz w:val="20"/>
          <w:szCs w:val="20"/>
        </w:rPr>
        <w:t xml:space="preserve">. 837, 857 (2003); Marleen A. O’Connor, </w:t>
      </w:r>
      <w:r>
        <w:rPr>
          <w:i/>
          <w:iCs/>
          <w:color w:val="000000" w:themeColor="text1"/>
          <w:sz w:val="20"/>
          <w:szCs w:val="20"/>
        </w:rPr>
        <w:t>The Enron Board: The Perils of Groupthink</w:t>
      </w:r>
      <w:r>
        <w:rPr>
          <w:color w:val="000000" w:themeColor="text1"/>
          <w:sz w:val="20"/>
          <w:szCs w:val="20"/>
        </w:rPr>
        <w:t xml:space="preserve">, 71 </w:t>
      </w:r>
      <w:r>
        <w:rPr>
          <w:smallCaps/>
          <w:color w:val="000000" w:themeColor="text1"/>
          <w:sz w:val="20"/>
          <w:szCs w:val="20"/>
        </w:rPr>
        <w:t>U. Cin. L. Rev.</w:t>
      </w:r>
      <w:r>
        <w:rPr>
          <w:color w:val="000000" w:themeColor="text1"/>
          <w:sz w:val="20"/>
          <w:szCs w:val="20"/>
        </w:rPr>
        <w:t xml:space="preserve"> 1233, 1261–62, 1265–66 (2003).</w:t>
      </w:r>
    </w:p>
  </w:footnote>
  <w:footnote w:id="157">
    <w:p w14:paraId="3E98B2CB"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Enron Corp., Final Report of Neal Batson, Court-Appointed Examiner 115–19 (2003); Deborah L. Rhode &amp; Paul D. Paton, </w:t>
      </w:r>
      <w:r>
        <w:rPr>
          <w:i/>
          <w:iCs/>
          <w:color w:val="000000" w:themeColor="text1"/>
        </w:rPr>
        <w:t>Lawyers, Ethics, and Enron</w:t>
      </w:r>
      <w:r>
        <w:rPr>
          <w:color w:val="000000" w:themeColor="text1"/>
        </w:rPr>
        <w:t xml:space="preserve">, 8 </w:t>
      </w:r>
      <w:r>
        <w:rPr>
          <w:smallCaps/>
          <w:color w:val="000000" w:themeColor="text1"/>
        </w:rPr>
        <w:t>Stan. J.L. Bus. &amp; Fin</w:t>
      </w:r>
      <w:r>
        <w:rPr>
          <w:color w:val="000000" w:themeColor="text1"/>
        </w:rPr>
        <w:t>. 9, 32 (2002).</w:t>
      </w:r>
    </w:p>
  </w:footnote>
  <w:footnote w:id="158">
    <w:p w14:paraId="030FFA87"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Larry E. </w:t>
      </w:r>
      <w:proofErr w:type="spellStart"/>
      <w:r>
        <w:rPr>
          <w:color w:val="000000" w:themeColor="text1"/>
        </w:rPr>
        <w:t>Ribstein</w:t>
      </w:r>
      <w:proofErr w:type="spellEnd"/>
      <w:r>
        <w:rPr>
          <w:color w:val="000000" w:themeColor="text1"/>
        </w:rPr>
        <w:t xml:space="preserve">, </w:t>
      </w:r>
      <w:r>
        <w:rPr>
          <w:i/>
          <w:iCs/>
          <w:color w:val="000000" w:themeColor="text1"/>
        </w:rPr>
        <w:t>Market vs. Regulatory Responses to Corporate Fraud: A Critique of the Sarbanes-Oxley Act of 2002</w:t>
      </w:r>
      <w:r>
        <w:rPr>
          <w:color w:val="000000" w:themeColor="text1"/>
        </w:rPr>
        <w:t xml:space="preserve">, 28 J. </w:t>
      </w:r>
      <w:r>
        <w:rPr>
          <w:smallCaps/>
          <w:color w:val="000000" w:themeColor="text1"/>
        </w:rPr>
        <w:t>Corp. L</w:t>
      </w:r>
      <w:r>
        <w:rPr>
          <w:color w:val="000000" w:themeColor="text1"/>
        </w:rPr>
        <w:t xml:space="preserve">. 1, 52 (2002); </w:t>
      </w:r>
      <w:r>
        <w:rPr>
          <w:i/>
          <w:iCs/>
          <w:color w:val="000000" w:themeColor="text1"/>
        </w:rPr>
        <w:t>but see</w:t>
      </w:r>
      <w:r>
        <w:rPr>
          <w:color w:val="000000" w:themeColor="text1"/>
        </w:rPr>
        <w:t xml:space="preserve"> John C. Coates IV &amp; Suraj Srinivasan, </w:t>
      </w:r>
      <w:r>
        <w:rPr>
          <w:i/>
          <w:iCs/>
          <w:color w:val="000000" w:themeColor="text1"/>
        </w:rPr>
        <w:t>SOX After Ten Years: A Multidisciplinary Review</w:t>
      </w:r>
      <w:r>
        <w:rPr>
          <w:color w:val="000000" w:themeColor="text1"/>
        </w:rPr>
        <w:t xml:space="preserve">, </w:t>
      </w:r>
      <w:r>
        <w:rPr>
          <w:smallCaps/>
          <w:color w:val="000000" w:themeColor="text1"/>
        </w:rPr>
        <w:t>28 Acct. Horizons</w:t>
      </w:r>
      <w:r>
        <w:rPr>
          <w:color w:val="000000" w:themeColor="text1"/>
        </w:rPr>
        <w:t xml:space="preserve"> 1 (2014) (reviewing 120-plus studies and concluding that “research on the Act’s net social welfare remains inconclusive”); Roberta Romano, </w:t>
      </w:r>
      <w:r>
        <w:rPr>
          <w:i/>
          <w:iCs/>
          <w:color w:val="000000" w:themeColor="text1"/>
        </w:rPr>
        <w:t>The Sarbanes-Oxley Act and the Making of Quack Corporate Governance</w:t>
      </w:r>
      <w:r>
        <w:rPr>
          <w:color w:val="000000" w:themeColor="text1"/>
        </w:rPr>
        <w:t xml:space="preserve">, 114 </w:t>
      </w:r>
      <w:r>
        <w:rPr>
          <w:smallCaps/>
          <w:color w:val="000000" w:themeColor="text1"/>
        </w:rPr>
        <w:t>Yale L.J.</w:t>
      </w:r>
      <w:r>
        <w:rPr>
          <w:color w:val="000000" w:themeColor="text1"/>
        </w:rPr>
        <w:t xml:space="preserve"> 1521, 1528, 1543 (2005).</w:t>
      </w:r>
    </w:p>
  </w:footnote>
  <w:footnote w:id="159">
    <w:p w14:paraId="170ACC49"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Howard, </w:t>
      </w:r>
      <w:r>
        <w:rPr>
          <w:i/>
          <w:iCs/>
          <w:color w:val="000000" w:themeColor="text1"/>
        </w:rPr>
        <w:t xml:space="preserve">Groupthink and Corporate Governance Reform: Changing the Formal and Informal </w:t>
      </w:r>
      <w:proofErr w:type="spellStart"/>
      <w:r>
        <w:rPr>
          <w:i/>
          <w:iCs/>
          <w:color w:val="000000" w:themeColor="text1"/>
        </w:rPr>
        <w:t>Decisionmaking</w:t>
      </w:r>
      <w:proofErr w:type="spellEnd"/>
      <w:r>
        <w:rPr>
          <w:i/>
          <w:iCs/>
          <w:color w:val="000000" w:themeColor="text1"/>
        </w:rPr>
        <w:t xml:space="preserve"> Processes of Corporate Boards</w:t>
      </w:r>
      <w:r>
        <w:rPr>
          <w:color w:val="000000" w:themeColor="text1"/>
        </w:rPr>
        <w:t xml:space="preserve">, 20 </w:t>
      </w:r>
      <w:r>
        <w:rPr>
          <w:smallCaps/>
          <w:color w:val="000000" w:themeColor="text1"/>
        </w:rPr>
        <w:t xml:space="preserve">S. Cal. </w:t>
      </w:r>
      <w:proofErr w:type="spellStart"/>
      <w:r>
        <w:rPr>
          <w:smallCaps/>
          <w:color w:val="000000" w:themeColor="text1"/>
        </w:rPr>
        <w:t>Interdisc</w:t>
      </w:r>
      <w:proofErr w:type="spellEnd"/>
      <w:r>
        <w:rPr>
          <w:smallCaps/>
          <w:color w:val="000000" w:themeColor="text1"/>
        </w:rPr>
        <w:t>. L.J.</w:t>
      </w:r>
      <w:r>
        <w:rPr>
          <w:color w:val="000000" w:themeColor="text1"/>
        </w:rPr>
        <w:t xml:space="preserve"> 425, 450–51 (2011).</w:t>
      </w:r>
    </w:p>
  </w:footnote>
  <w:footnote w:id="160">
    <w:p w14:paraId="144BCBB0"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E. </w:t>
      </w:r>
      <w:proofErr w:type="spellStart"/>
      <w:r>
        <w:rPr>
          <w:color w:val="000000" w:themeColor="text1"/>
        </w:rPr>
        <w:t>Wilmarth</w:t>
      </w:r>
      <w:proofErr w:type="spellEnd"/>
      <w:r>
        <w:rPr>
          <w:color w:val="000000" w:themeColor="text1"/>
        </w:rPr>
        <w:t xml:space="preserve">, Jr., </w:t>
      </w:r>
      <w:r>
        <w:rPr>
          <w:i/>
          <w:iCs/>
          <w:color w:val="000000" w:themeColor="text1"/>
        </w:rPr>
        <w:t>Citigroup: A Case Study in Managerial and Regulatory Failures</w:t>
      </w:r>
      <w:r>
        <w:rPr>
          <w:color w:val="000000" w:themeColor="text1"/>
        </w:rPr>
        <w:t xml:space="preserve">, 47 </w:t>
      </w:r>
      <w:r>
        <w:rPr>
          <w:smallCaps/>
          <w:color w:val="000000" w:themeColor="text1"/>
        </w:rPr>
        <w:t>Ind. L. Rev.</w:t>
      </w:r>
      <w:r>
        <w:rPr>
          <w:color w:val="000000" w:themeColor="text1"/>
        </w:rPr>
        <w:t xml:space="preserve"> 69, 92–94 (2013). </w:t>
      </w:r>
    </w:p>
  </w:footnote>
  <w:footnote w:id="161">
    <w:p w14:paraId="3AD1EE23"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Note,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_Ref214115202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218</w:t>
      </w:r>
      <w:r>
        <w:rPr>
          <w:color w:val="000000" w:themeColor="text1"/>
          <w:sz w:val="20"/>
          <w:szCs w:val="20"/>
        </w:rPr>
        <w:fldChar w:fldCharType="end"/>
      </w:r>
      <w:r>
        <w:rPr>
          <w:color w:val="000000" w:themeColor="text1"/>
          <w:sz w:val="20"/>
          <w:szCs w:val="20"/>
        </w:rPr>
        <w:t>, at 281.</w:t>
      </w:r>
    </w:p>
  </w:footnote>
  <w:footnote w:id="162">
    <w:p w14:paraId="22A98E55" w14:textId="77777777"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Gonzales v. Carhart, 550 U.S. 124, 168–69 (2007) (Thomas, J., concurring); </w:t>
      </w:r>
      <w:r>
        <w:rPr>
          <w:i/>
          <w:iCs/>
          <w:color w:val="000000" w:themeColor="text1"/>
        </w:rPr>
        <w:t>see also</w:t>
      </w:r>
      <w:r>
        <w:rPr>
          <w:color w:val="000000" w:themeColor="text1"/>
        </w:rPr>
        <w:t xml:space="preserve"> Keith S. Alexander, </w:t>
      </w:r>
      <w:r>
        <w:rPr>
          <w:i/>
          <w:iCs/>
          <w:color w:val="000000" w:themeColor="text1"/>
        </w:rPr>
        <w:t>Federalism, Abortion, and the Original Meaning of the Fourteenth Amendment Enforcement Power: Can Congress Ban Partial-Birth Abortion After Carhart?</w:t>
      </w:r>
      <w:r>
        <w:rPr>
          <w:color w:val="000000" w:themeColor="text1"/>
        </w:rPr>
        <w:t xml:space="preserve">, 13 </w:t>
      </w:r>
      <w:r>
        <w:rPr>
          <w:smallCaps/>
          <w:color w:val="000000" w:themeColor="text1"/>
        </w:rPr>
        <w:t>Tex. Rev. L. &amp; Pol</w:t>
      </w:r>
      <w:r>
        <w:rPr>
          <w:color w:val="000000" w:themeColor="text1"/>
        </w:rPr>
        <w:t>. 107, 107–08 (2008) (noting also that “it is difficult to say for sure why the opponents of the PBABA failed to raise the Commerce Clause question,” and suggesting a possible concern about the Freedom of Access to Clinic Entrances Act).</w:t>
      </w:r>
    </w:p>
  </w:footnote>
  <w:footnote w:id="163">
    <w:p w14:paraId="5DC60FA5" w14:textId="77777777"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Alexander,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_Ref214113360 \h  \* MERGEFORMAT </w:instrText>
      </w:r>
      <w:r>
        <w:rPr>
          <w:color w:val="000000" w:themeColor="text1"/>
        </w:rPr>
      </w:r>
      <w:r>
        <w:rPr>
          <w:color w:val="000000" w:themeColor="text1"/>
        </w:rPr>
        <w:fldChar w:fldCharType="separate"/>
      </w:r>
      <w:r>
        <w:rPr>
          <w:color w:val="000000" w:themeColor="text1"/>
        </w:rPr>
        <w:t>226</w:t>
      </w:r>
      <w:r>
        <w:rPr>
          <w:color w:val="000000" w:themeColor="text1"/>
        </w:rPr>
        <w:fldChar w:fldCharType="end"/>
      </w:r>
      <w:r>
        <w:rPr>
          <w:color w:val="000000" w:themeColor="text1"/>
        </w:rPr>
        <w:t>, at 107–08.</w:t>
      </w:r>
    </w:p>
  </w:footnote>
  <w:footnote w:id="164">
    <w:p w14:paraId="125312B2" w14:textId="77777777" w:rsidR="0087149D" w:rsidRPr="005B3E31" w:rsidRDefault="0087149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Regents of Univ. of California v. Bakke</w:t>
      </w:r>
      <w:r>
        <w:rPr>
          <w:color w:val="000000" w:themeColor="text1"/>
        </w:rPr>
        <w:t>, 438 U.S. 265, 316 (1978)</w:t>
      </w:r>
    </w:p>
  </w:footnote>
  <w:footnote w:id="165">
    <w:p w14:paraId="180103C5"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Scott L. Cummings, </w:t>
      </w:r>
      <w:r>
        <w:rPr>
          <w:i/>
          <w:iCs/>
          <w:color w:val="000000" w:themeColor="text1"/>
        </w:rPr>
        <w:t>Why Do Lawyers Attack the Rule of Law? Trajectories of “Trump Lawyers”</w:t>
      </w:r>
      <w:r>
        <w:rPr>
          <w:color w:val="000000" w:themeColor="text1"/>
        </w:rPr>
        <w:t xml:space="preserve">, 32 </w:t>
      </w:r>
      <w:r>
        <w:rPr>
          <w:smallCaps/>
          <w:color w:val="000000" w:themeColor="text1"/>
        </w:rPr>
        <w:t>Int’l J. Legal Prof</w:t>
      </w:r>
      <w:r>
        <w:rPr>
          <w:color w:val="000000" w:themeColor="text1"/>
        </w:rPr>
        <w:t xml:space="preserve">. 19, 20 (2025); Marc Elias, </w:t>
      </w:r>
      <w:r>
        <w:rPr>
          <w:i/>
          <w:iCs/>
          <w:color w:val="000000" w:themeColor="text1"/>
        </w:rPr>
        <w:t>Trump, Five Lawyers and Their Conspiracy Against Our Democracy</w:t>
      </w:r>
      <w:r>
        <w:rPr>
          <w:color w:val="000000" w:themeColor="text1"/>
        </w:rPr>
        <w:t xml:space="preserve">, </w:t>
      </w:r>
      <w:r>
        <w:rPr>
          <w:smallCaps/>
          <w:color w:val="000000" w:themeColor="text1"/>
        </w:rPr>
        <w:t>Democracy Docket</w:t>
      </w:r>
      <w:r>
        <w:rPr>
          <w:color w:val="000000" w:themeColor="text1"/>
        </w:rPr>
        <w:t xml:space="preserve"> (Aug. 2, 2023), https://www.democracydocket.com/opinion/trump-five-lawyers-and-their-conspiracy-against-our-democracy/ [create </w:t>
      </w:r>
      <w:proofErr w:type="spellStart"/>
      <w:r>
        <w:rPr>
          <w:color w:val="000000" w:themeColor="text1"/>
        </w:rPr>
        <w:t>perma</w:t>
      </w:r>
      <w:proofErr w:type="spellEnd"/>
      <w:r>
        <w:rPr>
          <w:color w:val="000000" w:themeColor="text1"/>
        </w:rPr>
        <w:t xml:space="preserve"> link].</w:t>
      </w:r>
    </w:p>
  </w:footnote>
  <w:footnote w:id="166">
    <w:p w14:paraId="79FA4C84"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Elias, </w:t>
      </w:r>
      <w:r>
        <w:rPr>
          <w:i/>
          <w:iCs/>
          <w:color w:val="000000" w:themeColor="text1"/>
        </w:rPr>
        <w:t>supra</w:t>
      </w:r>
      <w:r>
        <w:rPr>
          <w:color w:val="000000" w:themeColor="text1"/>
        </w:rPr>
        <w:t xml:space="preserve"> note 229 (quoting a Dec. 8, </w:t>
      </w:r>
      <w:proofErr w:type="gramStart"/>
      <w:r>
        <w:rPr>
          <w:color w:val="000000" w:themeColor="text1"/>
        </w:rPr>
        <w:t>2020</w:t>
      </w:r>
      <w:proofErr w:type="gramEnd"/>
      <w:r>
        <w:rPr>
          <w:color w:val="000000" w:themeColor="text1"/>
        </w:rPr>
        <w:t xml:space="preserve"> message from Jason Miller to Trump); </w:t>
      </w:r>
      <w:r>
        <w:rPr>
          <w:i/>
          <w:iCs/>
          <w:color w:val="000000" w:themeColor="text1"/>
        </w:rPr>
        <w:t>see also</w:t>
      </w:r>
      <w:r>
        <w:rPr>
          <w:color w:val="000000" w:themeColor="text1"/>
        </w:rPr>
        <w:t xml:space="preserve"> Aaron Blake, </w:t>
      </w:r>
      <w:r>
        <w:rPr>
          <w:i/>
          <w:iCs/>
          <w:color w:val="000000" w:themeColor="text1"/>
        </w:rPr>
        <w:t>Trump’s Legal Team Lights a Fuse Beneath Its Remaining Credibility</w:t>
      </w:r>
      <w:r>
        <w:rPr>
          <w:color w:val="000000" w:themeColor="text1"/>
        </w:rPr>
        <w:t xml:space="preserve">, </w:t>
      </w:r>
      <w:r>
        <w:rPr>
          <w:smallCaps/>
          <w:color w:val="000000" w:themeColor="text1"/>
        </w:rPr>
        <w:t>Wash. Post</w:t>
      </w:r>
      <w:r>
        <w:rPr>
          <w:color w:val="000000" w:themeColor="text1"/>
        </w:rPr>
        <w:t xml:space="preserve"> (Nov. 19, 2020), https://www.washingtonpost.com/politics/2020/11/19/trumps-legal-team-lights-fuse-beneath-its-remaining-credibility/ [create </w:t>
      </w:r>
      <w:proofErr w:type="spellStart"/>
      <w:r>
        <w:rPr>
          <w:color w:val="000000" w:themeColor="text1"/>
        </w:rPr>
        <w:t>perma</w:t>
      </w:r>
      <w:proofErr w:type="spellEnd"/>
      <w:r>
        <w:rPr>
          <w:color w:val="000000" w:themeColor="text1"/>
        </w:rPr>
        <w:t xml:space="preserve"> link].</w:t>
      </w:r>
    </w:p>
  </w:footnote>
  <w:footnote w:id="167">
    <w:p w14:paraId="12566DC0"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Cummings, </w:t>
      </w:r>
      <w:r>
        <w:rPr>
          <w:i/>
          <w:iCs/>
          <w:color w:val="000000" w:themeColor="text1"/>
        </w:rPr>
        <w:t>supra</w:t>
      </w:r>
      <w:r>
        <w:rPr>
          <w:color w:val="000000" w:themeColor="text1"/>
        </w:rPr>
        <w:t xml:space="preserve"> note 229, at 24, 26. </w:t>
      </w:r>
    </w:p>
  </w:footnote>
  <w:footnote w:id="168">
    <w:p w14:paraId="18BD13BA"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Josh </w:t>
      </w:r>
      <w:proofErr w:type="spellStart"/>
      <w:r>
        <w:rPr>
          <w:color w:val="000000" w:themeColor="text1"/>
        </w:rPr>
        <w:t>Dawsey</w:t>
      </w:r>
      <w:proofErr w:type="spellEnd"/>
      <w:r>
        <w:rPr>
          <w:color w:val="000000" w:themeColor="text1"/>
        </w:rPr>
        <w:t xml:space="preserve">, Tom Hamburger &amp; Amy Gardner, </w:t>
      </w:r>
      <w:r>
        <w:rPr>
          <w:i/>
          <w:iCs/>
          <w:color w:val="000000" w:themeColor="text1"/>
        </w:rPr>
        <w:t>Trump’s Legal Team Exited After He Insisted Impeachment Defense Focus on False Claims of Election Fraud</w:t>
      </w:r>
      <w:r>
        <w:rPr>
          <w:color w:val="000000" w:themeColor="text1"/>
        </w:rPr>
        <w:t xml:space="preserve">, </w:t>
      </w:r>
      <w:r>
        <w:rPr>
          <w:smallCaps/>
          <w:color w:val="000000" w:themeColor="text1"/>
        </w:rPr>
        <w:t>Wash. Post</w:t>
      </w:r>
      <w:r>
        <w:rPr>
          <w:color w:val="000000" w:themeColor="text1"/>
        </w:rPr>
        <w:t xml:space="preserve"> (Jan. 31, 2021), https://www.washingtonpost.com/politics/trumps-legal-team-exited-after-he-insisted-impeachment-defense-focus-be-on-false-claims-of-election-fraud/2021/01/31/5af05d04–63e9-11eb-8c64–9595888caa15_story.html [create </w:t>
      </w:r>
      <w:proofErr w:type="spellStart"/>
      <w:r>
        <w:rPr>
          <w:color w:val="000000" w:themeColor="text1"/>
        </w:rPr>
        <w:t>perma</w:t>
      </w:r>
      <w:proofErr w:type="spellEnd"/>
      <w:r>
        <w:rPr>
          <w:color w:val="000000" w:themeColor="text1"/>
        </w:rPr>
        <w:t xml:space="preserve"> link].</w:t>
      </w:r>
    </w:p>
  </w:footnote>
  <w:footnote w:id="169">
    <w:p w14:paraId="28AA8A28"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King v. Whitmer, 556 F. Supp. 3d 680 (E.D. Mich. 2021); Cummings, </w:t>
      </w:r>
      <w:r>
        <w:rPr>
          <w:i/>
          <w:iCs/>
          <w:color w:val="000000" w:themeColor="text1"/>
        </w:rPr>
        <w:t>supra</w:t>
      </w:r>
      <w:r>
        <w:rPr>
          <w:color w:val="000000" w:themeColor="text1"/>
        </w:rPr>
        <w:t xml:space="preserve"> note 229, at 20; Elias, </w:t>
      </w:r>
      <w:r>
        <w:rPr>
          <w:i/>
          <w:iCs/>
          <w:color w:val="000000" w:themeColor="text1"/>
        </w:rPr>
        <w:t>supra</w:t>
      </w:r>
      <w:r>
        <w:rPr>
          <w:color w:val="000000" w:themeColor="text1"/>
        </w:rPr>
        <w:t xml:space="preserve"> note 229; </w:t>
      </w:r>
      <w:r>
        <w:rPr>
          <w:i/>
          <w:iCs/>
          <w:color w:val="000000" w:themeColor="text1"/>
        </w:rPr>
        <w:t>Results of Lawsuits Regarding the 2020 Elections</w:t>
      </w:r>
      <w:r>
        <w:rPr>
          <w:color w:val="000000" w:themeColor="text1"/>
        </w:rPr>
        <w:t xml:space="preserve">, </w:t>
      </w:r>
      <w:r>
        <w:rPr>
          <w:smallCaps/>
          <w:color w:val="000000" w:themeColor="text1"/>
        </w:rPr>
        <w:t>Campaign Legal Ctr</w:t>
      </w:r>
      <w:r>
        <w:rPr>
          <w:color w:val="000000" w:themeColor="text1"/>
        </w:rPr>
        <w:t xml:space="preserve"> (2021), https://campaignlegal.org/results-lawsuits-regarding-2020-elections [create </w:t>
      </w:r>
      <w:proofErr w:type="spellStart"/>
      <w:r>
        <w:rPr>
          <w:color w:val="000000" w:themeColor="text1"/>
        </w:rPr>
        <w:t>perma</w:t>
      </w:r>
      <w:proofErr w:type="spellEnd"/>
      <w:r>
        <w:rPr>
          <w:color w:val="000000" w:themeColor="text1"/>
        </w:rPr>
        <w:t xml:space="preserve"> link]; Peter A. Joy &amp; Kevin C. </w:t>
      </w:r>
      <w:proofErr w:type="spellStart"/>
      <w:r>
        <w:rPr>
          <w:color w:val="000000" w:themeColor="text1"/>
        </w:rPr>
        <w:t>McMunigal</w:t>
      </w:r>
      <w:proofErr w:type="spellEnd"/>
      <w:r>
        <w:rPr>
          <w:color w:val="000000" w:themeColor="text1"/>
        </w:rPr>
        <w:t xml:space="preserve">, </w:t>
      </w:r>
      <w:r>
        <w:rPr>
          <w:i/>
          <w:iCs/>
          <w:color w:val="000000" w:themeColor="text1"/>
        </w:rPr>
        <w:t>Ethics Penalties for Trump’s “Stop the Steal” Lawyers</w:t>
      </w:r>
      <w:r>
        <w:rPr>
          <w:color w:val="000000" w:themeColor="text1"/>
        </w:rPr>
        <w:t xml:space="preserve">, </w:t>
      </w:r>
      <w:r>
        <w:rPr>
          <w:smallCaps/>
          <w:color w:val="000000" w:themeColor="text1"/>
        </w:rPr>
        <w:t xml:space="preserve">Aba </w:t>
      </w:r>
      <w:r>
        <w:rPr>
          <w:color w:val="000000" w:themeColor="text1"/>
        </w:rPr>
        <w:t xml:space="preserve">(April 16, 2025), https://www.americanbar.org/groups/criminal_justice/resources/magazine/2025-spring/ethics-penalties-trumps-stop-steal-lawyers/ [create </w:t>
      </w:r>
      <w:proofErr w:type="spellStart"/>
      <w:r>
        <w:rPr>
          <w:color w:val="000000" w:themeColor="text1"/>
        </w:rPr>
        <w:t>perma</w:t>
      </w:r>
      <w:proofErr w:type="spellEnd"/>
      <w:r>
        <w:rPr>
          <w:color w:val="000000" w:themeColor="text1"/>
        </w:rPr>
        <w:t xml:space="preserve"> link]; Alan Neff &amp; Caroline Fredrickson, </w:t>
      </w:r>
      <w:r>
        <w:rPr>
          <w:i/>
          <w:iCs/>
          <w:color w:val="000000" w:themeColor="text1"/>
        </w:rPr>
        <w:t>Trump’s Lawyers Face Sanctions, Discipline, and Indictment – How Should the Legal Profession Respond?</w:t>
      </w:r>
      <w:r>
        <w:rPr>
          <w:color w:val="000000" w:themeColor="text1"/>
        </w:rPr>
        <w:t xml:space="preserve">, </w:t>
      </w:r>
      <w:r>
        <w:rPr>
          <w:smallCaps/>
          <w:color w:val="000000" w:themeColor="text1"/>
        </w:rPr>
        <w:t>Just Sec</w:t>
      </w:r>
      <w:r>
        <w:rPr>
          <w:color w:val="000000" w:themeColor="text1"/>
        </w:rPr>
        <w:t xml:space="preserve">. (Dec. 6, 2023), https://www.justsecurity.org/90509/trumps-lawyers-face-sanctions-discipline-and-indictment-how-should-the-legal-profession-respond/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Rosalind S. </w:t>
      </w:r>
      <w:proofErr w:type="spellStart"/>
      <w:r>
        <w:rPr>
          <w:color w:val="000000" w:themeColor="text1"/>
        </w:rPr>
        <w:t>Helderman</w:t>
      </w:r>
      <w:proofErr w:type="spellEnd"/>
      <w:r>
        <w:rPr>
          <w:color w:val="000000" w:themeColor="text1"/>
        </w:rPr>
        <w:t xml:space="preserve">, </w:t>
      </w:r>
      <w:r>
        <w:rPr>
          <w:i/>
          <w:iCs/>
          <w:color w:val="000000" w:themeColor="text1"/>
        </w:rPr>
        <w:t>Federal Judge in Michigan Orders Pro-Trump Lawyers Disciplined Over Election Lawsuit</w:t>
      </w:r>
      <w:r>
        <w:rPr>
          <w:color w:val="000000" w:themeColor="text1"/>
        </w:rPr>
        <w:t xml:space="preserve">, </w:t>
      </w:r>
      <w:r>
        <w:rPr>
          <w:smallCaps/>
          <w:color w:val="000000" w:themeColor="text1"/>
        </w:rPr>
        <w:t>Wash. Post</w:t>
      </w:r>
      <w:r>
        <w:rPr>
          <w:color w:val="000000" w:themeColor="text1"/>
        </w:rPr>
        <w:t xml:space="preserve"> (Aug. 25, 2021), https://www.washingtonpost.com/politics/federal-judge-in-michigan-orders-pro-trump-lawyers-disciplined-over-lawsuit-seeking-to-overturn-2020-election/2021/08/25/16bbe7b2-05f0-11ec-a654–900a78538242_story.html [create </w:t>
      </w:r>
      <w:proofErr w:type="spellStart"/>
      <w:r>
        <w:rPr>
          <w:color w:val="000000" w:themeColor="text1"/>
        </w:rPr>
        <w:t>perma</w:t>
      </w:r>
      <w:proofErr w:type="spellEnd"/>
      <w:r>
        <w:rPr>
          <w:color w:val="000000" w:themeColor="text1"/>
        </w:rPr>
        <w:t xml:space="preserve"> link].</w:t>
      </w:r>
    </w:p>
  </w:footnote>
  <w:footnote w:id="170">
    <w:p w14:paraId="3182F43A" w14:textId="3998E94A"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I.A; </w:t>
      </w:r>
      <w:r>
        <w:rPr>
          <w:i/>
          <w:iCs/>
          <w:color w:val="000000" w:themeColor="text1"/>
        </w:rPr>
        <w:t>see infra</w:t>
      </w:r>
      <w:r>
        <w:rPr>
          <w:color w:val="000000" w:themeColor="text1"/>
        </w:rPr>
        <w:t xml:space="preserve"> Section IV.</w:t>
      </w:r>
    </w:p>
  </w:footnote>
  <w:footnote w:id="171">
    <w:p w14:paraId="07E02ACB" w14:textId="3A3A80E4"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III</w:t>
      </w:r>
      <w:proofErr w:type="gramEnd"/>
      <w:r>
        <w:rPr>
          <w:color w:val="000000" w:themeColor="text1"/>
        </w:rPr>
        <w:t>.B.</w:t>
      </w:r>
    </w:p>
  </w:footnote>
  <w:footnote w:id="172">
    <w:p w14:paraId="3DD6596E" w14:textId="77777777" w:rsidR="00F91E85" w:rsidRPr="005B3E31" w:rsidRDefault="00F91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Original Meanings: Politics and Ideas in the Making of the Constitution</w:t>
      </w:r>
      <w:r>
        <w:rPr>
          <w:color w:val="000000" w:themeColor="text1"/>
        </w:rPr>
        <w:t xml:space="preserve"> 131–47 (Alfred A. Knopf, 1996) (contrasting the “calm deliberation” Federalists attributed to the Philadelphia Convention with the “views, passions and prejudices little favorable to the discovery of truth” they expected of the public ratification debate).</w:t>
      </w:r>
    </w:p>
  </w:footnote>
  <w:footnote w:id="173">
    <w:p w14:paraId="6331A6D4" w14:textId="77777777" w:rsidR="00E25A3F" w:rsidRPr="005B3E31" w:rsidRDefault="00E25A3F"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Richard Beeman, Plain, Honest Men: The Making of the American Constitution</w:t>
      </w:r>
      <w:r>
        <w:rPr>
          <w:color w:val="000000" w:themeColor="text1"/>
          <w:sz w:val="20"/>
          <w:szCs w:val="20"/>
        </w:rPr>
        <w:t xml:space="preserve"> 65 (2009).</w:t>
      </w:r>
    </w:p>
  </w:footnote>
  <w:footnote w:id="174">
    <w:p w14:paraId="02D9F301"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65–66.</w:t>
      </w:r>
    </w:p>
  </w:footnote>
  <w:footnote w:id="175">
    <w:p w14:paraId="7E4C149F"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Fred </w:t>
      </w:r>
      <w:proofErr w:type="spellStart"/>
      <w:r>
        <w:rPr>
          <w:smallCaps/>
          <w:color w:val="000000" w:themeColor="text1"/>
        </w:rPr>
        <w:t>Barbash</w:t>
      </w:r>
      <w:proofErr w:type="spellEnd"/>
      <w:r>
        <w:rPr>
          <w:smallCaps/>
          <w:color w:val="000000" w:themeColor="text1"/>
        </w:rPr>
        <w:t>, The Founding: A Dramatic Account of the Writing of the Constitution</w:t>
      </w:r>
      <w:r>
        <w:rPr>
          <w:color w:val="000000" w:themeColor="text1"/>
        </w:rPr>
        <w:t xml:space="preserve"> 47 (1987); </w:t>
      </w:r>
      <w:r>
        <w:rPr>
          <w:i/>
          <w:iCs/>
          <w:color w:val="000000" w:themeColor="text1"/>
        </w:rPr>
        <w:t>see also</w:t>
      </w:r>
      <w:r>
        <w:rPr>
          <w:color w:val="000000" w:themeColor="text1"/>
        </w:rPr>
        <w:t xml:space="preserve"> Derek A. Webb, </w:t>
      </w:r>
      <w:r>
        <w:rPr>
          <w:i/>
          <w:iCs/>
          <w:color w:val="000000" w:themeColor="text1"/>
        </w:rPr>
        <w:t>The Original Meaning of Civility: Democratic Deliberation at the Philadelphia Constitutional Convention</w:t>
      </w:r>
      <w:r>
        <w:rPr>
          <w:color w:val="000000" w:themeColor="text1"/>
        </w:rPr>
        <w:t xml:space="preserve">, 64 </w:t>
      </w:r>
      <w:r>
        <w:rPr>
          <w:smallCaps/>
          <w:color w:val="000000" w:themeColor="text1"/>
        </w:rPr>
        <w:t>S.C. L. Rev</w:t>
      </w:r>
      <w:r>
        <w:rPr>
          <w:color w:val="000000" w:themeColor="text1"/>
        </w:rPr>
        <w:t>. 183, 193 (2012).</w:t>
      </w:r>
    </w:p>
  </w:footnote>
  <w:footnote w:id="176">
    <w:p w14:paraId="47C01ED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Hart,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_Ref214111358 \h  \* MERGEFORMAT </w:instrText>
      </w:r>
      <w:r>
        <w:rPr>
          <w:color w:val="000000" w:themeColor="text1"/>
        </w:rPr>
      </w:r>
      <w:r>
        <w:rPr>
          <w:color w:val="000000" w:themeColor="text1"/>
        </w:rPr>
        <w:fldChar w:fldCharType="separate"/>
      </w:r>
      <w:r>
        <w:rPr>
          <w:color w:val="000000" w:themeColor="text1"/>
        </w:rPr>
        <w:t>168</w:t>
      </w:r>
      <w:r>
        <w:rPr>
          <w:color w:val="000000" w:themeColor="text1"/>
        </w:rPr>
        <w:fldChar w:fldCharType="end"/>
      </w:r>
      <w:r>
        <w:rPr>
          <w:color w:val="000000" w:themeColor="text1"/>
        </w:rPr>
        <w:t>, at 257 fig.1.</w:t>
      </w:r>
    </w:p>
  </w:footnote>
  <w:footnote w:id="177">
    <w:p w14:paraId="306CBB8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The Records of the Federal Convention of 1787, at 15 &amp; n.2 (Max </w:t>
      </w:r>
      <w:proofErr w:type="spellStart"/>
      <w:r>
        <w:rPr>
          <w:smallCaps/>
          <w:color w:val="000000" w:themeColor="text1"/>
        </w:rPr>
        <w:t>Farrand</w:t>
      </w:r>
      <w:proofErr w:type="spellEnd"/>
      <w:r>
        <w:rPr>
          <w:smallCaps/>
          <w:color w:val="000000" w:themeColor="text1"/>
        </w:rPr>
        <w:t xml:space="preserve"> ed., rev. ed. 1937)</w:t>
      </w:r>
      <w:r>
        <w:rPr>
          <w:color w:val="000000" w:themeColor="text1"/>
        </w:rPr>
        <w:t xml:space="preserve"> [hereinafter </w:t>
      </w:r>
      <w:proofErr w:type="spellStart"/>
      <w:r>
        <w:rPr>
          <w:smallCaps/>
          <w:color w:val="000000" w:themeColor="text1"/>
        </w:rPr>
        <w:t>Farrand’s</w:t>
      </w:r>
      <w:proofErr w:type="spellEnd"/>
      <w:r>
        <w:rPr>
          <w:smallCaps/>
          <w:color w:val="000000" w:themeColor="text1"/>
        </w:rPr>
        <w:t xml:space="preserve"> Records</w:t>
      </w:r>
      <w:r>
        <w:rPr>
          <w:color w:val="000000" w:themeColor="text1"/>
        </w:rPr>
        <w:t>].</w:t>
      </w:r>
    </w:p>
  </w:footnote>
  <w:footnote w:id="178">
    <w:p w14:paraId="56623F0B"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A Politician Thinking: The Creative Mind of James Madison</w:t>
      </w:r>
      <w:r>
        <w:rPr>
          <w:color w:val="000000" w:themeColor="text1"/>
        </w:rPr>
        <w:t xml:space="preserve"> 42 (University of Oklahoma Press, 2017).</w:t>
      </w:r>
    </w:p>
  </w:footnote>
  <w:footnote w:id="179">
    <w:p w14:paraId="12197A8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192; </w:t>
      </w:r>
      <w:r>
        <w:rPr>
          <w:smallCaps/>
          <w:color w:val="000000" w:themeColor="text1"/>
        </w:rPr>
        <w:t>Michael J. Klarman, The Framers’ Coup: The Making of the United States Constitution</w:t>
      </w:r>
      <w:r>
        <w:rPr>
          <w:color w:val="000000" w:themeColor="text1"/>
        </w:rPr>
        <w:t xml:space="preserve"> 126 (Oxford Univ. Press, 2016).</w:t>
      </w:r>
    </w:p>
  </w:footnote>
  <w:footnote w:id="180">
    <w:p w14:paraId="767DD48B"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17–18; Klarman, supra note 243, at 73–75;</w:t>
      </w:r>
      <w:r>
        <w:rPr>
          <w:color w:val="000000" w:themeColor="text1"/>
        </w:rPr>
        <w:t xml:space="preserve"> Alison L. LaCroix, </w:t>
      </w:r>
      <w:proofErr w:type="gramStart"/>
      <w:r>
        <w:rPr>
          <w:i/>
          <w:iCs/>
          <w:color w:val="000000" w:themeColor="text1"/>
        </w:rPr>
        <w:t>What</w:t>
      </w:r>
      <w:proofErr w:type="gramEnd"/>
      <w:r>
        <w:rPr>
          <w:i/>
          <w:iCs/>
          <w:color w:val="000000" w:themeColor="text1"/>
        </w:rPr>
        <w:t xml:space="preserve"> if Madison Had Won? Imagining a Constitutional World of Legislative Supremacy</w:t>
      </w:r>
      <w:r>
        <w:rPr>
          <w:color w:val="000000" w:themeColor="text1"/>
        </w:rPr>
        <w:t xml:space="preserve">, 45 </w:t>
      </w:r>
      <w:r>
        <w:rPr>
          <w:smallCaps/>
          <w:color w:val="000000" w:themeColor="text1"/>
        </w:rPr>
        <w:t>Ind. L. Rev.</w:t>
      </w:r>
      <w:r>
        <w:rPr>
          <w:color w:val="000000" w:themeColor="text1"/>
        </w:rPr>
        <w:t xml:space="preserve"> 41, 43 (2011).</w:t>
      </w:r>
    </w:p>
  </w:footnote>
  <w:footnote w:id="181">
    <w:p w14:paraId="544FDA59"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1787: The Day-to-Day Story of the Constitutional Convention</w:t>
      </w:r>
      <w:r>
        <w:rPr>
          <w:color w:val="000000" w:themeColor="text1"/>
        </w:rPr>
        <w:t xml:space="preserve"> 153 (Independence </w:t>
      </w:r>
      <w:proofErr w:type="spellStart"/>
      <w:r>
        <w:rPr>
          <w:color w:val="000000" w:themeColor="text1"/>
        </w:rPr>
        <w:t>Nat’l</w:t>
      </w:r>
      <w:proofErr w:type="spellEnd"/>
      <w:r>
        <w:rPr>
          <w:color w:val="000000" w:themeColor="text1"/>
        </w:rPr>
        <w:t xml:space="preserve"> Historical Park ed., 1987) [hereinafter </w:t>
      </w:r>
      <w:r>
        <w:rPr>
          <w:smallCaps/>
          <w:color w:val="000000" w:themeColor="text1"/>
        </w:rPr>
        <w:t>The Day-to-Day Story]</w:t>
      </w:r>
      <w:r>
        <w:rPr>
          <w:color w:val="000000" w:themeColor="text1"/>
        </w:rPr>
        <w:t>;</w:t>
      </w:r>
      <w:r>
        <w:rPr>
          <w:smallCaps/>
          <w:color w:val="000000" w:themeColor="text1"/>
        </w:rPr>
        <w:t xml:space="preserve"> </w:t>
      </w:r>
      <w:proofErr w:type="spellStart"/>
      <w:r>
        <w:rPr>
          <w:smallCaps/>
          <w:color w:val="000000" w:themeColor="text1"/>
        </w:rPr>
        <w:t>Barbash</w:t>
      </w:r>
      <w:proofErr w:type="spellEnd"/>
      <w:r>
        <w:rPr>
          <w:smallCaps/>
          <w:color w:val="000000" w:themeColor="text1"/>
        </w:rPr>
        <w:t>, supra note 239, at 93; Beeman, supra note 237, at 83.</w:t>
      </w:r>
    </w:p>
  </w:footnote>
  <w:footnote w:id="182">
    <w:p w14:paraId="167859EF"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183; Beeman, supra note 237, at 343–44. </w:t>
      </w:r>
    </w:p>
  </w:footnote>
  <w:footnote w:id="183">
    <w:p w14:paraId="221ED1E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82.</w:t>
      </w:r>
    </w:p>
  </w:footnote>
  <w:footnote w:id="184">
    <w:p w14:paraId="13669D73"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William H. Riker, </w:t>
      </w:r>
      <w:r>
        <w:rPr>
          <w:i/>
          <w:iCs/>
          <w:color w:val="000000" w:themeColor="text1"/>
        </w:rPr>
        <w:t xml:space="preserve">The </w:t>
      </w:r>
      <w:proofErr w:type="spellStart"/>
      <w:r>
        <w:rPr>
          <w:i/>
          <w:iCs/>
          <w:color w:val="000000" w:themeColor="text1"/>
        </w:rPr>
        <w:t>Heresthetics</w:t>
      </w:r>
      <w:proofErr w:type="spellEnd"/>
      <w:r>
        <w:rPr>
          <w:i/>
          <w:iCs/>
          <w:color w:val="000000" w:themeColor="text1"/>
        </w:rPr>
        <w:t xml:space="preserve"> of Constitution-Making: The Presidency in 1787, with Comments on Determinism and Rational Choice</w:t>
      </w:r>
      <w:r>
        <w:rPr>
          <w:color w:val="000000" w:themeColor="text1"/>
        </w:rPr>
        <w:t xml:space="preserve">, 78 Am. Pol. Sci. Rev. 1 (1984) (identifying “[t]he successive invention, revision, and elimination of alternatives” as “a distinctive feature of the dynamics of social choice,” id. at </w:t>
      </w:r>
      <w:proofErr w:type="gramStart"/>
      <w:r>
        <w:rPr>
          <w:color w:val="000000" w:themeColor="text1"/>
        </w:rPr>
        <w:t>2, and</w:t>
      </w:r>
      <w:proofErr w:type="gramEnd"/>
      <w:r>
        <w:rPr>
          <w:color w:val="000000" w:themeColor="text1"/>
        </w:rPr>
        <w:t xml:space="preserve"> observing that the winning alternative—the electoral college—“was not created until most others were disposed of,” id. at 14).</w:t>
      </w:r>
    </w:p>
  </w:footnote>
  <w:footnote w:id="185">
    <w:p w14:paraId="62B31027"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Journal of the Federal Convention</w:t>
      </w:r>
      <w:r>
        <w:rPr>
          <w:color w:val="000000" w:themeColor="text1"/>
        </w:rPr>
        <w:t>, </w:t>
      </w:r>
      <w:r>
        <w:rPr>
          <w:i/>
          <w:iCs/>
          <w:color w:val="000000" w:themeColor="text1"/>
        </w:rPr>
        <w:t>in</w:t>
      </w:r>
      <w:r>
        <w:rPr>
          <w:color w:val="000000" w:themeColor="text1"/>
        </w:rPr>
        <w:t> </w:t>
      </w:r>
      <w:proofErr w:type="spellStart"/>
      <w:r>
        <w:rPr>
          <w:smallCaps/>
          <w:color w:val="000000" w:themeColor="text1"/>
        </w:rPr>
        <w:t>Farrand’s</w:t>
      </w:r>
      <w:proofErr w:type="spellEnd"/>
      <w:r>
        <w:rPr>
          <w:smallCaps/>
          <w:color w:val="000000" w:themeColor="text1"/>
        </w:rPr>
        <w:t xml:space="preserve"> Records</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_Ref214115813 \h  \* MERGEFORMAT </w:instrText>
      </w:r>
      <w:r>
        <w:rPr>
          <w:color w:val="000000" w:themeColor="text1"/>
        </w:rPr>
      </w:r>
      <w:r>
        <w:rPr>
          <w:color w:val="000000" w:themeColor="text1"/>
        </w:rPr>
        <w:fldChar w:fldCharType="separate"/>
      </w:r>
      <w:r>
        <w:rPr>
          <w:color w:val="000000" w:themeColor="text1"/>
        </w:rPr>
        <w:t>241</w:t>
      </w:r>
      <w:r>
        <w:rPr>
          <w:color w:val="000000" w:themeColor="text1"/>
        </w:rPr>
        <w:fldChar w:fldCharType="end"/>
      </w:r>
      <w:r>
        <w:rPr>
          <w:color w:val="000000" w:themeColor="text1"/>
        </w:rPr>
        <w:t>, at 8–9.</w:t>
      </w:r>
    </w:p>
  </w:footnote>
  <w:footnote w:id="186">
    <w:p w14:paraId="0A7F9E09"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99; </w:t>
      </w:r>
      <w:r>
        <w:rPr>
          <w:smallCaps/>
          <w:color w:val="000000" w:themeColor="text1"/>
        </w:rPr>
        <w:t>Klarman, supra note 243, at 136;</w:t>
      </w:r>
      <w:r>
        <w:rPr>
          <w:color w:val="000000" w:themeColor="text1"/>
        </w:rPr>
        <w:t xml:space="preserve"> </w:t>
      </w:r>
      <w:r>
        <w:rPr>
          <w:smallCaps/>
          <w:color w:val="000000" w:themeColor="text1"/>
        </w:rPr>
        <w:t>Cass R. Sunstein, Designing Democracy: What Constitutions Do 45</w:t>
      </w:r>
      <w:r>
        <w:rPr>
          <w:color w:val="000000" w:themeColor="text1"/>
        </w:rPr>
        <w:t xml:space="preserve"> (Oxford University Press, 2001).</w:t>
      </w:r>
    </w:p>
  </w:footnote>
  <w:footnote w:id="187">
    <w:p w14:paraId="5CDE6807"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82;</w:t>
      </w:r>
      <w:r>
        <w:rPr>
          <w:color w:val="000000" w:themeColor="text1"/>
        </w:rPr>
        <w:t xml:space="preserve">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195–97;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10 (Rufus King and George Mason, May 28, 1787) (</w:t>
      </w:r>
      <w:r>
        <w:rPr>
          <w:color w:val="000000" w:themeColor="text1"/>
        </w:rPr>
        <w:t>“[I]t was unnecessary to exhibit this evidence of the votes; and improper as changes of opinion would be frequent in the course of the business &amp; would fill the minutes with contradictions. Col. Mason seconded the objection; adding that such a record of the opinions of members would be an obstacle to a change of them on conviction; and in case of its being hereafter promulged must furnish handles to the adversaries of the Result of the Meeting.”).</w:t>
      </w:r>
    </w:p>
  </w:footnote>
  <w:footnote w:id="188">
    <w:p w14:paraId="5B49CD8D"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279, 302 (2000).</w:t>
      </w:r>
    </w:p>
  </w:footnote>
  <w:footnote w:id="189">
    <w:p w14:paraId="395F8179"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17.</w:t>
      </w:r>
    </w:p>
  </w:footnote>
  <w:footnote w:id="190">
    <w:p w14:paraId="1FF6E45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104, 124, 220, 344; </w:t>
      </w:r>
      <w:proofErr w:type="spellStart"/>
      <w:r>
        <w:rPr>
          <w:smallCaps/>
          <w:color w:val="000000" w:themeColor="text1"/>
        </w:rPr>
        <w:t>Barbash</w:t>
      </w:r>
      <w:proofErr w:type="spellEnd"/>
      <w:r>
        <w:rPr>
          <w:smallCaps/>
          <w:color w:val="000000" w:themeColor="text1"/>
        </w:rPr>
        <w:t>, supra note 239, at 190–91.</w:t>
      </w:r>
    </w:p>
  </w:footnote>
  <w:footnote w:id="191">
    <w:p w14:paraId="5DA287DD"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245, at 15; Adam </w:t>
      </w:r>
      <w:proofErr w:type="spellStart"/>
      <w:r>
        <w:rPr>
          <w:color w:val="000000" w:themeColor="text1"/>
        </w:rPr>
        <w:t>Slez</w:t>
      </w:r>
      <w:proofErr w:type="spellEnd"/>
      <w:r>
        <w:rPr>
          <w:color w:val="000000" w:themeColor="text1"/>
        </w:rPr>
        <w:t xml:space="preserve"> &amp; John Levi Martin, </w:t>
      </w:r>
      <w:r>
        <w:rPr>
          <w:i/>
          <w:iCs/>
          <w:color w:val="000000" w:themeColor="text1"/>
        </w:rPr>
        <w:t>Political Action and Party Formation in the United States Constitutional Convention</w:t>
      </w:r>
      <w:r>
        <w:rPr>
          <w:color w:val="000000" w:themeColor="text1"/>
        </w:rPr>
        <w:t xml:space="preserve">, 72 </w:t>
      </w:r>
      <w:r>
        <w:rPr>
          <w:smallCaps/>
          <w:color w:val="000000" w:themeColor="text1"/>
        </w:rPr>
        <w:t>Am. Soc. Rev</w:t>
      </w:r>
      <w:r>
        <w:rPr>
          <w:color w:val="000000" w:themeColor="text1"/>
        </w:rPr>
        <w:t xml:space="preserve">. 42, 46 (2007); </w:t>
      </w:r>
      <w:r>
        <w:rPr>
          <w:smallCaps/>
          <w:color w:val="000000" w:themeColor="text1"/>
        </w:rPr>
        <w:t>Joseph C. Morton, Shapers of the Great Debate at the Constitutional Convention of 1787: A Biographical Dictionary</w:t>
      </w:r>
      <w:r>
        <w:rPr>
          <w:color w:val="000000" w:themeColor="text1"/>
        </w:rPr>
        <w:t xml:space="preserve"> 120 n.2 (2006) (“The Committee of the Whole was used as a ploy to enable legislative bodies to meet informally and to discuss and debate without having speeches and votes recorded. It allowed for a free-wheeling exchange of ideas in which members could be brutally candid, frank, and honest, away from the notice of the public in general and their constituencies back home specifically. It also permitted members to change their minds and their votes without the possible adverse repercussions that an official permanent recording could bring.”).</w:t>
      </w:r>
    </w:p>
  </w:footnote>
  <w:footnote w:id="192">
    <w:p w14:paraId="3F43143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The Day-to-Day Story, supra note 245, at 7;</w:t>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252. </w:t>
      </w:r>
    </w:p>
  </w:footnote>
  <w:footnote w:id="193">
    <w:p w14:paraId="0B6B16D0"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See infra notes 258–59 and accompanying text.</w:t>
      </w:r>
    </w:p>
  </w:footnote>
  <w:footnote w:id="194">
    <w:p w14:paraId="2656F01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Calvin C. </w:t>
      </w:r>
      <w:proofErr w:type="spellStart"/>
      <w:r>
        <w:rPr>
          <w:smallCaps/>
          <w:color w:val="000000" w:themeColor="text1"/>
        </w:rPr>
        <w:t>Jillson</w:t>
      </w:r>
      <w:proofErr w:type="spellEnd"/>
      <w:r>
        <w:rPr>
          <w:smallCaps/>
          <w:color w:val="000000" w:themeColor="text1"/>
        </w:rPr>
        <w:t>, Constitution Making: Conflict and Consensus in the Federal Convention of 1787</w:t>
      </w:r>
      <w:r>
        <w:rPr>
          <w:color w:val="000000" w:themeColor="text1"/>
        </w:rPr>
        <w:t xml:space="preserve"> 115 (1988); </w:t>
      </w:r>
      <w:r>
        <w:rPr>
          <w:smallCaps/>
          <w:color w:val="000000" w:themeColor="text1"/>
        </w:rPr>
        <w:t>Gordon S. Wood, The Creation of the American Republic 1776–1787 554 (1969) (describing Morris’s proposal of a life-tenure upper house, designed to set apart the aristocracy “into a separate interest” so it could be better controlled).</w:t>
      </w:r>
    </w:p>
  </w:footnote>
  <w:footnote w:id="195">
    <w:p w14:paraId="7044B97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Pauline Maier, Ratification: The People Debate the Constitution, 1787–1788</w:t>
      </w:r>
      <w:r>
        <w:rPr>
          <w:color w:val="000000" w:themeColor="text1"/>
        </w:rPr>
        <w:t>, at 42–43 (2010).</w:t>
      </w:r>
    </w:p>
  </w:footnote>
  <w:footnote w:id="196">
    <w:p w14:paraId="178B8BF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237, at 111–12, 253.</w:t>
      </w:r>
    </w:p>
  </w:footnote>
  <w:footnote w:id="197">
    <w:p w14:paraId="5F84F05F"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48, 50; The Day-to-Day Story, supra note 245, at 114–15, 152.</w:t>
      </w:r>
    </w:p>
  </w:footnote>
  <w:footnote w:id="198">
    <w:p w14:paraId="0A06597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Jillson</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61.</w:t>
      </w:r>
    </w:p>
  </w:footnote>
  <w:footnote w:id="199">
    <w:p w14:paraId="30A2BB6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70;</w:t>
      </w:r>
      <w:r>
        <w:rPr>
          <w:smallCaps/>
          <w:color w:val="000000" w:themeColor="text1"/>
        </w:rPr>
        <w:t xml:space="preserve"> </w:t>
      </w:r>
      <w:proofErr w:type="spellStart"/>
      <w:r>
        <w:rPr>
          <w:smallCaps/>
          <w:color w:val="000000" w:themeColor="text1"/>
        </w:rPr>
        <w:t>Barbash</w:t>
      </w:r>
      <w:proofErr w:type="spellEnd"/>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110.</w:t>
      </w:r>
    </w:p>
  </w:footnote>
  <w:footnote w:id="200">
    <w:p w14:paraId="6DFBB5A8"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91;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60–66.</w:t>
      </w:r>
    </w:p>
  </w:footnote>
  <w:footnote w:id="201">
    <w:p w14:paraId="6C74CF10"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37; see Morton, supra note 255, at 77; The Day-to-Day Story, supra note 245, at 15.</w:t>
      </w:r>
    </w:p>
  </w:footnote>
  <w:footnote w:id="202">
    <w:p w14:paraId="58387B58"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Barbash</w:t>
      </w:r>
      <w:proofErr w:type="spellEnd"/>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xml:space="preserve">, at 21;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208;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at 128–37.</w:t>
      </w:r>
    </w:p>
  </w:footnote>
  <w:footnote w:id="203">
    <w:p w14:paraId="09E0B36B"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Mary Sarah </w:t>
      </w:r>
      <w:proofErr w:type="spellStart"/>
      <w:r>
        <w:rPr>
          <w:smallCaps/>
          <w:color w:val="000000" w:themeColor="text1"/>
        </w:rPr>
        <w:t>Bilder</w:t>
      </w:r>
      <w:proofErr w:type="spellEnd"/>
      <w:r>
        <w:rPr>
          <w:smallCaps/>
          <w:color w:val="000000" w:themeColor="text1"/>
        </w:rPr>
        <w:t>, Madison’s Hand: Revising the Constitutional Convention 38 (2015)</w:t>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27; </w:t>
      </w:r>
      <w:proofErr w:type="spellStart"/>
      <w:r>
        <w:rPr>
          <w:smallCaps/>
          <w:color w:val="000000" w:themeColor="text1"/>
        </w:rPr>
        <w:t>Jillson</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36; LaCroix, supra note 244, at 41.</w:t>
      </w:r>
    </w:p>
  </w:footnote>
  <w:footnote w:id="204">
    <w:p w14:paraId="0C4FB830"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Beeman, supra note 237, at 27; Rakove, supra note 236, at 46–48.</w:t>
      </w:r>
    </w:p>
  </w:footnote>
  <w:footnote w:id="205">
    <w:p w14:paraId="6959B24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Barbash</w:t>
      </w:r>
      <w:proofErr w:type="spellEnd"/>
      <w:r>
        <w:rPr>
          <w:smallCaps/>
          <w:color w:val="000000" w:themeColor="text1"/>
        </w:rPr>
        <w:t xml:space="preserve">, supra note 239, at 25; </w:t>
      </w:r>
      <w:proofErr w:type="spellStart"/>
      <w:r>
        <w:rPr>
          <w:smallCaps/>
          <w:color w:val="000000" w:themeColor="text1"/>
        </w:rPr>
        <w:t>Jillson</w:t>
      </w:r>
      <w:proofErr w:type="spellEnd"/>
      <w:r>
        <w:rPr>
          <w:smallCaps/>
          <w:color w:val="000000" w:themeColor="text1"/>
        </w:rPr>
        <w:t>, supra note 258, at 46.</w:t>
      </w:r>
    </w:p>
  </w:footnote>
  <w:footnote w:id="206">
    <w:p w14:paraId="3119010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15; </w:t>
      </w:r>
      <w:proofErr w:type="spellStart"/>
      <w:r>
        <w:rPr>
          <w:color w:val="000000" w:themeColor="text1"/>
        </w:rPr>
        <w:t>Slez</w:t>
      </w:r>
      <w:proofErr w:type="spellEnd"/>
      <w:r>
        <w:rPr>
          <w:color w:val="000000" w:themeColor="text1"/>
        </w:rPr>
        <w:t xml:space="preserve"> &amp; Martin,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_Ref217239048 \h  \* MERGEFORMAT </w:instrText>
      </w:r>
      <w:r>
        <w:rPr>
          <w:color w:val="000000" w:themeColor="text1"/>
        </w:rPr>
      </w:r>
      <w:r>
        <w:rPr>
          <w:color w:val="000000" w:themeColor="text1"/>
        </w:rPr>
        <w:fldChar w:fldCharType="separate"/>
      </w:r>
      <w:r>
        <w:rPr>
          <w:color w:val="000000" w:themeColor="text1"/>
        </w:rPr>
        <w:t>255</w:t>
      </w:r>
      <w:r>
        <w:rPr>
          <w:color w:val="000000" w:themeColor="text1"/>
        </w:rPr>
        <w:fldChar w:fldCharType="end"/>
      </w:r>
      <w:r>
        <w:rPr>
          <w:color w:val="000000" w:themeColor="text1"/>
        </w:rPr>
        <w:t>, at 52.</w:t>
      </w:r>
    </w:p>
  </w:footnote>
  <w:footnote w:id="207">
    <w:p w14:paraId="2749E621"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LaCroix, supra note 244, at 44; David B. Robertson, </w:t>
      </w:r>
      <w:r>
        <w:rPr>
          <w:i/>
          <w:iCs/>
          <w:color w:val="000000" w:themeColor="text1"/>
        </w:rPr>
        <w:t>Madison’s Opponents and Constitutional Design</w:t>
      </w:r>
      <w:r>
        <w:rPr>
          <w:color w:val="000000" w:themeColor="text1"/>
        </w:rPr>
        <w:t>, 99 Am. Pol. Sci. Rev. 225 (2005)</w:t>
      </w:r>
      <w:hyperlink r:id="rId1" w:history="1">
        <w:r>
          <w:rPr>
            <w:rStyle w:val="Hyperlink"/>
            <w:color w:val="000000" w:themeColor="text1"/>
          </w:rPr>
          <w:t xml:space="preserve"> </w:t>
        </w:r>
      </w:hyperlink>
      <w:r>
        <w:rPr>
          <w:color w:val="000000" w:themeColor="text1"/>
        </w:rPr>
        <w:t>(describing how the delegates, far from conforming to the agenda of their most influential member, actively debated and ultimately defeated a proposal Madison himself had described as “absolutely necessary to a perfect system,” siding instead with the opposition’s arguments to protect state prerogatives and limit national authority).</w:t>
      </w:r>
    </w:p>
  </w:footnote>
  <w:footnote w:id="208">
    <w:p w14:paraId="590E3F60"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Maier, supra note 259, at 28.</w:t>
      </w:r>
    </w:p>
  </w:footnote>
  <w:footnote w:id="209">
    <w:p w14:paraId="12A23958"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Barbash</w:t>
      </w:r>
      <w:proofErr w:type="spellEnd"/>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54.</w:t>
      </w:r>
    </w:p>
  </w:footnote>
  <w:footnote w:id="210">
    <w:p w14:paraId="747E94E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 supra note 237, at 40, 411;</w:t>
      </w:r>
      <w:r>
        <w:rPr>
          <w:color w:val="000000" w:themeColor="text1"/>
        </w:rPr>
        <w:t xml:space="preserve"> </w:t>
      </w:r>
      <w:proofErr w:type="spellStart"/>
      <w:r>
        <w:rPr>
          <w:smallCaps/>
          <w:color w:val="000000" w:themeColor="text1"/>
        </w:rPr>
        <w:t>Paul’t</w:t>
      </w:r>
      <w:proofErr w:type="spellEnd"/>
      <w:r>
        <w:rPr>
          <w:smallCaps/>
          <w:color w:val="000000" w:themeColor="text1"/>
        </w:rPr>
        <w:t xml:space="preserve"> Hart, Groupthink in Government: A Study of Small Groups and Policy Failure</w:t>
      </w:r>
      <w:r>
        <w:rPr>
          <w:color w:val="000000" w:themeColor="text1"/>
        </w:rPr>
        <w:t xml:space="preserve"> 10 (1994).</w:t>
      </w:r>
    </w:p>
  </w:footnote>
  <w:footnote w:id="211">
    <w:p w14:paraId="3724052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362.</w:t>
      </w:r>
    </w:p>
  </w:footnote>
  <w:footnote w:id="212">
    <w:p w14:paraId="7BE6F798"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252–53.</w:t>
      </w:r>
    </w:p>
  </w:footnote>
  <w:footnote w:id="213">
    <w:p w14:paraId="66B56C2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253.</w:t>
      </w:r>
    </w:p>
  </w:footnote>
  <w:footnote w:id="214">
    <w:p w14:paraId="59038151"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58.</w:t>
      </w:r>
    </w:p>
  </w:footnote>
  <w:footnote w:id="215">
    <w:p w14:paraId="7684D62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247 (recording Madison’s judgment that it was “impossible to consider the degree of concord which ultimately prevailed as less than a miracle,” and Washington’s that the result was “little short of a miracle,” though Klarman himself attributes that concord to the delegates’ shared background);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85–89;</w:t>
      </w:r>
      <w:r>
        <w:rPr>
          <w:smallCaps/>
          <w:color w:val="000000" w:themeColor="text1"/>
        </w:rPr>
        <w:t xml:space="preserve"> 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_Ref217238532 \h  \* MERGEFORMAT </w:instrText>
      </w:r>
      <w:r>
        <w:rPr>
          <w:color w:val="000000" w:themeColor="text1"/>
        </w:rPr>
      </w:r>
      <w:r>
        <w:rPr>
          <w:color w:val="000000" w:themeColor="text1"/>
        </w:rPr>
        <w:fldChar w:fldCharType="separate"/>
      </w:r>
      <w:r>
        <w:rPr>
          <w:color w:val="000000" w:themeColor="text1"/>
        </w:rPr>
        <w:t>250</w:t>
      </w:r>
      <w:r>
        <w:rPr>
          <w:color w:val="000000" w:themeColor="text1"/>
        </w:rPr>
        <w:fldChar w:fldCharType="end"/>
      </w:r>
      <w:r>
        <w:rPr>
          <w:color w:val="000000" w:themeColor="text1"/>
        </w:rPr>
        <w:t>, at 96–97 (perhaps there is no better evidence of the Framers’ commitment to their internal deliberations than the Constitution itself, which Madison viewed as a vehicle to channel diverse views through structural checks rather than suppress them).</w:t>
      </w:r>
    </w:p>
  </w:footnote>
  <w:footnote w:id="216">
    <w:p w14:paraId="61181B7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Max M. </w:t>
      </w:r>
      <w:proofErr w:type="spellStart"/>
      <w:r>
        <w:rPr>
          <w:smallCaps/>
          <w:color w:val="000000" w:themeColor="text1"/>
        </w:rPr>
        <w:t>Edling</w:t>
      </w:r>
      <w:proofErr w:type="spellEnd"/>
      <w:r>
        <w:rPr>
          <w:smallCaps/>
          <w:color w:val="000000" w:themeColor="text1"/>
        </w:rPr>
        <w:t>, A Revolution in Favor of Government: Origins of the U.S. Constitution and the Making of the American State 22 (2003); see Maier, supra note 259, at 305.</w:t>
      </w:r>
    </w:p>
  </w:footnote>
  <w:footnote w:id="217">
    <w:p w14:paraId="74E3605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Rakove, supra note 236, at 157–61; Riker, supra note 248, at 10; Lansky, supra note 252, at 302.</w:t>
      </w:r>
    </w:p>
  </w:footnote>
  <w:footnote w:id="218">
    <w:p w14:paraId="51F443A5" w14:textId="77777777" w:rsidR="00AA24EC" w:rsidRPr="005B3E31" w:rsidRDefault="00AA24EC" w:rsidP="003D74D8">
      <w:pPr>
        <w:pStyle w:val="FootnoteText"/>
        <w:spacing w:line="480" w:lineRule="auto"/>
        <w:rPr>
          <w:color w:val="000000" w:themeColor="text1"/>
        </w:rPr>
      </w:pPr>
      <w:r>
        <w:rPr>
          <w:rStyle w:val="FootnoteReference"/>
          <w:color w:val="000000" w:themeColor="text1"/>
        </w:rPr>
        <w:footnoteRef/>
      </w:r>
      <w:proofErr w:type="spellStart"/>
      <w:r>
        <w:rPr>
          <w:smallCaps/>
          <w:color w:val="000000" w:themeColor="text1"/>
        </w:rPr>
        <w:t>Edling</w:t>
      </w:r>
      <w:proofErr w:type="spellEnd"/>
      <w:r>
        <w:rPr>
          <w:smallCaps/>
          <w:color w:val="000000" w:themeColor="text1"/>
        </w:rPr>
        <w:t xml:space="preserve">, supra note 280, at 22; Morton, supra note 255, at 120 n.2; Webb, supra note 99, at 195–96; 1 </w:t>
      </w:r>
      <w:proofErr w:type="spellStart"/>
      <w:r>
        <w:rPr>
          <w:smallCaps/>
          <w:color w:val="000000" w:themeColor="text1"/>
        </w:rPr>
        <w:t>Farrand’s</w:t>
      </w:r>
      <w:proofErr w:type="spellEnd"/>
      <w:r>
        <w:rPr>
          <w:smallCaps/>
          <w:color w:val="000000" w:themeColor="text1"/>
        </w:rPr>
        <w:t xml:space="preserve"> Records, supra note 241, at 15–17.</w:t>
      </w:r>
      <w:r>
        <w:rPr>
          <w:color w:val="000000" w:themeColor="text1"/>
        </w:rPr>
        <w:t xml:space="preserve"> </w:t>
      </w:r>
    </w:p>
  </w:footnote>
  <w:footnote w:id="219">
    <w:p w14:paraId="22D400D0" w14:textId="77777777" w:rsidR="00103ED4" w:rsidRPr="005B3E31" w:rsidRDefault="00103ED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Pierre </w:t>
      </w:r>
      <w:proofErr w:type="spellStart"/>
      <w:r>
        <w:rPr>
          <w:smallCaps/>
          <w:color w:val="000000" w:themeColor="text1"/>
        </w:rPr>
        <w:t>Schlag</w:t>
      </w:r>
      <w:proofErr w:type="spellEnd"/>
      <w:r>
        <w:rPr>
          <w:smallCaps/>
          <w:color w:val="000000" w:themeColor="text1"/>
        </w:rPr>
        <w:t>, The Enchantment of Reason</w:t>
      </w:r>
      <w:r>
        <w:rPr>
          <w:color w:val="000000" w:themeColor="text1"/>
        </w:rPr>
        <w:t xml:space="preserve"> 117–18 (1998); </w:t>
      </w:r>
      <w:r>
        <w:rPr>
          <w:i/>
          <w:iCs/>
          <w:color w:val="000000" w:themeColor="text1"/>
        </w:rPr>
        <w:t>see also</w:t>
      </w:r>
      <w:r>
        <w:rPr>
          <w:color w:val="000000" w:themeColor="text1"/>
        </w:rPr>
        <w:t xml:space="preserve"> </w:t>
      </w:r>
      <w:r>
        <w:rPr>
          <w:smallCaps/>
          <w:color w:val="000000" w:themeColor="text1"/>
        </w:rPr>
        <w:t xml:space="preserve">Cass R. Sunstein, </w:t>
      </w:r>
      <w:r>
        <w:rPr>
          <w:i/>
          <w:iCs/>
          <w:smallCaps/>
          <w:color w:val="000000" w:themeColor="text1"/>
        </w:rPr>
        <w:t>Conformity and Dissent</w:t>
      </w:r>
      <w:r>
        <w:rPr>
          <w:i/>
          <w:iCs/>
          <w:color w:val="000000" w:themeColor="text1"/>
        </w:rPr>
        <w:t xml:space="preserve"> </w:t>
      </w:r>
      <w:r>
        <w:rPr>
          <w:color w:val="000000" w:themeColor="text1"/>
        </w:rPr>
        <w:t>65–67 (2002).</w:t>
      </w:r>
    </w:p>
  </w:footnote>
  <w:footnote w:id="220">
    <w:p w14:paraId="3A2FE64F" w14:textId="77777777" w:rsidR="009469D4" w:rsidRPr="005B3E31" w:rsidRDefault="009469D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Rahimi, 602 U.S. 680, 692 (2024); Saul Cornell, </w:t>
      </w:r>
      <w:r>
        <w:rPr>
          <w:i/>
          <w:iCs/>
          <w:color w:val="000000" w:themeColor="text1"/>
        </w:rPr>
        <w:t xml:space="preserve">The Founders’ Common Law and </w:t>
      </w:r>
      <w:proofErr w:type="spellStart"/>
      <w:r>
        <w:rPr>
          <w:i/>
          <w:iCs/>
          <w:color w:val="000000" w:themeColor="text1"/>
        </w:rPr>
        <w:t>Bruen’s</w:t>
      </w:r>
      <w:proofErr w:type="spellEnd"/>
      <w:r>
        <w:rPr>
          <w:i/>
          <w:iCs/>
          <w:color w:val="000000" w:themeColor="text1"/>
        </w:rPr>
        <w:t xml:space="preserve"> Text, History, and Tradition Test: From History ‘Lite’ to History Right</w:t>
      </w:r>
      <w:r>
        <w:rPr>
          <w:color w:val="000000" w:themeColor="text1"/>
        </w:rPr>
        <w:t xml:space="preserve">, 73 </w:t>
      </w:r>
      <w:r>
        <w:rPr>
          <w:smallCaps/>
          <w:color w:val="000000" w:themeColor="text1"/>
        </w:rPr>
        <w:t>Buff. L. Rev.</w:t>
      </w:r>
      <w:r>
        <w:rPr>
          <w:color w:val="000000" w:themeColor="text1"/>
        </w:rPr>
        <w:t xml:space="preserve"> 651, 656 (2025).</w:t>
      </w:r>
    </w:p>
  </w:footnote>
  <w:footnote w:id="221">
    <w:p w14:paraId="5AA327C2" w14:textId="77777777" w:rsidR="00D879FE" w:rsidRDefault="00000000">
      <w:pPr>
        <w:pStyle w:val="FootnoteText"/>
        <w:spacing w:line="480" w:lineRule="auto"/>
      </w:pPr>
      <w:r>
        <w:rPr>
          <w:rStyle w:val="FootnoteReference"/>
        </w:rPr>
        <w:footnoteRef/>
      </w:r>
      <w:r>
        <w:t xml:space="preserve"> Hugo Mercier &amp; Dan Sperber, </w:t>
      </w:r>
      <w:r>
        <w:rPr>
          <w:i/>
        </w:rPr>
        <w:t>Why Do Humans Reason? Arguments for an Argumentative Theory</w:t>
      </w:r>
      <w:r>
        <w:t xml:space="preserve">, 34 </w:t>
      </w:r>
      <w:proofErr w:type="spellStart"/>
      <w:r>
        <w:rPr>
          <w:smallCaps/>
        </w:rPr>
        <w:t>Behav</w:t>
      </w:r>
      <w:proofErr w:type="spellEnd"/>
      <w:r>
        <w:rPr>
          <w:smallCaps/>
        </w:rPr>
        <w:t>. &amp; Brain Sci.</w:t>
      </w:r>
      <w:r>
        <w:t xml:space="preserve"> 57, 66 (2011).</w:t>
      </w:r>
    </w:p>
  </w:footnote>
  <w:footnote w:id="222">
    <w:p w14:paraId="40392D1F" w14:textId="77777777" w:rsidR="00EE39F6" w:rsidRPr="005B3E31" w:rsidRDefault="00EE39F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223">
    <w:p w14:paraId="6C84CA76" w14:textId="77777777"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Matthew Haas et al., </w:t>
      </w:r>
      <w:r>
        <w:rPr>
          <w:i/>
          <w:iCs/>
          <w:color w:val="000000" w:themeColor="text1"/>
        </w:rPr>
        <w:t>Domestication and Crop Evolution of Wheat and Barley: Genes, Genomics, and Future Directions</w:t>
      </w:r>
      <w:r>
        <w:rPr>
          <w:color w:val="000000" w:themeColor="text1"/>
        </w:rPr>
        <w:t xml:space="preserve">, 61 J. </w:t>
      </w:r>
      <w:proofErr w:type="spellStart"/>
      <w:r>
        <w:rPr>
          <w:smallCaps/>
          <w:color w:val="000000" w:themeColor="text1"/>
        </w:rPr>
        <w:t>Integr</w:t>
      </w:r>
      <w:proofErr w:type="spellEnd"/>
      <w:r>
        <w:rPr>
          <w:smallCaps/>
          <w:color w:val="000000" w:themeColor="text1"/>
        </w:rPr>
        <w:t>. Plant Biol</w:t>
      </w:r>
      <w:r>
        <w:rPr>
          <w:color w:val="000000" w:themeColor="text1"/>
        </w:rPr>
        <w:t xml:space="preserve">. 204, 204 (2019); Catherine </w:t>
      </w:r>
      <w:proofErr w:type="spellStart"/>
      <w:r>
        <w:rPr>
          <w:color w:val="000000" w:themeColor="text1"/>
        </w:rPr>
        <w:t>Preece</w:t>
      </w:r>
      <w:proofErr w:type="spellEnd"/>
      <w:r>
        <w:rPr>
          <w:color w:val="000000" w:themeColor="text1"/>
        </w:rPr>
        <w:t xml:space="preserve"> et al., </w:t>
      </w:r>
      <w:r>
        <w:rPr>
          <w:i/>
          <w:iCs/>
          <w:color w:val="000000" w:themeColor="text1"/>
        </w:rPr>
        <w:t>How Did the Domestication of Fertile Crescent Grain Crops Increase Their Yields?</w:t>
      </w:r>
      <w:r>
        <w:rPr>
          <w:color w:val="000000" w:themeColor="text1"/>
        </w:rPr>
        <w:t xml:space="preserve">, 31 </w:t>
      </w:r>
      <w:r>
        <w:rPr>
          <w:smallCaps/>
          <w:color w:val="000000" w:themeColor="text1"/>
        </w:rPr>
        <w:t>Functional Ecology</w:t>
      </w:r>
      <w:r>
        <w:rPr>
          <w:color w:val="000000" w:themeColor="text1"/>
        </w:rPr>
        <w:t xml:space="preserve"> 387, 388 (2017); Melinda A. </w:t>
      </w:r>
      <w:proofErr w:type="spellStart"/>
      <w:r>
        <w:rPr>
          <w:color w:val="000000" w:themeColor="text1"/>
        </w:rPr>
        <w:t>Zeder</w:t>
      </w:r>
      <w:proofErr w:type="spellEnd"/>
      <w:r>
        <w:rPr>
          <w:color w:val="000000" w:themeColor="text1"/>
        </w:rPr>
        <w:t>, </w:t>
      </w:r>
      <w:r>
        <w:rPr>
          <w:i/>
          <w:iCs/>
          <w:color w:val="000000" w:themeColor="text1"/>
        </w:rPr>
        <w:t>The Origins of Agriculture in the Near East</w:t>
      </w:r>
      <w:r>
        <w:rPr>
          <w:color w:val="000000" w:themeColor="text1"/>
        </w:rPr>
        <w:t xml:space="preserve">, 52 </w:t>
      </w:r>
      <w:r>
        <w:rPr>
          <w:smallCaps/>
          <w:color w:val="000000" w:themeColor="text1"/>
        </w:rPr>
        <w:t>Current Anthropology</w:t>
      </w:r>
      <w:r>
        <w:rPr>
          <w:color w:val="000000" w:themeColor="text1"/>
        </w:rPr>
        <w:t xml:space="preserve"> S221, S221–S222 (2011); Melinda A. </w:t>
      </w:r>
      <w:proofErr w:type="spellStart"/>
      <w:r>
        <w:rPr>
          <w:color w:val="000000" w:themeColor="text1"/>
        </w:rPr>
        <w:t>Zeder</w:t>
      </w:r>
      <w:proofErr w:type="spellEnd"/>
      <w:r>
        <w:rPr>
          <w:color w:val="000000" w:themeColor="text1"/>
        </w:rPr>
        <w:t>, </w:t>
      </w:r>
      <w:r>
        <w:rPr>
          <w:i/>
          <w:iCs/>
          <w:color w:val="000000" w:themeColor="text1"/>
        </w:rPr>
        <w:t>Domestication and Early Agriculture in the Mediterranean Basin: Origins, Diffusion, and Impact</w:t>
      </w:r>
      <w:r>
        <w:rPr>
          <w:color w:val="000000" w:themeColor="text1"/>
        </w:rPr>
        <w:t xml:space="preserve">, 105 </w:t>
      </w:r>
      <w:r>
        <w:rPr>
          <w:smallCaps/>
          <w:color w:val="000000" w:themeColor="text1"/>
        </w:rPr>
        <w:t xml:space="preserve">Proc. </w:t>
      </w:r>
      <w:proofErr w:type="spellStart"/>
      <w:r>
        <w:rPr>
          <w:smallCaps/>
          <w:color w:val="000000" w:themeColor="text1"/>
        </w:rPr>
        <w:t>Nat’l</w:t>
      </w:r>
      <w:proofErr w:type="spellEnd"/>
      <w:r>
        <w:rPr>
          <w:smallCaps/>
          <w:color w:val="000000" w:themeColor="text1"/>
        </w:rPr>
        <w:t xml:space="preserve"> Acad. Sci.</w:t>
      </w:r>
      <w:r>
        <w:rPr>
          <w:color w:val="000000" w:themeColor="text1"/>
        </w:rPr>
        <w:t xml:space="preserve"> 11597, 11597 (2008); </w:t>
      </w:r>
      <w:r>
        <w:rPr>
          <w:i/>
          <w:iCs/>
          <w:color w:val="000000" w:themeColor="text1"/>
        </w:rPr>
        <w:t>see also</w:t>
      </w:r>
      <w:r>
        <w:rPr>
          <w:color w:val="000000" w:themeColor="text1"/>
        </w:rPr>
        <w:t xml:space="preserve"> </w:t>
      </w:r>
      <w:r>
        <w:rPr>
          <w:smallCaps/>
          <w:color w:val="000000" w:themeColor="text1"/>
        </w:rPr>
        <w:t>Yuval Noah Harari, Sapiens: A Brief History of Humankind</w:t>
      </w:r>
      <w:r>
        <w:rPr>
          <w:color w:val="000000" w:themeColor="text1"/>
        </w:rPr>
        <w:t xml:space="preserve"> 81 (2015) (explaining that for early farmers “[t]he loss of pasture land to raiding </w:t>
      </w:r>
      <w:proofErr w:type="spellStart"/>
      <w:r>
        <w:rPr>
          <w:color w:val="000000" w:themeColor="text1"/>
        </w:rPr>
        <w:t>neighbours</w:t>
      </w:r>
      <w:proofErr w:type="spellEnd"/>
      <w:r>
        <w:rPr>
          <w:color w:val="000000" w:themeColor="text1"/>
        </w:rPr>
        <w:t xml:space="preserve"> could mean the difference between subsistence and starvation, so there was much less room for compromise,” whereas “[w]hen a foraging band was hard-pressed by a stronger rival, it could usually move on”); </w:t>
      </w:r>
      <w:r>
        <w:rPr>
          <w:i/>
          <w:iCs/>
          <w:color w:val="000000" w:themeColor="text1"/>
        </w:rPr>
        <w:t>cf.</w:t>
      </w:r>
      <w:r>
        <w:rPr>
          <w:color w:val="000000" w:themeColor="text1"/>
        </w:rPr>
        <w:t xml:space="preserve"> Linda Fibiger et al., Conflict, Violence, and Warfare Among Early Farmers in Northwestern Europe, 120 Proc. </w:t>
      </w:r>
      <w:proofErr w:type="spellStart"/>
      <w:r>
        <w:rPr>
          <w:color w:val="000000" w:themeColor="text1"/>
        </w:rPr>
        <w:t>Nat’l</w:t>
      </w:r>
      <w:proofErr w:type="spellEnd"/>
      <w:r>
        <w:rPr>
          <w:color w:val="000000" w:themeColor="text1"/>
        </w:rPr>
        <w:t xml:space="preserve"> Acad. Sci. 1, 7 (2023) (“While lethal and sublethal violence were clearly a feature of life prior to domestication, there is unequivocal evidence of significant change during the Neolithic in terms of the scale, frequency, and tactics involved in violent interactions, when compared to the Mesolithic and earlier periods. . . . Prior to domestication, episodes of massed violence as indicated by multiple burials and attacks on fortified structures during the Neolithic are neither in evidence nor were they possible due to the small-scale, scattered, and more mobile nature of forager populations.”).</w:t>
      </w:r>
    </w:p>
  </w:footnote>
  <w:footnote w:id="224">
    <w:p w14:paraId="3D5806A8" w14:textId="77777777"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Woodburn, </w:t>
      </w:r>
      <w:r>
        <w:rPr>
          <w:i/>
          <w:iCs/>
          <w:color w:val="000000" w:themeColor="text1"/>
        </w:rPr>
        <w:t>Egalitarian Societies</w:t>
      </w:r>
      <w:r>
        <w:rPr>
          <w:color w:val="000000" w:themeColor="text1"/>
        </w:rPr>
        <w:t xml:space="preserve">, 17 </w:t>
      </w:r>
      <w:r>
        <w:rPr>
          <w:smallCaps/>
          <w:color w:val="000000" w:themeColor="text1"/>
        </w:rPr>
        <w:t>Man</w:t>
      </w:r>
      <w:r>
        <w:rPr>
          <w:color w:val="000000" w:themeColor="text1"/>
        </w:rPr>
        <w:t xml:space="preserve"> 431, 432, 434, 440–42 (1982) (defining immediate-return systems as characterized by direct and immediate returns from labor using simple, portable, easily replaceable tools, and contrasting immediate-return relationships that stress sharing and mutuality without long-term binding commitments against delayed-return systems); James Woodburn, </w:t>
      </w:r>
      <w:r>
        <w:rPr>
          <w:i/>
          <w:iCs/>
          <w:color w:val="000000" w:themeColor="text1"/>
        </w:rPr>
        <w:t>Hunters and Gatherers Today and Reconstruction of the Past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Soviet and Western Anthropology</w:t>
      </w:r>
      <w:r>
        <w:rPr>
          <w:color w:val="000000" w:themeColor="text1"/>
        </w:rPr>
        <w:t xml:space="preserve"> 95, 97 (Ernest Gellner ed., 1980) (describing how kinship and contract link individuals in hunter-gatherer societies but constrain them far less than in other societies, with people not heavily dependent on specific others for basic requirements); </w:t>
      </w:r>
      <w:r>
        <w:rPr>
          <w:smallCaps/>
          <w:color w:val="000000" w:themeColor="text1"/>
        </w:rPr>
        <w:t xml:space="preserve">Marshall </w:t>
      </w:r>
      <w:proofErr w:type="spellStart"/>
      <w:r>
        <w:rPr>
          <w:smallCaps/>
          <w:color w:val="000000" w:themeColor="text1"/>
        </w:rPr>
        <w:t>Sahlins</w:t>
      </w:r>
      <w:proofErr w:type="spellEnd"/>
      <w:r>
        <w:rPr>
          <w:color w:val="000000" w:themeColor="text1"/>
        </w:rPr>
        <w:t xml:space="preserve">, </w:t>
      </w:r>
      <w:r>
        <w:rPr>
          <w:i/>
          <w:iCs/>
          <w:color w:val="000000" w:themeColor="text1"/>
        </w:rPr>
        <w:t>The Original Affluent Society</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Stone Age Economics</w:t>
      </w:r>
      <w:r>
        <w:rPr>
          <w:color w:val="000000" w:themeColor="text1"/>
        </w:rPr>
        <w:t xml:space="preserve"> 1, 31 (1972) (analyzing how hunter-gatherer economies reflect the imminence of diminishing returns); Polly </w:t>
      </w:r>
      <w:proofErr w:type="spellStart"/>
      <w:r>
        <w:rPr>
          <w:color w:val="000000" w:themeColor="text1"/>
        </w:rPr>
        <w:t>Wiessner</w:t>
      </w:r>
      <w:proofErr w:type="spellEnd"/>
      <w:r>
        <w:rPr>
          <w:color w:val="000000" w:themeColor="text1"/>
        </w:rPr>
        <w:t>, </w:t>
      </w:r>
      <w:r>
        <w:rPr>
          <w:i/>
          <w:iCs/>
          <w:color w:val="000000" w:themeColor="text1"/>
        </w:rPr>
        <w:t>Risk, Reciprocity and Social Influences on !Kung San Economics</w:t>
      </w:r>
      <w:r>
        <w:rPr>
          <w:color w:val="000000" w:themeColor="text1"/>
        </w:rPr>
        <w:t xml:space="preserve">, in </w:t>
      </w:r>
      <w:r>
        <w:rPr>
          <w:smallCaps/>
          <w:color w:val="000000" w:themeColor="text1"/>
        </w:rPr>
        <w:t>Politics and History in Band Societies</w:t>
      </w:r>
      <w:r>
        <w:rPr>
          <w:color w:val="000000" w:themeColor="text1"/>
        </w:rPr>
        <w:t xml:space="preserve"> 61, 61, 65–66, 70 (Eleanor Leacock &amp; Richard Lee eds., 1982) (explaining that organizational flexibility among the !Kung results from structured social relations ensuring reliable risk-reduction mechanisms passed across generations).</w:t>
      </w:r>
    </w:p>
  </w:footnote>
  <w:footnote w:id="225">
    <w:p w14:paraId="7504232F" w14:textId="77777777"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w:t>
      </w:r>
      <w:proofErr w:type="spellStart"/>
      <w:r>
        <w:rPr>
          <w:color w:val="000000" w:themeColor="text1"/>
        </w:rPr>
        <w:t>Widlok</w:t>
      </w:r>
      <w:proofErr w:type="spellEnd"/>
      <w:r>
        <w:rPr>
          <w:color w:val="000000" w:themeColor="text1"/>
        </w:rPr>
        <w:t>, </w:t>
      </w:r>
      <w:r>
        <w:rPr>
          <w:i/>
          <w:iCs/>
          <w:color w:val="000000" w:themeColor="text1"/>
        </w:rPr>
        <w:t>Sharing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Open Encyclopedia of Anthropology</w:t>
      </w:r>
      <w:r>
        <w:rPr>
          <w:color w:val="000000" w:themeColor="text1"/>
        </w:rPr>
        <w:t xml:space="preserve"> (Felix Stein ed., 2021) (distinguishing sharing as potentially unidirectional and decoupled from reciprocity expectations, unlike gift exchange); Woodburn, Egalitarian Societies, supra note 284, at 435–36, 442 (explaining that members of immediate-return societies “are able to move away without difficulty and at a moment’s notice from constraint which others may seek to impose on them and such possibility of movement is a powerful levelling mechanism”); </w:t>
      </w:r>
      <w:r>
        <w:rPr>
          <w:i/>
          <w:iCs/>
          <w:color w:val="000000" w:themeColor="text1"/>
        </w:rPr>
        <w:t>cf.</w:t>
      </w:r>
      <w:r>
        <w:rPr>
          <w:color w:val="000000" w:themeColor="text1"/>
        </w:rPr>
        <w:t xml:space="preserve"> Fibiger et al., </w:t>
      </w:r>
      <w:r>
        <w:rPr>
          <w:i/>
          <w:iCs/>
          <w:color w:val="000000" w:themeColor="text1"/>
        </w:rPr>
        <w:t>supra</w:t>
      </w:r>
      <w:r>
        <w:rPr>
          <w:color w:val="000000" w:themeColor="text1"/>
        </w:rPr>
        <w:t xml:space="preserve"> note 283, at 7 (documenting unequivocal evidence of significant changes in scale, frequency, and tactics of violent interactions during the Neolithic compared to pre-domestication periods).</w:t>
      </w:r>
    </w:p>
  </w:footnote>
  <w:footnote w:id="226">
    <w:p w14:paraId="3AC6BF35" w14:textId="77777777" w:rsidR="00EF1D45" w:rsidRPr="005B3E31" w:rsidRDefault="00EF1D4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79–81, 98–99. </w:t>
      </w:r>
    </w:p>
  </w:footnote>
  <w:footnote w:id="227">
    <w:p w14:paraId="75A214C4" w14:textId="77777777" w:rsidR="00234AB7" w:rsidRPr="005B3E31" w:rsidRDefault="00234A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Pirie, supra note 21, </w:t>
      </w:r>
      <w:proofErr w:type="spellStart"/>
      <w:r>
        <w:rPr>
          <w:color w:val="000000" w:themeColor="text1"/>
        </w:rPr>
        <w:t>ch.</w:t>
      </w:r>
      <w:proofErr w:type="spellEnd"/>
      <w:r>
        <w:rPr>
          <w:color w:val="000000" w:themeColor="text1"/>
        </w:rPr>
        <w:t xml:space="preserve"> 13 (“Colonialism”) (“John Locke, in Second Treatise on Government (1689), linked property rights firmly to cultivation”); </w:t>
      </w:r>
      <w:r>
        <w:rPr>
          <w:smallCaps/>
          <w:color w:val="000000" w:themeColor="text1"/>
        </w:rPr>
        <w:t xml:space="preserve">Barbara </w:t>
      </w:r>
      <w:proofErr w:type="spellStart"/>
      <w:r>
        <w:rPr>
          <w:smallCaps/>
          <w:color w:val="000000" w:themeColor="text1"/>
        </w:rPr>
        <w:t>Arneil</w:t>
      </w:r>
      <w:proofErr w:type="spellEnd"/>
      <w:r>
        <w:rPr>
          <w:smallCaps/>
          <w:color w:val="000000" w:themeColor="text1"/>
        </w:rPr>
        <w:t xml:space="preserve">, John Locke and America: The </w:t>
      </w:r>
      <w:proofErr w:type="spellStart"/>
      <w:r>
        <w:rPr>
          <w:smallCaps/>
          <w:color w:val="000000" w:themeColor="text1"/>
        </w:rPr>
        <w:t>Defence</w:t>
      </w:r>
      <w:proofErr w:type="spellEnd"/>
      <w:r>
        <w:rPr>
          <w:smallCaps/>
          <w:color w:val="000000" w:themeColor="text1"/>
        </w:rPr>
        <w:t xml:space="preserve"> of English Colonialism</w:t>
      </w:r>
      <w:r>
        <w:rPr>
          <w:color w:val="000000" w:themeColor="text1"/>
        </w:rPr>
        <w:t xml:space="preserve"> 138–39, 165–66 (1996); </w:t>
      </w:r>
      <w:r>
        <w:rPr>
          <w:i/>
          <w:iCs/>
          <w:color w:val="000000" w:themeColor="text1"/>
        </w:rPr>
        <w:t>but cf.</w:t>
      </w:r>
      <w:r>
        <w:rPr>
          <w:color w:val="000000" w:themeColor="text1"/>
        </w:rPr>
        <w:t xml:space="preserve"> </w:t>
      </w:r>
      <w:r>
        <w:rPr>
          <w:smallCaps/>
          <w:color w:val="000000" w:themeColor="text1"/>
        </w:rPr>
        <w:t>James C. Scott, Against the Grain: A Deep History of the Earliest States</w:t>
      </w:r>
      <w:r>
        <w:rPr>
          <w:color w:val="000000" w:themeColor="text1"/>
        </w:rPr>
        <w:t xml:space="preserve"> 9, 27 (2017) (treating the Hobbes-to-Locke progress narrative as “settled doctrine” the book sets out to dislodge).</w:t>
      </w:r>
    </w:p>
  </w:footnote>
  <w:footnote w:id="228">
    <w:p w14:paraId="66038C1A" w14:textId="77777777" w:rsidR="000B1FCD" w:rsidRPr="005B3E31" w:rsidRDefault="001B18C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Samuel Bowles &amp; Jung-</w:t>
      </w:r>
      <w:proofErr w:type="spellStart"/>
      <w:r>
        <w:rPr>
          <w:color w:val="000000" w:themeColor="text1"/>
        </w:rPr>
        <w:t>Kyoo</w:t>
      </w:r>
      <w:proofErr w:type="spellEnd"/>
      <w:r>
        <w:rPr>
          <w:color w:val="000000" w:themeColor="text1"/>
        </w:rPr>
        <w:t xml:space="preserve"> Choi, </w:t>
      </w:r>
      <w:r>
        <w:rPr>
          <w:i/>
          <w:iCs/>
          <w:color w:val="000000" w:themeColor="text1"/>
        </w:rPr>
        <w:t>Coevolution of Farming and Private Property During the Early Holocene</w:t>
      </w:r>
      <w:r>
        <w:rPr>
          <w:color w:val="000000" w:themeColor="text1"/>
        </w:rPr>
        <w:t xml:space="preserve">, 110 </w:t>
      </w:r>
      <w:r>
        <w:rPr>
          <w:smallCaps/>
          <w:color w:val="000000" w:themeColor="text1"/>
        </w:rPr>
        <w:t xml:space="preserve">Proc. </w:t>
      </w:r>
      <w:proofErr w:type="spellStart"/>
      <w:r>
        <w:rPr>
          <w:smallCaps/>
          <w:color w:val="000000" w:themeColor="text1"/>
        </w:rPr>
        <w:t>Nat’l</w:t>
      </w:r>
      <w:proofErr w:type="spellEnd"/>
      <w:r>
        <w:rPr>
          <w:smallCaps/>
          <w:color w:val="000000" w:themeColor="text1"/>
        </w:rPr>
        <w:t xml:space="preserve"> Acad. Sci</w:t>
      </w:r>
      <w:r>
        <w:rPr>
          <w:color w:val="000000" w:themeColor="text1"/>
        </w:rPr>
        <w:t>. 8830, 8830–31 (2013) (arguing that distributing a harvested crop or the meat of a domesticated animal to other group members would have left a would-be farmer “little incentive to engage in the required investments in clearing, cultivation, animal tending, and storage”); Samuel Bowles &amp; Jung-</w:t>
      </w:r>
      <w:proofErr w:type="spellStart"/>
      <w:r>
        <w:rPr>
          <w:color w:val="000000" w:themeColor="text1"/>
        </w:rPr>
        <w:t>Kyoo</w:t>
      </w:r>
      <w:proofErr w:type="spellEnd"/>
      <w:r>
        <w:rPr>
          <w:color w:val="000000" w:themeColor="text1"/>
        </w:rPr>
        <w:t xml:space="preserve"> Choi, </w:t>
      </w:r>
      <w:r>
        <w:rPr>
          <w:i/>
          <w:iCs/>
          <w:color w:val="000000" w:themeColor="text1"/>
        </w:rPr>
        <w:t>The Neolithic Agricultural Revolution and the Origins of Private Property</w:t>
      </w:r>
      <w:r>
        <w:rPr>
          <w:color w:val="000000" w:themeColor="text1"/>
        </w:rPr>
        <w:t xml:space="preserve">, 127 J. </w:t>
      </w:r>
      <w:r>
        <w:rPr>
          <w:smallCaps/>
          <w:color w:val="000000" w:themeColor="text1"/>
        </w:rPr>
        <w:t>Pol. Econ</w:t>
      </w:r>
      <w:r>
        <w:rPr>
          <w:color w:val="000000" w:themeColor="text1"/>
        </w:rPr>
        <w:t xml:space="preserve">. 2186, 2187–88, 2190, 2197 (2019) (explaining that domesticated resources were sufficiently valuable and spatially limited to make private ownership technically feasible, unlike wild resources, and documenting archaeological evidence of novel property rights over dwellings, private storage, and garden plots by families or lineages associated with early farming); Bowles &amp; Choi, </w:t>
      </w:r>
      <w:r>
        <w:rPr>
          <w:i/>
          <w:iCs/>
          <w:color w:val="000000" w:themeColor="text1"/>
        </w:rPr>
        <w:t>Coevolution</w:t>
      </w:r>
      <w:r>
        <w:rPr>
          <w:color w:val="000000" w:themeColor="text1"/>
        </w:rPr>
        <w:t xml:space="preserve">, </w:t>
      </w:r>
      <w:r>
        <w:rPr>
          <w:i/>
          <w:iCs/>
          <w:color w:val="000000" w:themeColor="text1"/>
        </w:rPr>
        <w:t>supra, at 8834 (tracing the transition from storage of wild plants outside dwellings before 11,000 B.P. to large-scale dedicated storage inside dwellings after the domestication of goats and sheep, “suggesting more restricted access”);</w:t>
      </w:r>
      <w:r>
        <w:rPr>
          <w:color w:val="000000" w:themeColor="text1"/>
        </w:rPr>
        <w:fldChar w:fldCharType="begin"/>
      </w:r>
      <w:r>
        <w:rPr>
          <w:color w:val="000000" w:themeColor="text1"/>
        </w:rPr>
        <w:instrText xml:space="preserve"> NOTEREF _Ref214117625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color w:val="000000" w:themeColor="text1"/>
        </w:rPr>
        <w:t>Preece</w:t>
      </w:r>
      <w:proofErr w:type="spellEnd"/>
      <w:r>
        <w:rPr>
          <w:color w:val="000000" w:themeColor="text1"/>
        </w:rPr>
        <w:t xml:space="preserv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387 (analyzing domestication processes in Fertile Crescent crops); Haas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204 (describing wheat and barley as founding crops of the agricultural revolution); </w:t>
      </w:r>
      <w:proofErr w:type="spellStart"/>
      <w:r>
        <w:rPr>
          <w:color w:val="000000" w:themeColor="text1"/>
        </w:rPr>
        <w:t>Zeder</w:t>
      </w:r>
      <w:proofErr w:type="spellEnd"/>
      <w:r>
        <w:rPr>
          <w:color w:val="000000" w:themeColor="text1"/>
        </w:rPr>
        <w:t xml:space="preserve">, </w:t>
      </w:r>
      <w:r>
        <w:rPr>
          <w:i/>
          <w:iCs/>
          <w:color w:val="000000" w:themeColor="text1"/>
        </w:rPr>
        <w:t>Origins of Agriculture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S221–S222;</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color w:val="000000" w:themeColor="text1"/>
        </w:rPr>
        <w:t>Zeder</w:t>
      </w:r>
      <w:proofErr w:type="spellEnd"/>
      <w:r>
        <w:rPr>
          <w:color w:val="000000" w:themeColor="text1"/>
        </w:rPr>
        <w:t xml:space="preserve">, </w:t>
      </w:r>
      <w:r>
        <w:rPr>
          <w:i/>
          <w:iCs/>
          <w:color w:val="000000" w:themeColor="text1"/>
        </w:rPr>
        <w:t>Mediterranean Basin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11597</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(documenting how seafaring colonists established coastal farming enclaves around the Mediterranean Basin); Woodburn, </w:t>
      </w:r>
      <w:r>
        <w:rPr>
          <w:i/>
          <w:iCs/>
          <w:color w:val="000000" w:themeColor="text1"/>
        </w:rPr>
        <w:t>Egalitarian Societies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433 (defining delayed-return systems as depending on ordered, differentiated, jurally-defined relationships through which goods and services are transmitted); Woodburn, </w:t>
      </w:r>
      <w:r>
        <w:rPr>
          <w:i/>
          <w:iCs/>
          <w:color w:val="000000" w:themeColor="text1"/>
        </w:rPr>
        <w:t>Hunters and Gatherers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97–99 (distinguishing immediate-return from delayed-return economies and their differing organizational requirements)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smallCaps/>
          <w:color w:val="000000" w:themeColor="text1"/>
        </w:rPr>
        <w:t>Sahlins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at 30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explaining that “[f]</w:t>
      </w:r>
      <w:proofErr w:type="spellStart"/>
      <w:r>
        <w:rPr>
          <w:color w:val="000000" w:themeColor="text1"/>
        </w:rPr>
        <w:t>ood</w:t>
      </w:r>
      <w:proofErr w:type="spellEnd"/>
      <w:r>
        <w:rPr>
          <w:color w:val="000000" w:themeColor="text1"/>
        </w:rPr>
        <w:t xml:space="preserve"> storage . . . may be technically feasible, yet economically undesirable, and socially unachievable” among mobile foragers)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color w:val="000000" w:themeColor="text1"/>
        </w:rPr>
        <w:t>Wiessner</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61 (describing structured social relations in hunter-gatherer risk management); </w:t>
      </w:r>
      <w:proofErr w:type="spellStart"/>
      <w:r>
        <w:rPr>
          <w:color w:val="000000" w:themeColor="text1"/>
        </w:rPr>
        <w:t>Widlok</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285</w:t>
      </w:r>
      <w:r>
        <w:rPr>
          <w:color w:val="000000" w:themeColor="text1"/>
        </w:rPr>
        <w:fldChar w:fldCharType="end"/>
      </w:r>
      <w:r>
        <w:rPr>
          <w:color w:val="000000" w:themeColor="text1"/>
        </w:rPr>
        <w:t xml:space="preserve"> (analyzing sharing as distinct from exchange); Fibiger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(identifying increasing competition and inequality as key factors fostering emergence of larger-scale conflict and warfare).</w:t>
      </w:r>
    </w:p>
  </w:footnote>
  <w:footnote w:id="229">
    <w:p w14:paraId="3122A6AD" w14:textId="77777777"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Francis Fukuyama, The Origins of Political Order</w:t>
      </w:r>
      <w:r>
        <w:rPr>
          <w:color w:val="000000" w:themeColor="text1"/>
        </w:rPr>
        <w:t xml:space="preserve"> 452–55 (2011) (describing institutional rigidity and </w:t>
      </w:r>
      <w:proofErr w:type="spellStart"/>
      <w:r>
        <w:rPr>
          <w:color w:val="000000" w:themeColor="text1"/>
        </w:rPr>
        <w:t>repatrimonialization</w:t>
      </w:r>
      <w:proofErr w:type="spellEnd"/>
      <w:r>
        <w:rPr>
          <w:color w:val="000000" w:themeColor="text1"/>
        </w:rPr>
        <w:t xml:space="preserve"> as the two mechanisms of political decay); Sir Henry Sumner Maine, Ancient Law: Its Connection with the Early History of Society 20, 56–57 (Oxford Univ. Press 1931) (1861) (observing of “the progressive societies” that “social necessities and social opinion are always more or less in advance of Law,” and that a system of equity in time “becomes as rigid, as unexpansive, and as liable to fall behind moral progress as the sternest code of rules avowedly legal”); </w:t>
      </w:r>
      <w:r>
        <w:rPr>
          <w:i/>
          <w:iCs/>
          <w:color w:val="000000" w:themeColor="text1"/>
        </w:rPr>
        <w:t>see also</w:t>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102–03, 106 (describing how food surpluses let people “cram together first into large villages, then into towns, and finally into cities, all of them joined together by new kingdoms and commercial networks,” and presenting the Code of Hammurabi as “a basis for a more uniform legal system across the Babylonian Empire”).</w:t>
      </w:r>
    </w:p>
  </w:footnote>
  <w:footnote w:id="230">
    <w:p w14:paraId="1960FD89" w14:textId="77777777"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w:t>
      </w:r>
      <w:proofErr w:type="spellStart"/>
      <w:r>
        <w:rPr>
          <w:color w:val="000000" w:themeColor="text1"/>
        </w:rPr>
        <w:t>Yoffee</w:t>
      </w:r>
      <w:proofErr w:type="spellEnd"/>
      <w:r>
        <w:rPr>
          <w:color w:val="000000" w:themeColor="text1"/>
        </w:rPr>
        <w:t xml:space="preserv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Order, Legitimacy, and Wealth in Ancient States 46, 56, 58–59 (2000) (documenting that in Old Babylonian cities the </w:t>
      </w:r>
      <w:proofErr w:type="spellStart"/>
      <w:r>
        <w:rPr>
          <w:smallCaps/>
          <w:color w:val="000000" w:themeColor="text1"/>
        </w:rPr>
        <w:t>kārum</w:t>
      </w:r>
      <w:proofErr w:type="spellEnd"/>
      <w:r>
        <w:rPr>
          <w:smallCaps/>
          <w:color w:val="000000" w:themeColor="text1"/>
        </w:rPr>
        <w:t xml:space="preserve">, the </w:t>
      </w:r>
      <w:proofErr w:type="spellStart"/>
      <w:r>
        <w:rPr>
          <w:smallCaps/>
          <w:color w:val="000000" w:themeColor="text1"/>
        </w:rPr>
        <w:t>puhrum</w:t>
      </w:r>
      <w:proofErr w:type="spellEnd"/>
      <w:r>
        <w:rPr>
          <w:smallCaps/>
          <w:color w:val="000000" w:themeColor="text1"/>
        </w:rPr>
        <w:t>, elders, and “the judges of city-name” all settled disputes, sometimes in a “mixed” panel with royal officials, and arguing that “[c]</w:t>
      </w:r>
      <w:proofErr w:type="spellStart"/>
      <w:r>
        <w:rPr>
          <w:smallCaps/>
          <w:color w:val="000000" w:themeColor="text1"/>
        </w:rPr>
        <w:t>ouncils</w:t>
      </w:r>
      <w:proofErr w:type="spellEnd"/>
      <w:r>
        <w:rPr>
          <w:smallCaps/>
          <w:color w:val="000000" w:themeColor="text1"/>
        </w:rPr>
        <w:t>, assemblies, and groups of elders are consistent features of Mesopotamian life and not simply to be reduced to ‘first steps’” in a process ending in a royal court)</w:t>
      </w:r>
      <w:r>
        <w:rPr>
          <w:color w:val="000000" w:themeColor="text1"/>
        </w:rPr>
        <w:t xml:space="preserve">; </w:t>
      </w:r>
      <w:r>
        <w:rPr>
          <w:i/>
          <w:iCs/>
          <w:color w:val="000000" w:themeColor="text1"/>
        </w:rPr>
        <w:t>see also</w:t>
      </w:r>
      <w:r>
        <w:rPr>
          <w:color w:val="000000" w:themeColor="text1"/>
        </w:rPr>
        <w:t xml:space="preserve"> Sophie </w:t>
      </w:r>
      <w:proofErr w:type="spellStart"/>
      <w:r>
        <w:rPr>
          <w:color w:val="000000" w:themeColor="text1"/>
        </w:rPr>
        <w:t>Démare-Lafont</w:t>
      </w:r>
      <w:proofErr w:type="spellEnd"/>
      <w:r>
        <w:rPr>
          <w:color w:val="000000" w:themeColor="text1"/>
        </w:rPr>
        <w:t xml:space="preserve">, </w:t>
      </w:r>
      <w:r>
        <w:rPr>
          <w:i/>
          <w:iCs/>
          <w:color w:val="000000" w:themeColor="text1"/>
        </w:rPr>
        <w:t>Mesopotamian Judicial Practice: An Overview</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Judicial Decisions in the Ancient Near East</w:t>
      </w:r>
      <w:r>
        <w:rPr>
          <w:color w:val="000000" w:themeColor="text1"/>
        </w:rPr>
        <w:t xml:space="preserve"> 1, 2, 7 (Sophie </w:t>
      </w:r>
      <w:proofErr w:type="spellStart"/>
      <w:r>
        <w:rPr>
          <w:color w:val="000000" w:themeColor="text1"/>
        </w:rPr>
        <w:t>Démare-Lafont</w:t>
      </w:r>
      <w:proofErr w:type="spellEnd"/>
      <w:r>
        <w:rPr>
          <w:color w:val="000000" w:themeColor="text1"/>
        </w:rPr>
        <w:t xml:space="preserve"> &amp; Daniel E. Fleming eds., 2023) (describing Mesopotamian justice as shared among individuals and assemblies “with no hierarchical organization between them and no clear rules for the distribution of cases,” and noting that at </w:t>
      </w:r>
      <w:proofErr w:type="spellStart"/>
      <w:r>
        <w:rPr>
          <w:color w:val="000000" w:themeColor="text1"/>
        </w:rPr>
        <w:t>Nuzi</w:t>
      </w:r>
      <w:proofErr w:type="spellEnd"/>
      <w:r>
        <w:rPr>
          <w:color w:val="000000" w:themeColor="text1"/>
        </w:rPr>
        <w:t xml:space="preserve"> “a party who considered the prospects unsatisfactory for a suit pending before a local court could present it to the king”)</w:t>
      </w:r>
      <w:r>
        <w:rPr>
          <w:smallCaps/>
          <w:color w:val="000000" w:themeColor="text1"/>
        </w:rPr>
        <w:t>.</w:t>
      </w:r>
    </w:p>
  </w:footnote>
  <w:footnote w:id="231">
    <w:p w14:paraId="38EB3D92" w14:textId="77777777" w:rsidR="00D879FE" w:rsidRDefault="00000000">
      <w:pPr>
        <w:pStyle w:val="FootnoteText"/>
        <w:spacing w:line="480" w:lineRule="auto"/>
      </w:pPr>
      <w:r>
        <w:rPr>
          <w:rStyle w:val="FootnoteReference"/>
        </w:rPr>
        <w:footnoteRef/>
      </w:r>
      <w:r>
        <w:t xml:space="preserve"> </w:t>
      </w:r>
      <w:r>
        <w:rPr>
          <w:i/>
        </w:rPr>
        <w:t xml:space="preserve">See </w:t>
      </w:r>
      <w:proofErr w:type="gramStart"/>
      <w:r>
        <w:rPr>
          <w:i/>
        </w:rPr>
        <w:t>infra</w:t>
      </w:r>
      <w:r>
        <w:t xml:space="preserve"> Sections IV</w:t>
      </w:r>
      <w:proofErr w:type="gramEnd"/>
      <w:r>
        <w:t>.A–C (surveying each civilization’s variant of the oath or oath-adjacent QCM).</w:t>
      </w:r>
    </w:p>
  </w:footnote>
  <w:footnote w:id="232">
    <w:p w14:paraId="33A5EAD9" w14:textId="77777777" w:rsidR="00D879FE" w:rsidRDefault="00000000">
      <w:pPr>
        <w:pStyle w:val="FootnoteText"/>
        <w:spacing w:line="480" w:lineRule="auto"/>
      </w:pPr>
      <w:r>
        <w:rPr>
          <w:rStyle w:val="FootnoteReference"/>
        </w:rPr>
        <w:footnoteRef/>
      </w:r>
      <w:r>
        <w:t xml:space="preserve"> Hugo Mercier &amp; Pascal Boyer, </w:t>
      </w:r>
      <w:r>
        <w:rPr>
          <w:i/>
        </w:rPr>
        <w:t>Truth-Making Institutions: From Divination, Ordeals and Oaths to Judicial Torture and Rules of Evidence</w:t>
      </w:r>
      <w:r>
        <w:t xml:space="preserve">, 42 </w:t>
      </w:r>
      <w:r>
        <w:rPr>
          <w:smallCaps/>
        </w:rPr>
        <w:t xml:space="preserve">Evolution &amp; Hum. </w:t>
      </w:r>
      <w:proofErr w:type="spellStart"/>
      <w:r>
        <w:rPr>
          <w:smallCaps/>
        </w:rPr>
        <w:t>Behav</w:t>
      </w:r>
      <w:proofErr w:type="spellEnd"/>
      <w:r>
        <w:rPr>
          <w:smallCaps/>
        </w:rPr>
        <w:t>.</w:t>
      </w:r>
      <w:r>
        <w:t xml:space="preserve"> 259, 264 (2021).</w:t>
      </w:r>
    </w:p>
  </w:footnote>
  <w:footnote w:id="233">
    <w:p w14:paraId="7F2F5461" w14:textId="77777777" w:rsidR="00B4030E"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Bertrand </w:t>
      </w:r>
      <w:proofErr w:type="spellStart"/>
      <w:r>
        <w:rPr>
          <w:color w:val="000000" w:themeColor="text1"/>
        </w:rPr>
        <w:t>Lafont</w:t>
      </w:r>
      <w:proofErr w:type="spellEnd"/>
      <w:r>
        <w:rPr>
          <w:color w:val="000000" w:themeColor="text1"/>
        </w:rPr>
        <w:t xml:space="preserve">, </w:t>
      </w:r>
      <w:r>
        <w:rPr>
          <w:i/>
          <w:iCs/>
          <w:color w:val="000000" w:themeColor="text1"/>
        </w:rPr>
        <w:t>Sumerian Judicial Decisions</w:t>
      </w:r>
      <w:r>
        <w:rPr>
          <w:color w:val="000000" w:themeColor="text1"/>
        </w:rPr>
        <w:t xml:space="preserve">, </w:t>
      </w:r>
      <w:r>
        <w:rPr>
          <w:i/>
          <w:iCs/>
          <w:color w:val="000000" w:themeColor="text1"/>
        </w:rPr>
        <w:t xml:space="preserve">in </w:t>
      </w:r>
      <w:r>
        <w:rPr>
          <w:smallCaps/>
          <w:color w:val="000000" w:themeColor="text1"/>
        </w:rPr>
        <w:t>Judicial Decisions in the Ancient Near East</w:t>
      </w:r>
      <w:r>
        <w:rPr>
          <w:color w:val="000000" w:themeColor="text1"/>
        </w:rPr>
        <w:t xml:space="preserve"> 33, 36–37 (Sophie </w:t>
      </w:r>
      <w:proofErr w:type="spellStart"/>
      <w:r>
        <w:rPr>
          <w:color w:val="000000" w:themeColor="text1"/>
        </w:rPr>
        <w:t>Démare-Lafont</w:t>
      </w:r>
      <w:proofErr w:type="spellEnd"/>
      <w:r>
        <w:rPr>
          <w:color w:val="000000" w:themeColor="text1"/>
        </w:rPr>
        <w:t xml:space="preserve"> &amp; Daniel E. Fleming eds., 2023); see generally id. (chapters 3–9, each by its own author) (Sumerian (Ch. 2 pp. 36–37, describing delegation of justice to provincial </w:t>
      </w:r>
      <w:proofErr w:type="spellStart"/>
      <w:r>
        <w:rPr>
          <w:color w:val="000000" w:themeColor="text1"/>
        </w:rPr>
        <w:t>ensi</w:t>
      </w:r>
      <w:proofErr w:type="spellEnd"/>
      <w:r>
        <w:rPr>
          <w:color w:val="000000" w:themeColor="text1"/>
        </w:rPr>
        <w:t xml:space="preserve"> and collegial judging “up to seven per case,” with </w:t>
      </w:r>
      <w:proofErr w:type="spellStart"/>
      <w:r>
        <w:rPr>
          <w:color w:val="000000" w:themeColor="text1"/>
        </w:rPr>
        <w:t>maškim</w:t>
      </w:r>
      <w:proofErr w:type="spellEnd"/>
      <w:r>
        <w:rPr>
          <w:color w:val="000000" w:themeColor="text1"/>
        </w:rPr>
        <w:t xml:space="preserve"> serving investigative/attesting roles—plural judging under a royal prerogative); Old Babylonian (Ch. 3 pp. 104, 127, 184, showing temple-centered procedure and oaths before gods; issuance of a no-contest tablet; and mayor + elders convened under oath—an oath-gated escalation model); Old Assyrian (Ch. 4 pp. 224, witnessed depositions and private arbitration comprise the bulk of judicial records under </w:t>
      </w:r>
      <w:proofErr w:type="spellStart"/>
      <w:r>
        <w:rPr>
          <w:color w:val="000000" w:themeColor="text1"/>
        </w:rPr>
        <w:t>kārum</w:t>
      </w:r>
      <w:proofErr w:type="spellEnd"/>
      <w:r>
        <w:rPr>
          <w:color w:val="000000" w:themeColor="text1"/>
        </w:rPr>
        <w:t xml:space="preserve"> authority—privately initiated, multi-forum processing); </w:t>
      </w:r>
      <w:proofErr w:type="spellStart"/>
      <w:r>
        <w:rPr>
          <w:color w:val="000000" w:themeColor="text1"/>
        </w:rPr>
        <w:t>Arraphe</w:t>
      </w:r>
      <w:proofErr w:type="spellEnd"/>
      <w:r>
        <w:rPr>
          <w:color w:val="000000" w:themeColor="text1"/>
        </w:rPr>
        <w:t xml:space="preserve"> (Ch. 5 pp. 299, 307, trials held in different localities, actions initiated by private parties (the state does not initiate), and enforcement via tablet of agreement—classic pre-claim + non-integration); </w:t>
      </w:r>
      <w:proofErr w:type="spellStart"/>
      <w:r>
        <w:rPr>
          <w:color w:val="000000" w:themeColor="text1"/>
        </w:rPr>
        <w:t>Emar</w:t>
      </w:r>
      <w:proofErr w:type="spellEnd"/>
      <w:r>
        <w:rPr>
          <w:color w:val="000000" w:themeColor="text1"/>
        </w:rPr>
        <w:t xml:space="preserve"> (Ch. 6 pp. 369, 386, disputes settled by “the brothers,” “the great ones,” and “the elders,” with compromises expressly to avoid taking the oath); Ugarit (Ch. 7 pp. 421, elders of </w:t>
      </w:r>
      <w:proofErr w:type="spellStart"/>
      <w:r>
        <w:rPr>
          <w:color w:val="000000" w:themeColor="text1"/>
        </w:rPr>
        <w:t>Rakba</w:t>
      </w:r>
      <w:proofErr w:type="spellEnd"/>
      <w:r>
        <w:rPr>
          <w:color w:val="000000" w:themeColor="text1"/>
        </w:rPr>
        <w:t xml:space="preserve"> and an overseer-of-one-thousand ordered to enter the temple for clearance—temple/elder nexus rather than a single Court); Neo-Assyrian (Ch. 8 pp. 461, local notables acting as judges with authority limited to arbitration by party agreement); Neo-Babylonian (Ch. 9 pp. 516, 532, assemblies of free men and large judicial assemblies joining temple officials with citizens; oath sworn before the assembly)); </w:t>
      </w:r>
      <w:r>
        <w:rPr>
          <w:i/>
          <w:iCs/>
          <w:color w:val="000000" w:themeColor="text1"/>
        </w:rPr>
        <w:t>see also</w:t>
      </w:r>
      <w:r>
        <w:rPr>
          <w:color w:val="000000" w:themeColor="text1"/>
        </w:rPr>
        <w:t xml:space="preserve"> </w:t>
      </w:r>
      <w:proofErr w:type="spellStart"/>
      <w:r>
        <w:rPr>
          <w:smallCaps/>
          <w:color w:val="000000" w:themeColor="text1"/>
        </w:rPr>
        <w:t>Klaas</w:t>
      </w:r>
      <w:proofErr w:type="spellEnd"/>
      <w:r>
        <w:rPr>
          <w:smallCaps/>
          <w:color w:val="000000" w:themeColor="text1"/>
        </w:rPr>
        <w:t xml:space="preserve"> R. Veenhof, The Old Assyrian Period, in Mesopotamia: The Old Assyrian Period 13, 52</w:t>
      </w:r>
      <w:r>
        <w:rPr>
          <w:color w:val="000000" w:themeColor="text1"/>
        </w:rPr>
        <w:t xml:space="preserve"> (Markus </w:t>
      </w:r>
      <w:proofErr w:type="spellStart"/>
      <w:r>
        <w:rPr>
          <w:color w:val="000000" w:themeColor="text1"/>
        </w:rPr>
        <w:t>Wäfler</w:t>
      </w:r>
      <w:proofErr w:type="spellEnd"/>
      <w:r>
        <w:rPr>
          <w:color w:val="000000" w:themeColor="text1"/>
        </w:rPr>
        <w:t xml:space="preserve"> ed., 2008).</w:t>
      </w:r>
    </w:p>
  </w:footnote>
  <w:footnote w:id="234">
    <w:p w14:paraId="55C50D5D" w14:textId="77777777" w:rsidR="00C048A0"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Raymond Westbrook, </w:t>
      </w:r>
      <w:r>
        <w:rPr>
          <w:i/>
          <w:iCs/>
          <w:color w:val="000000" w:themeColor="text1"/>
        </w:rPr>
        <w:t>The Character of Ancient Near Eastern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A History of Ancient Near Eastern Law</w:t>
      </w:r>
      <w:r>
        <w:rPr>
          <w:color w:val="000000" w:themeColor="text1"/>
        </w:rPr>
        <w:t xml:space="preserve"> 1, 34 (Raymond Westbrook ed., 2003); </w:t>
      </w:r>
      <w:proofErr w:type="spellStart"/>
      <w:r>
        <w:rPr>
          <w:color w:val="000000" w:themeColor="text1"/>
        </w:rPr>
        <w:t>Démare-Lafont</w:t>
      </w:r>
      <w:proofErr w:type="spellEnd"/>
      <w:r>
        <w:rPr>
          <w:color w:val="000000" w:themeColor="text1"/>
        </w:rPr>
        <w:t xml:space="preserve">, </w:t>
      </w:r>
      <w:r>
        <w:rPr>
          <w:i/>
          <w:iCs/>
          <w:color w:val="000000" w:themeColor="text1"/>
        </w:rPr>
        <w:t>supra</w:t>
      </w:r>
      <w:r>
        <w:rPr>
          <w:color w:val="000000" w:themeColor="text1"/>
        </w:rPr>
        <w:t xml:space="preserve"> note 290, at 19 (explaining that because the temple supervised the decisional oath, “[t]he lawsuit was thus divided in two phases,” and that “[t]he fear of the gods exerted psychological pressure to induce the litigants to compromise”); </w:t>
      </w:r>
      <w:r>
        <w:rPr>
          <w:smallCaps/>
          <w:color w:val="000000" w:themeColor="text1"/>
        </w:rPr>
        <w:t>Martha T. Roth, Law Collections from Mesopotamia and Asia Minor</w:t>
      </w:r>
      <w:r>
        <w:rPr>
          <w:color w:val="000000" w:themeColor="text1"/>
        </w:rPr>
        <w:t xml:space="preserve"> 238 (2d ed. 1997); </w:t>
      </w:r>
      <w:r>
        <w:rPr>
          <w:smallCaps/>
          <w:color w:val="000000" w:themeColor="text1"/>
        </w:rPr>
        <w:t>David P. Wright, Inventing God’s Law: How the Covenant Code of the Bible Used and Revised the Laws of Hammurabi</w:t>
      </w:r>
      <w:r>
        <w:rPr>
          <w:color w:val="000000" w:themeColor="text1"/>
        </w:rPr>
        <w:t xml:space="preserve"> 50 (2009); </w:t>
      </w:r>
      <w:proofErr w:type="spellStart"/>
      <w:r>
        <w:rPr>
          <w:smallCaps/>
          <w:color w:val="000000" w:themeColor="text1"/>
        </w:rPr>
        <w:t>Barmash</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_Ref214118354 \h  \* MERGEFORMAT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r>
        <w:rPr>
          <w:color w:val="000000" w:themeColor="text1"/>
        </w:rPr>
        <w:t xml:space="preserve">; </w:t>
      </w:r>
      <w:r>
        <w:rPr>
          <w:i/>
          <w:iCs/>
          <w:color w:val="000000" w:themeColor="text1"/>
        </w:rPr>
        <w:t>see also</w:t>
      </w:r>
      <w:r>
        <w:rPr>
          <w:color w:val="000000" w:themeColor="text1"/>
        </w:rPr>
        <w:t xml:space="preserve"> </w:t>
      </w:r>
      <w:r>
        <w:rPr>
          <w:smallCaps/>
          <w:color w:val="000000" w:themeColor="text1"/>
        </w:rPr>
        <w:t>Yael Ziegler, Promises to Keep: The Oath in Biblical Narrative</w:t>
      </w:r>
      <w:r>
        <w:rPr>
          <w:color w:val="000000" w:themeColor="text1"/>
        </w:rPr>
        <w:t xml:space="preserve"> 4 (2008) (relating the “reverential and even fearful attitude toward oaths” to “the oath’s appeal to a powerful agency (magical, divine or human) to execute a sanction against a violator of the terms of the oath,” and noting that “most modern scholars believe that the oath’s power emanates from the fact that every oath contains a conditional curse”);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11 (“The Problem of Judgement: Oaths, Ordeals, and Evidence”) (describing oath-taking as a near-universal proof procedure); cf. id. </w:t>
      </w:r>
      <w:proofErr w:type="spellStart"/>
      <w:r>
        <w:rPr>
          <w:color w:val="000000" w:themeColor="text1"/>
        </w:rPr>
        <w:t>ch.</w:t>
      </w:r>
      <w:proofErr w:type="spellEnd"/>
      <w:r>
        <w:rPr>
          <w:color w:val="000000" w:themeColor="text1"/>
        </w:rPr>
        <w:t xml:space="preserve"> 8 (“Embracing the Laws of Religion”) (eleventh-century </w:t>
      </w:r>
      <w:proofErr w:type="spellStart"/>
      <w:r>
        <w:rPr>
          <w:color w:val="000000" w:themeColor="text1"/>
        </w:rPr>
        <w:t>Fustat</w:t>
      </w:r>
      <w:proofErr w:type="spellEnd"/>
      <w:r>
        <w:rPr>
          <w:color w:val="000000" w:themeColor="text1"/>
        </w:rPr>
        <w:t>: “[T]he elders were often able to negotiate a settlement just before the parties were due to undergo this fear-inducing process.”).</w:t>
      </w:r>
    </w:p>
  </w:footnote>
  <w:footnote w:id="235">
    <w:p w14:paraId="039E99DB" w14:textId="77777777" w:rsidR="00056B26" w:rsidRPr="005B3E31" w:rsidRDefault="00056B26" w:rsidP="003D74D8">
      <w:pPr>
        <w:pStyle w:val="FootnoteText"/>
        <w:spacing w:line="480" w:lineRule="auto"/>
      </w:pPr>
      <w:r>
        <w:rPr>
          <w:rStyle w:val="FootnoteReference"/>
        </w:rPr>
        <w:footnoteRef/>
      </w:r>
      <w:r>
        <w:t xml:space="preserve"> </w:t>
      </w:r>
      <w:proofErr w:type="spellStart"/>
      <w:r>
        <w:t>Klaas</w:t>
      </w:r>
      <w:proofErr w:type="spellEnd"/>
      <w:r>
        <w:t xml:space="preserve"> R. Veenhof, Old Assyrian Period, in 1 A History of Ancient Near Eastern Law 431, 443 (Raymond Westbrook ed., 2003).</w:t>
      </w:r>
    </w:p>
  </w:footnote>
  <w:footnote w:id="236">
    <w:p w14:paraId="76811DB4" w14:textId="77777777"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69 (describing ancient Near Eastern law as “the expression of divine and errorless wisdom” alterable only “by a delivery of new law from the god to the priests or to the king”);</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 xml:space="preserve">Pirie, supra note 21, </w:t>
      </w:r>
      <w:proofErr w:type="spellStart"/>
      <w:r>
        <w:rPr>
          <w:smallCaps/>
          <w:color w:val="000000" w:themeColor="text1"/>
        </w:rPr>
        <w:t>ch.</w:t>
      </w:r>
      <w:proofErr w:type="spellEnd"/>
      <w:r>
        <w:rPr>
          <w:smallCaps/>
          <w:color w:val="000000" w:themeColor="text1"/>
        </w:rPr>
        <w:t xml:space="preserve"> 11 (“premodern societies the world over invoked the divine to determine whether someone was guilty of a crime”);</w:t>
      </w:r>
      <w:r>
        <w:rPr>
          <w:color w:val="000000" w:themeColor="text1"/>
        </w:rPr>
        <w:t xml:space="preserve"> </w:t>
      </w:r>
      <w:r>
        <w:rPr>
          <w:smallCaps/>
          <w:color w:val="000000" w:themeColor="text1"/>
        </w:rPr>
        <w:t>Stephen C. Russell, The King and the Land: A Geography of Royal Power in the Biblical World</w:t>
      </w:r>
      <w:r>
        <w:rPr>
          <w:color w:val="000000" w:themeColor="text1"/>
        </w:rPr>
        <w:t xml:space="preserve"> 25 (Oxford Univ. Press 2017) (“By invoking Yahweh’s name in his refusal he pronounced what amounted to a conditional </w:t>
      </w:r>
      <w:proofErr w:type="spellStart"/>
      <w:r>
        <w:rPr>
          <w:color w:val="000000" w:themeColor="text1"/>
        </w:rPr>
        <w:t>self curse</w:t>
      </w:r>
      <w:proofErr w:type="spellEnd"/>
      <w:r>
        <w:rPr>
          <w:color w:val="000000" w:themeColor="text1"/>
        </w:rPr>
        <w:t>, ‘Yahweh forbid that I . . . sell you my ancestral inheritance!’ (v. 3). This imprecation indicates the finality of his decision—there is no possibility of changing his mind once Yahweh has been invoked”).</w:t>
      </w:r>
    </w:p>
  </w:footnote>
  <w:footnote w:id="237">
    <w:p w14:paraId="525D769B" w14:textId="77777777" w:rsidR="002575FC" w:rsidRPr="005B3E31" w:rsidRDefault="002575FC" w:rsidP="003D74D8">
      <w:pPr>
        <w:pStyle w:val="FootnoteText"/>
        <w:spacing w:line="480" w:lineRule="auto"/>
      </w:pPr>
      <w:r>
        <w:rPr>
          <w:rStyle w:val="FootnoteReference"/>
        </w:rPr>
        <w:footnoteRef/>
      </w:r>
      <w:r>
        <w:t xml:space="preserve"> Westbrook, </w:t>
      </w:r>
      <w:r>
        <w:rPr>
          <w:i/>
          <w:iCs/>
        </w:rPr>
        <w:t>supra</w:t>
      </w:r>
      <w:r>
        <w:t xml:space="preserve"> note 292, at 34 (“The oath is deemed irrefutable proof, so much so that records of litigation often end with the court’s decision to send a party or witnesses to the oath. The theory was that fear of divine retribution would constrain the oath-taker to speak the truth. (If later uncovered, a false oath could also lead to punishment by the court.)”).</w:t>
      </w:r>
    </w:p>
  </w:footnote>
  <w:footnote w:id="238">
    <w:p w14:paraId="669BE7A8" w14:textId="77777777" w:rsidR="009F2336" w:rsidRPr="005B3E31" w:rsidRDefault="009F233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 xml:space="preserve">Tarah Van De </w:t>
      </w:r>
      <w:proofErr w:type="spellStart"/>
      <w:r>
        <w:rPr>
          <w:smallCaps/>
          <w:color w:val="000000" w:themeColor="text1"/>
          <w:sz w:val="20"/>
          <w:szCs w:val="20"/>
        </w:rPr>
        <w:t>Wiele</w:t>
      </w:r>
      <w:proofErr w:type="spellEnd"/>
      <w:r>
        <w:rPr>
          <w:smallCaps/>
          <w:color w:val="000000" w:themeColor="text1"/>
          <w:sz w:val="20"/>
          <w:szCs w:val="20"/>
        </w:rPr>
        <w:t>, Cast Them Out for Their Many Crimes</w:t>
      </w:r>
      <w:r>
        <w:rPr>
          <w:color w:val="000000" w:themeColor="text1"/>
          <w:sz w:val="20"/>
          <w:szCs w:val="20"/>
        </w:rPr>
        <w:t xml:space="preserve"> 170–83 (University of Nottingham 2016); </w:t>
      </w:r>
      <w:r>
        <w:rPr>
          <w:smallCaps/>
          <w:color w:val="000000" w:themeColor="text1"/>
          <w:sz w:val="20"/>
          <w:szCs w:val="20"/>
        </w:rPr>
        <w:t>Larry May, Ancient Legal Thought: Equity, Justice, and Humaneness from Hammurabi and the Pharaohs to Justinian and the Talmud</w:t>
      </w:r>
      <w:r>
        <w:rPr>
          <w:color w:val="000000" w:themeColor="text1"/>
          <w:sz w:val="20"/>
          <w:szCs w:val="20"/>
        </w:rPr>
        <w:t xml:space="preserve"> 11–12, 15, 20–22 (2019) (arguing against Westbrook that ancient Near Eastern law codes reason abstractly, “encompass[</w:t>
      </w:r>
      <w:proofErr w:type="spellStart"/>
      <w:r>
        <w:rPr>
          <w:color w:val="000000" w:themeColor="text1"/>
          <w:sz w:val="20"/>
          <w:szCs w:val="20"/>
        </w:rPr>
        <w:t>ing</w:t>
      </w:r>
      <w:proofErr w:type="spellEnd"/>
      <w:r>
        <w:rPr>
          <w:color w:val="000000" w:themeColor="text1"/>
          <w:sz w:val="20"/>
          <w:szCs w:val="20"/>
        </w:rPr>
        <w:t>] a broad array of cases, indeed cases that have not yet been encountered,” through case variations “attempting to illustrate what was relevantly similar and dissimilar”).</w:t>
      </w:r>
    </w:p>
  </w:footnote>
  <w:footnote w:id="239">
    <w:p w14:paraId="0612FF96" w14:textId="77777777" w:rsidR="00E60F58" w:rsidRPr="005B3E31" w:rsidRDefault="00E60F58" w:rsidP="003D74D8">
      <w:pPr>
        <w:pStyle w:val="FootnoteText"/>
        <w:spacing w:line="480" w:lineRule="auto"/>
      </w:pPr>
      <w:r>
        <w:rPr>
          <w:rStyle w:val="FootnoteReference"/>
        </w:rPr>
        <w:footnoteRef/>
      </w:r>
      <w:r>
        <w:t xml:space="preserve"> </w:t>
      </w:r>
      <w:r>
        <w:rPr>
          <w:smallCaps/>
        </w:rPr>
        <w:t>Barbara Ashley Phillips, The Mediation Field Guide: Transcending Litigation and Resolving Conflicts in Your Business or Organization</w:t>
      </w:r>
      <w:r>
        <w:t xml:space="preserve"> 35 (2001) (“</w:t>
      </w:r>
      <w:proofErr w:type="gramStart"/>
      <w:r>
        <w:t>Lit-think</w:t>
      </w:r>
      <w:proofErr w:type="gramEnd"/>
      <w:r>
        <w:t xml:space="preserve"> is a knee-jerk reaction to perceived injury or affront that throws people into fight mode and propels them toward litigation. . . . It drove us to lawyers for advice on everyday business affairs. . . . Lit-think is based on fear.”); </w:t>
      </w:r>
      <w:r>
        <w:rPr>
          <w:i/>
          <w:iCs/>
        </w:rPr>
        <w:t>cf.</w:t>
      </w:r>
      <w:r>
        <w:t xml:space="preserve"> </w:t>
      </w:r>
      <w:proofErr w:type="spellStart"/>
      <w:r>
        <w:t>Démare-Lafont</w:t>
      </w:r>
      <w:proofErr w:type="spellEnd"/>
      <w:r>
        <w:t xml:space="preserve">, </w:t>
      </w:r>
      <w:r>
        <w:rPr>
          <w:i/>
          <w:iCs/>
        </w:rPr>
        <w:t>supra</w:t>
      </w:r>
      <w:r>
        <w:t xml:space="preserve"> note 290, at 11 (noting that in Mesopotamia “[t]he adversarial system could encourage false accusations, a real danger for innocent individuals who were wrongly prosecuted”).</w:t>
      </w:r>
    </w:p>
  </w:footnote>
  <w:footnote w:id="240">
    <w:p w14:paraId="21E3D205" w14:textId="77777777"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Bertrand </w:t>
      </w:r>
      <w:proofErr w:type="spellStart"/>
      <w:r>
        <w:rPr>
          <w:smallCaps/>
          <w:color w:val="000000" w:themeColor="text1"/>
        </w:rPr>
        <w:t>Lafont</w:t>
      </w:r>
      <w:proofErr w:type="spellEnd"/>
      <w:r>
        <w:rPr>
          <w:smallCaps/>
          <w:color w:val="000000" w:themeColor="text1"/>
        </w:rPr>
        <w:t xml:space="preserve"> &amp; Raymond Westbrook, Neo-Sumerian Period (Ur III), in 1 A History of Ancient Near Eastern Law 183, 196 (Raymond Westbrook ed., 2003).</w:t>
      </w:r>
    </w:p>
  </w:footnote>
  <w:footnote w:id="241">
    <w:p w14:paraId="3BFCC9F5" w14:textId="77777777"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Westbrook, </w:t>
      </w:r>
      <w:r>
        <w:rPr>
          <w:i/>
          <w:iCs/>
          <w:color w:val="000000" w:themeColor="text1"/>
        </w:rPr>
        <w:t>supra</w:t>
      </w:r>
      <w:r>
        <w:rPr>
          <w:color w:val="000000" w:themeColor="text1"/>
        </w:rPr>
        <w:t xml:space="preserve"> note 292, at 26, 34</w:t>
      </w:r>
      <w:r>
        <w:rPr>
          <w:i/>
          <w:iCs/>
          <w:color w:val="000000" w:themeColor="text1"/>
        </w:rPr>
        <w:t>.</w:t>
      </w:r>
    </w:p>
  </w:footnote>
  <w:footnote w:id="242">
    <w:p w14:paraId="6BDC820F" w14:textId="77777777" w:rsidR="00D86FE8" w:rsidRPr="005B3E31" w:rsidRDefault="00D86FE8" w:rsidP="003D74D8">
      <w:pPr>
        <w:pStyle w:val="FootnoteText"/>
        <w:spacing w:line="480" w:lineRule="auto"/>
      </w:pPr>
      <w:r>
        <w:rPr>
          <w:rStyle w:val="FootnoteReference"/>
        </w:rPr>
        <w:footnoteRef/>
      </w:r>
      <w:r>
        <w:t xml:space="preserve"> </w:t>
      </w:r>
      <w:r>
        <w:rPr>
          <w:i/>
          <w:iCs/>
        </w:rPr>
        <w:t xml:space="preserve">Kathryn </w:t>
      </w:r>
      <w:proofErr w:type="spellStart"/>
      <w:r>
        <w:rPr>
          <w:i/>
          <w:iCs/>
        </w:rPr>
        <w:t>Slanski</w:t>
      </w:r>
      <w:proofErr w:type="spellEnd"/>
      <w:r>
        <w:rPr>
          <w:i/>
          <w:iCs/>
        </w:rPr>
        <w:t>, Middle Babylonian Period, in 1 A History of Ancient Near Eastern Law 485, 495 (Raymond Westbrook ed., 2003).</w:t>
      </w:r>
    </w:p>
  </w:footnote>
  <w:footnote w:id="243">
    <w:p w14:paraId="05767349" w14:textId="77777777" w:rsidR="00B5534C" w:rsidRPr="005B3E31" w:rsidRDefault="00B5534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1 </w:t>
      </w:r>
      <w:r>
        <w:rPr>
          <w:smallCaps/>
          <w:color w:val="000000" w:themeColor="text1"/>
        </w:rPr>
        <w:t>A History of Ancient Near Eastern Law</w:t>
      </w:r>
      <w:r>
        <w:rPr>
          <w:color w:val="000000" w:themeColor="text1"/>
        </w:rPr>
        <w:t xml:space="preserve"> 26, 28–29, 32–34, 36, 71, 74, 150–51, 154–55, 193–94, 366–67, 370–72, 375–76, 423, 436, 492–93, 495, 553, 574–76, 659–62, 721 (Raymond Westbrook ed., 2003); 2 </w:t>
      </w:r>
      <w:proofErr w:type="gramStart"/>
      <w:r>
        <w:rPr>
          <w:i/>
          <w:iCs/>
          <w:color w:val="000000" w:themeColor="text1"/>
        </w:rPr>
        <w:t>id</w:t>
      </w:r>
      <w:proofErr w:type="gramEnd"/>
      <w:r>
        <w:rPr>
          <w:i/>
          <w:iCs/>
          <w:color w:val="000000" w:themeColor="text1"/>
        </w:rPr>
        <w:t>.</w:t>
      </w:r>
      <w:r>
        <w:rPr>
          <w:color w:val="000000" w:themeColor="text1"/>
        </w:rPr>
        <w:t xml:space="preserve"> at 890–91, 917, 919–20, 922, 924–25; </w:t>
      </w:r>
      <w:r>
        <w:rPr>
          <w:smallCaps/>
          <w:color w:val="000000" w:themeColor="text1"/>
        </w:rPr>
        <w:t>Judicial Decisions in the Ancient Near East</w:t>
      </w:r>
      <w:r>
        <w:rPr>
          <w:color w:val="000000" w:themeColor="text1"/>
        </w:rPr>
        <w:t xml:space="preserve"> 1–2, 4–7, 9–11, 13, 15, 18–21, 35–38, 51–53, 223–24, 331, 333, 336, 341–44, 369, 375, 394, 448 (Sophie </w:t>
      </w:r>
      <w:proofErr w:type="spellStart"/>
      <w:r>
        <w:rPr>
          <w:color w:val="000000" w:themeColor="text1"/>
        </w:rPr>
        <w:t>Démare-Lafont</w:t>
      </w:r>
      <w:proofErr w:type="spellEnd"/>
      <w:r>
        <w:rPr>
          <w:color w:val="000000" w:themeColor="text1"/>
        </w:rPr>
        <w:t xml:space="preserve"> &amp; Daniel E. Fleming eds., 2023); </w:t>
      </w:r>
      <w:r>
        <w:rPr>
          <w:smallCaps/>
          <w:color w:val="000000" w:themeColor="text1"/>
        </w:rPr>
        <w:t xml:space="preserve">Dominique </w:t>
      </w:r>
      <w:proofErr w:type="spellStart"/>
      <w:r>
        <w:rPr>
          <w:smallCaps/>
          <w:color w:val="000000" w:themeColor="text1"/>
        </w:rPr>
        <w:t>Charpin</w:t>
      </w:r>
      <w:proofErr w:type="spellEnd"/>
      <w:r>
        <w:rPr>
          <w:smallCaps/>
          <w:color w:val="000000" w:themeColor="text1"/>
        </w:rPr>
        <w:t>, Hammurabi of Babylon 147–48, 158–59, 180 (2012); Shalom E. Holtz, Neo-Babylonian Court Procedure</w:t>
      </w:r>
      <w:r>
        <w:rPr>
          <w:color w:val="000000" w:themeColor="text1"/>
        </w:rPr>
        <w:t xml:space="preserve"> 48–50, 54 n.41, 106, 250, 263, 299–300, 303 (2009); </w:t>
      </w:r>
      <w:r>
        <w:rPr>
          <w:smallCaps/>
          <w:color w:val="000000" w:themeColor="text1"/>
        </w:rPr>
        <w:t>Laura E. Culbertson, Dispute Resolution in the Provincial Courts of the Third Dynasty of Ur</w:t>
      </w:r>
      <w:r>
        <w:rPr>
          <w:color w:val="000000" w:themeColor="text1"/>
        </w:rPr>
        <w:t xml:space="preserve"> 73–74, 85, 87–90, 133–34 (2009) (Ph.D. dissertation, University of Michigan); </w:t>
      </w:r>
      <w:r>
        <w:rPr>
          <w:smallCaps/>
          <w:color w:val="000000" w:themeColor="text1"/>
        </w:rPr>
        <w:t>Roth</w:t>
      </w:r>
      <w:r>
        <w:rPr>
          <w:color w:val="000000" w:themeColor="text1"/>
        </w:rPr>
        <w:t xml:space="preserve">, </w:t>
      </w:r>
      <w:r>
        <w:rPr>
          <w:i/>
          <w:iCs/>
          <w:color w:val="000000" w:themeColor="text1"/>
        </w:rPr>
        <w:t>supra</w:t>
      </w:r>
      <w:r>
        <w:rPr>
          <w:color w:val="000000" w:themeColor="text1"/>
        </w:rPr>
        <w:t xml:space="preserve"> note 292, at 16 (prologue to the Laws of Ur-</w:t>
      </w:r>
      <w:proofErr w:type="spellStart"/>
      <w:r>
        <w:rPr>
          <w:color w:val="000000" w:themeColor="text1"/>
        </w:rPr>
        <w:t>Namma</w:t>
      </w:r>
      <w:proofErr w:type="spellEnd"/>
      <w:r>
        <w:rPr>
          <w:color w:val="000000" w:themeColor="text1"/>
        </w:rPr>
        <w:t xml:space="preserve">). </w:t>
      </w:r>
    </w:p>
  </w:footnote>
  <w:footnote w:id="244">
    <w:p w14:paraId="2C317856" w14:textId="7777777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This hypothetical is of my own creation, but the facts are very loosely based on historical records which are cited throughout this paragraph.</w:t>
      </w:r>
    </w:p>
  </w:footnote>
  <w:footnote w:id="245">
    <w:p w14:paraId="00E2334B" w14:textId="7777777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 B. </w:t>
      </w:r>
      <w:proofErr w:type="spellStart"/>
      <w:r>
        <w:rPr>
          <w:color w:val="000000" w:themeColor="text1"/>
        </w:rPr>
        <w:t>Rowton</w:t>
      </w:r>
      <w:proofErr w:type="spellEnd"/>
      <w:r>
        <w:rPr>
          <w:color w:val="000000" w:themeColor="text1"/>
        </w:rPr>
        <w:t>, </w:t>
      </w:r>
      <w:r>
        <w:rPr>
          <w:i/>
          <w:iCs/>
          <w:color w:val="000000" w:themeColor="text1"/>
        </w:rPr>
        <w:t xml:space="preserve">Watercourses and Water Rights in the Official Correspondence from Larsa and </w:t>
      </w:r>
      <w:proofErr w:type="spellStart"/>
      <w:r>
        <w:rPr>
          <w:i/>
          <w:iCs/>
          <w:color w:val="000000" w:themeColor="text1"/>
        </w:rPr>
        <w:t>Isin</w:t>
      </w:r>
      <w:proofErr w:type="spellEnd"/>
      <w:r>
        <w:rPr>
          <w:color w:val="000000" w:themeColor="text1"/>
        </w:rPr>
        <w:t xml:space="preserve">, 21 J. </w:t>
      </w:r>
      <w:r>
        <w:rPr>
          <w:smallCaps/>
          <w:color w:val="000000" w:themeColor="text1"/>
        </w:rPr>
        <w:t>Cuneiform Stud</w:t>
      </w:r>
      <w:r>
        <w:rPr>
          <w:color w:val="000000" w:themeColor="text1"/>
        </w:rPr>
        <w:t xml:space="preserve">. 267, 269 (1967); </w:t>
      </w:r>
      <w:r>
        <w:rPr>
          <w:smallCaps/>
          <w:color w:val="000000" w:themeColor="text1"/>
        </w:rPr>
        <w:t>Stanley D. Walters, Water for Larsa: An Old Babylonian Archive Dealing With Irrigation</w:t>
      </w:r>
      <w:r>
        <w:rPr>
          <w:color w:val="000000" w:themeColor="text1"/>
        </w:rPr>
        <w:t xml:space="preserve"> 107–09 (1970).</w:t>
      </w:r>
    </w:p>
  </w:footnote>
  <w:footnote w:id="246">
    <w:p w14:paraId="00D672A2" w14:textId="77777777"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Klaas</w:t>
      </w:r>
      <w:proofErr w:type="spellEnd"/>
      <w:r>
        <w:rPr>
          <w:smallCaps/>
          <w:color w:val="000000" w:themeColor="text1"/>
        </w:rPr>
        <w:t xml:space="preserve"> R. Veenhof, The Old Assyrian Period</w:t>
      </w:r>
      <w:r>
        <w:rPr>
          <w:color w:val="000000" w:themeColor="text1"/>
        </w:rPr>
        <w:t xml:space="preserve"> 181 (Academic Press Fribourg 2008) (“When a party declares ‘Bring my case before the (plenary) </w:t>
      </w:r>
      <w:proofErr w:type="spellStart"/>
      <w:r>
        <w:rPr>
          <w:color w:val="000000" w:themeColor="text1"/>
        </w:rPr>
        <w:t>kårum</w:t>
      </w:r>
      <w:proofErr w:type="spellEnd"/>
      <w:r>
        <w:rPr>
          <w:color w:val="000000" w:themeColor="text1"/>
        </w:rPr>
        <w:t xml:space="preserve">!’, it is an appeal to turn a confrontation before witnesses or arbiters, frequently in the framework of a private summons, into a formal lawsuit before the (plenary) </w:t>
      </w:r>
      <w:proofErr w:type="spellStart"/>
      <w:r>
        <w:rPr>
          <w:color w:val="000000" w:themeColor="text1"/>
        </w:rPr>
        <w:t>kårum</w:t>
      </w:r>
      <w:proofErr w:type="spellEnd"/>
      <w:r>
        <w:rPr>
          <w:color w:val="000000" w:themeColor="text1"/>
        </w:rPr>
        <w:t>”).</w:t>
      </w:r>
    </w:p>
  </w:footnote>
  <w:footnote w:id="247">
    <w:p w14:paraId="3DF84EAD" w14:textId="7777777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Pamela </w:t>
      </w:r>
      <w:proofErr w:type="spellStart"/>
      <w:r>
        <w:rPr>
          <w:smallCaps/>
          <w:color w:val="000000" w:themeColor="text1"/>
        </w:rPr>
        <w:t>Barmash</w:t>
      </w:r>
      <w:proofErr w:type="spellEnd"/>
      <w:r>
        <w:rPr>
          <w:smallCaps/>
          <w:color w:val="000000" w:themeColor="text1"/>
        </w:rPr>
        <w:t>, The Laws of Hammurabi: At the Confluence of Royal and Scribal Traditions</w:t>
      </w:r>
      <w:r>
        <w:rPr>
          <w:color w:val="000000" w:themeColor="text1"/>
        </w:rPr>
        <w:t xml:space="preserve"> 50 (2020) (“[M]</w:t>
      </w:r>
      <w:proofErr w:type="spellStart"/>
      <w:r>
        <w:rPr>
          <w:color w:val="000000" w:themeColor="text1"/>
        </w:rPr>
        <w:t>ost</w:t>
      </w:r>
      <w:proofErr w:type="spellEnd"/>
      <w:r>
        <w:rPr>
          <w:color w:val="000000" w:themeColor="text1"/>
        </w:rPr>
        <w:t xml:space="preserve"> disputes were settled by local authorities, such as the elders of a city ward, the assembly of a town, or a mayor. But by co-opting the legal activities of local authorities, the monarch increased his authority. Nowhere in the Laws of Hammurabi was the legal authority of local authorities invalidated.”); </w:t>
      </w:r>
      <w:r>
        <w:rPr>
          <w:i/>
          <w:iCs/>
          <w:color w:val="000000" w:themeColor="text1"/>
        </w:rPr>
        <w:t>see generally</w:t>
      </w:r>
      <w:r>
        <w:rPr>
          <w:color w:val="000000" w:themeColor="text1"/>
        </w:rPr>
        <w:t xml:space="preserve"> Culbertson, infra note 18, at 69–78 (discussing how Ur III disputes escalated through multiple resolution venues before reaching provincial Courts, including initial attempts at resolution within households and communities, the role of local officials and community leaders in preliminary dispute arbitration, and the trajectory of cases from family and guild contexts to urban authorities, demonstrating that provincial Courts addressed only a fraction of disputes after unsuccessful resolution in other arenas); </w:t>
      </w:r>
      <w:r>
        <w:rPr>
          <w:i/>
          <w:iCs/>
          <w:color w:val="000000" w:themeColor="text1"/>
        </w:rPr>
        <w:t>see also</w:t>
      </w:r>
      <w:r>
        <w:rPr>
          <w:color w:val="000000" w:themeColor="text1"/>
        </w:rPr>
        <w:t xml:space="preserve"> </w:t>
      </w:r>
      <w:r>
        <w:rPr>
          <w:smallCaps/>
          <w:color w:val="000000" w:themeColor="text1"/>
        </w:rPr>
        <w:t xml:space="preserve">Dominique </w:t>
      </w:r>
      <w:proofErr w:type="spellStart"/>
      <w:r>
        <w:rPr>
          <w:smallCaps/>
          <w:color w:val="000000" w:themeColor="text1"/>
        </w:rPr>
        <w:t>Charpin</w:t>
      </w:r>
      <w:proofErr w:type="spellEnd"/>
      <w:r>
        <w:rPr>
          <w:smallCaps/>
          <w:color w:val="000000" w:themeColor="text1"/>
        </w:rPr>
        <w:t>, Writing, Law, and Kingship in Old Babylonian Mesopotamia</w:t>
      </w:r>
      <w:r>
        <w:rPr>
          <w:color w:val="000000" w:themeColor="text1"/>
        </w:rPr>
        <w:t xml:space="preserve"> 46–47 (Jane Marie Todd trans., 2010) (explaining oath procedures requiring divine invocation and risk of curse for perjury); </w:t>
      </w:r>
      <w:r>
        <w:rPr>
          <w:smallCaps/>
          <w:color w:val="000000" w:themeColor="text1"/>
        </w:rPr>
        <w:t>Shalom E. Holtz, Neo-Babylonian Court Procedure</w:t>
      </w:r>
      <w:r>
        <w:rPr>
          <w:color w:val="000000" w:themeColor="text1"/>
        </w:rPr>
        <w:t xml:space="preserve"> 199–210 (2009) (analyzing promissory oaths sworn before authorities with divine sanctions).</w:t>
      </w:r>
    </w:p>
  </w:footnote>
  <w:footnote w:id="248">
    <w:p w14:paraId="79EF0D0F" w14:textId="7777777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Thorkild</w:t>
      </w:r>
      <w:proofErr w:type="spellEnd"/>
      <w:r>
        <w:rPr>
          <w:color w:val="000000" w:themeColor="text1"/>
        </w:rPr>
        <w:t xml:space="preserve"> Jacobsen, </w:t>
      </w:r>
      <w:r>
        <w:rPr>
          <w:i/>
          <w:iCs/>
          <w:color w:val="000000" w:themeColor="text1"/>
        </w:rPr>
        <w:t>Primitive Democracy in Ancient Mesopotamia</w:t>
      </w:r>
      <w:r>
        <w:rPr>
          <w:color w:val="000000" w:themeColor="text1"/>
        </w:rPr>
        <w:t xml:space="preserve">, 2 J. </w:t>
      </w:r>
      <w:r>
        <w:rPr>
          <w:smallCaps/>
          <w:color w:val="000000" w:themeColor="text1"/>
        </w:rPr>
        <w:t>Near E. Stud</w:t>
      </w:r>
      <w:r>
        <w:rPr>
          <w:color w:val="000000" w:themeColor="text1"/>
        </w:rPr>
        <w:t>. 159, 168 (1943).</w:t>
      </w:r>
    </w:p>
  </w:footnote>
  <w:footnote w:id="249">
    <w:p w14:paraId="62D4F19B" w14:textId="7777777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Dominique </w:t>
      </w:r>
      <w:proofErr w:type="spellStart"/>
      <w:r>
        <w:rPr>
          <w:smallCaps/>
          <w:color w:val="000000" w:themeColor="text1"/>
        </w:rPr>
        <w:t>Charpin</w:t>
      </w:r>
      <w:proofErr w:type="spellEnd"/>
      <w:r>
        <w:rPr>
          <w:smallCaps/>
          <w:color w:val="000000" w:themeColor="text1"/>
        </w:rPr>
        <w:t>, Hammurabi of Babylon</w:t>
      </w:r>
      <w:r>
        <w:rPr>
          <w:color w:val="000000" w:themeColor="text1"/>
        </w:rPr>
        <w:t xml:space="preserve"> 107 (2012) (elders were the heads of the most influential families); Laura E. Culbertson, </w:t>
      </w:r>
      <w:r>
        <w:rPr>
          <w:i/>
          <w:iCs/>
          <w:color w:val="000000" w:themeColor="text1"/>
        </w:rPr>
        <w:t>Dispute Resolution in the Provincial Courts of the Third Dynasty of Ur</w:t>
      </w:r>
      <w:r>
        <w:rPr>
          <w:color w:val="000000" w:themeColor="text1"/>
        </w:rPr>
        <w:t xml:space="preserve"> 73, 75, 108 (2009) (unpublished Ph.D. dissertation, University of Michigan); </w:t>
      </w:r>
      <w:r>
        <w:rPr>
          <w:smallCaps/>
          <w:color w:val="000000" w:themeColor="text1"/>
        </w:rPr>
        <w:t xml:space="preserve">W. F. </w:t>
      </w:r>
      <w:proofErr w:type="spellStart"/>
      <w:r>
        <w:rPr>
          <w:smallCaps/>
          <w:color w:val="000000" w:themeColor="text1"/>
        </w:rPr>
        <w:t>Leemans</w:t>
      </w:r>
      <w:proofErr w:type="spellEnd"/>
      <w:r>
        <w:rPr>
          <w:smallCaps/>
          <w:color w:val="000000" w:themeColor="text1"/>
        </w:rPr>
        <w:t xml:space="preserve">, Old Babylonian Texts From </w:t>
      </w:r>
      <w:proofErr w:type="spellStart"/>
      <w:r>
        <w:rPr>
          <w:smallCaps/>
          <w:color w:val="000000" w:themeColor="text1"/>
        </w:rPr>
        <w:t>Dilbat</w:t>
      </w:r>
      <w:proofErr w:type="spellEnd"/>
      <w:r>
        <w:rPr>
          <w:smallCaps/>
          <w:color w:val="000000" w:themeColor="text1"/>
        </w:rPr>
        <w:t>, Sippar, and Other Places</w:t>
      </w:r>
      <w:r>
        <w:rPr>
          <w:color w:val="000000" w:themeColor="text1"/>
        </w:rPr>
        <w:t xml:space="preserve"> 91 (M. </w:t>
      </w:r>
      <w:proofErr w:type="spellStart"/>
      <w:r>
        <w:rPr>
          <w:color w:val="000000" w:themeColor="text1"/>
        </w:rPr>
        <w:t>Stol</w:t>
      </w:r>
      <w:proofErr w:type="spellEnd"/>
      <w:r>
        <w:rPr>
          <w:color w:val="000000" w:themeColor="text1"/>
        </w:rPr>
        <w:t xml:space="preserve"> ed., 2023) (documenting a field-boundary dispute settled by an arbiter and an oath sworn before a divine emblem).</w:t>
      </w:r>
    </w:p>
  </w:footnote>
  <w:footnote w:id="250">
    <w:p w14:paraId="1E45BC93" w14:textId="7777777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w:t>
      </w:r>
      <w:proofErr w:type="spellStart"/>
      <w:r>
        <w:rPr>
          <w:color w:val="000000" w:themeColor="text1"/>
        </w:rPr>
        <w:t>Yoffee</w:t>
      </w:r>
      <w:proofErr w:type="spellEnd"/>
      <w:r>
        <w:rPr>
          <w:color w:val="000000" w:themeColor="text1"/>
        </w:rPr>
        <w:t xml:space="preserv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Order, Legitimacy, and Wealth in Ancient States </w:t>
      </w:r>
      <w:r>
        <w:rPr>
          <w:color w:val="000000" w:themeColor="text1"/>
        </w:rPr>
        <w:t>46, 48–58 (Janet Richards &amp; Mary Van Buren eds., 2000).</w:t>
      </w:r>
    </w:p>
  </w:footnote>
  <w:footnote w:id="251">
    <w:p w14:paraId="74601124" w14:textId="7777777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Culbertson, infra note 18, at 69–78 (documenting from the </w:t>
      </w:r>
      <w:proofErr w:type="spellStart"/>
      <w:r>
        <w:rPr>
          <w:color w:val="000000" w:themeColor="text1"/>
        </w:rPr>
        <w:t>ditila</w:t>
      </w:r>
      <w:proofErr w:type="spellEnd"/>
      <w:r>
        <w:rPr>
          <w:color w:val="000000" w:themeColor="text1"/>
        </w:rPr>
        <w:t xml:space="preserve"> corpus that formal proceedings were memorialized in writing only after earlier stages); </w:t>
      </w:r>
      <w:r>
        <w:rPr>
          <w:i/>
          <w:iCs/>
          <w:color w:val="000000" w:themeColor="text1"/>
        </w:rPr>
        <w:t>see also</w:t>
      </w:r>
      <w:r>
        <w:rPr>
          <w:color w:val="000000" w:themeColor="text1"/>
        </w:rPr>
        <w:t> </w:t>
      </w:r>
      <w:proofErr w:type="spellStart"/>
      <w:r>
        <w:rPr>
          <w:color w:val="000000" w:themeColor="text1"/>
        </w:rPr>
        <w:t>Itzchak</w:t>
      </w:r>
      <w:proofErr w:type="spellEnd"/>
      <w:r>
        <w:rPr>
          <w:color w:val="000000" w:themeColor="text1"/>
        </w:rPr>
        <w:t xml:space="preserve"> E. Kornfeld, </w:t>
      </w:r>
      <w:r>
        <w:rPr>
          <w:i/>
          <w:iCs/>
          <w:color w:val="000000" w:themeColor="text1"/>
        </w:rPr>
        <w:t>Mesopotamia: A History of Water and Law</w:t>
      </w:r>
      <w:r>
        <w:rPr>
          <w:color w:val="000000" w:themeColor="text1"/>
        </w:rPr>
        <w:t>, </w:t>
      </w:r>
      <w:r>
        <w:rPr>
          <w:i/>
          <w:iCs/>
          <w:color w:val="000000" w:themeColor="text1"/>
        </w:rPr>
        <w:t>in</w:t>
      </w:r>
      <w:r>
        <w:rPr>
          <w:color w:val="000000" w:themeColor="text1"/>
        </w:rPr>
        <w:t> </w:t>
      </w:r>
      <w:r>
        <w:rPr>
          <w:smallCaps/>
          <w:color w:val="000000" w:themeColor="text1"/>
        </w:rPr>
        <w:t>The Evolution of the Law and Politics of Water</w:t>
      </w:r>
      <w:r>
        <w:rPr>
          <w:color w:val="000000" w:themeColor="text1"/>
        </w:rPr>
        <w:t xml:space="preserve"> 21, 23, 33 (Joseph W. </w:t>
      </w:r>
      <w:proofErr w:type="spellStart"/>
      <w:r>
        <w:rPr>
          <w:color w:val="000000" w:themeColor="text1"/>
        </w:rPr>
        <w:t>Dellapenna</w:t>
      </w:r>
      <w:proofErr w:type="spellEnd"/>
      <w:r>
        <w:rPr>
          <w:color w:val="000000" w:themeColor="text1"/>
        </w:rPr>
        <w:t xml:space="preserve"> &amp; </w:t>
      </w:r>
      <w:proofErr w:type="spellStart"/>
      <w:r>
        <w:rPr>
          <w:color w:val="000000" w:themeColor="text1"/>
        </w:rPr>
        <w:t>Joyeeta</w:t>
      </w:r>
      <w:proofErr w:type="spellEnd"/>
      <w:r>
        <w:rPr>
          <w:color w:val="000000" w:themeColor="text1"/>
        </w:rPr>
        <w:t xml:space="preserve"> Gupta eds., 2009) (noting compensatory rather than punitive nature of water dispute remedies); </w:t>
      </w:r>
      <w:r>
        <w:rPr>
          <w:smallCaps/>
          <w:color w:val="000000" w:themeColor="text1"/>
        </w:rPr>
        <w:t>Judicial Decisions in the Ancient Near East</w:t>
      </w:r>
      <w:r>
        <w:rPr>
          <w:color w:val="000000" w:themeColor="text1"/>
        </w:rPr>
        <w:t xml:space="preserve"> 383–88 (Sophie </w:t>
      </w:r>
      <w:proofErr w:type="spellStart"/>
      <w:r>
        <w:rPr>
          <w:color w:val="000000" w:themeColor="text1"/>
        </w:rPr>
        <w:t>Démare-Lafont</w:t>
      </w:r>
      <w:proofErr w:type="spellEnd"/>
      <w:r>
        <w:rPr>
          <w:color w:val="000000" w:themeColor="text1"/>
        </w:rPr>
        <w:t xml:space="preserve"> &amp; Daniel E. Fleming eds., 2023) (documenting progression from local to royal jurisdiction); </w:t>
      </w:r>
      <w:r>
        <w:rPr>
          <w:smallCaps/>
          <w:color w:val="000000" w:themeColor="text1"/>
        </w:rPr>
        <w:t>Martha T. Roth, Law Collections From Mesopotamia and Asia Minor</w:t>
      </w:r>
      <w:r>
        <w:rPr>
          <w:color w:val="000000" w:themeColor="text1"/>
        </w:rPr>
        <w:t xml:space="preserve"> 91–92 (2d ed. 1997) (¶¶53–56 deal with irrigation offenses).</w:t>
      </w:r>
    </w:p>
  </w:footnote>
  <w:footnote w:id="252">
    <w:p w14:paraId="247E85B2" w14:textId="77777777"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 The Rule of Laws: A 4000-year Quest to Order the World</w:t>
      </w:r>
      <w:r>
        <w:rPr>
          <w:color w:val="000000" w:themeColor="text1"/>
        </w:rPr>
        <w:t>, chapter 11 (my book does not have page numbers).</w:t>
      </w:r>
    </w:p>
  </w:footnote>
  <w:footnote w:id="253">
    <w:p w14:paraId="24DBBBA2" w14:textId="77777777" w:rsidR="00C048A0"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Michael Gagarin, Early Greek Law</w:t>
      </w:r>
      <w:r>
        <w:rPr>
          <w:color w:val="000000" w:themeColor="text1"/>
        </w:rPr>
        <w:t xml:space="preserve"> 20–22, 45 (1986) (drawing the village-judge model from Herodotus’s account of </w:t>
      </w:r>
      <w:proofErr w:type="spellStart"/>
      <w:r>
        <w:rPr>
          <w:color w:val="000000" w:themeColor="text1"/>
        </w:rPr>
        <w:t>Deioces</w:t>
      </w:r>
      <w:proofErr w:type="spellEnd"/>
      <w:r>
        <w:rPr>
          <w:color w:val="000000" w:themeColor="text1"/>
        </w:rPr>
        <w:t xml:space="preserve"> and treating it as a proto-legal type rather than as Greek history).</w:t>
      </w:r>
    </w:p>
  </w:footnote>
  <w:footnote w:id="254">
    <w:p w14:paraId="1CB9F1A6" w14:textId="77777777"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Adele C. </w:t>
      </w:r>
      <w:proofErr w:type="spellStart"/>
      <w:r>
        <w:rPr>
          <w:i/>
          <w:iCs/>
          <w:color w:val="000000" w:themeColor="text1"/>
        </w:rPr>
        <w:t>Scafuro</w:t>
      </w:r>
      <w:proofErr w:type="spellEnd"/>
      <w:r>
        <w:rPr>
          <w:i/>
          <w:iCs/>
          <w:color w:val="000000" w:themeColor="text1"/>
        </w:rPr>
        <w:t>, Arbitration in Ancient Athens, in 1 The Oxford International Encyclopedia of Legal History 212, 213 (Stanley N. Katz ed., 2009).</w:t>
      </w:r>
    </w:p>
  </w:footnote>
  <w:footnote w:id="255">
    <w:p w14:paraId="24781ED6" w14:textId="77777777"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113–14; but see id. at 114 (“But, of course, it would result then, as often it results now, in the rule of law not being applied to the controversy.”).</w:t>
      </w:r>
    </w:p>
  </w:footnote>
  <w:footnote w:id="256">
    <w:p w14:paraId="2F43ADB1" w14:textId="77777777" w:rsidR="008A6EEC" w:rsidRPr="005B3E31" w:rsidRDefault="008A6E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Gagarin, </w:t>
      </w:r>
      <w:r>
        <w:rPr>
          <w:i/>
          <w:iCs/>
          <w:color w:val="000000" w:themeColor="text1"/>
        </w:rPr>
        <w:t>supra</w:t>
      </w:r>
      <w:r>
        <w:rPr>
          <w:color w:val="000000" w:themeColor="text1"/>
        </w:rPr>
        <w:t xml:space="preserve"> note 302, at 106–08 (describing the voluntary settlement procedure of preliterate Greece, in which “[l]</w:t>
      </w:r>
      <w:proofErr w:type="spellStart"/>
      <w:r>
        <w:rPr>
          <w:color w:val="000000" w:themeColor="text1"/>
        </w:rPr>
        <w:t>itigants</w:t>
      </w:r>
      <w:proofErr w:type="spellEnd"/>
      <w:r>
        <w:rPr>
          <w:color w:val="000000" w:themeColor="text1"/>
        </w:rPr>
        <w:t xml:space="preserve"> who agree to submit their disputes for settlement are likely to have at least a partially valid claim; an utter scoundrel will simply avoid the system”); but see </w:t>
      </w:r>
      <w:proofErr w:type="spellStart"/>
      <w:r>
        <w:rPr>
          <w:color w:val="000000" w:themeColor="text1"/>
        </w:rPr>
        <w:t>Lanni</w:t>
      </w:r>
      <w:proofErr w:type="spellEnd"/>
      <w:r>
        <w:rPr>
          <w:color w:val="000000" w:themeColor="text1"/>
        </w:rPr>
        <w:t>, supra note 24, at 59 (arguing that Athenian statutes gave little ex ante guidance, because “there were no clear rules, written or unwritten, about when particular defenses or mitigating factors might trump the straightforward application of the statute”).</w:t>
      </w:r>
    </w:p>
  </w:footnote>
  <w:footnote w:id="257">
    <w:p w14:paraId="526B30BF" w14:textId="77777777" w:rsidR="000B50E4" w:rsidRPr="005B3E31" w:rsidRDefault="000B50E4" w:rsidP="003D74D8">
      <w:pPr>
        <w:pStyle w:val="FootnoteText"/>
        <w:spacing w:line="480" w:lineRule="auto"/>
      </w:pPr>
      <w:r>
        <w:rPr>
          <w:rStyle w:val="FootnoteReference"/>
        </w:rPr>
        <w:footnoteRef/>
      </w:r>
      <w:r>
        <w:t xml:space="preserve"> </w:t>
      </w:r>
      <w:proofErr w:type="spellStart"/>
      <w:r>
        <w:rPr>
          <w:smallCaps/>
        </w:rPr>
        <w:t>Lanni</w:t>
      </w:r>
      <w:proofErr w:type="spellEnd"/>
      <w:r>
        <w:t xml:space="preserve">, </w:t>
      </w:r>
      <w:r>
        <w:rPr>
          <w:i/>
          <w:iCs/>
        </w:rPr>
        <w:t>supra</w:t>
      </w:r>
      <w:r>
        <w:t xml:space="preserve"> note 24, at 50; </w:t>
      </w:r>
      <w:r>
        <w:rPr>
          <w:i/>
          <w:iCs/>
        </w:rPr>
        <w:t>see also</w:t>
      </w:r>
      <w:r>
        <w:t xml:space="preserve"> Daniel J. D’Amico, </w:t>
      </w:r>
      <w:r>
        <w:rPr>
          <w:i/>
          <w:iCs/>
        </w:rPr>
        <w:t>The Law and Economics of Sycophancy</w:t>
      </w:r>
      <w:r>
        <w:t xml:space="preserve">, 29 </w:t>
      </w:r>
      <w:r>
        <w:rPr>
          <w:smallCaps/>
        </w:rPr>
        <w:t>Const. Pol. Econ.</w:t>
      </w:r>
      <w:r>
        <w:t xml:space="preserve"> 424 (2018) (relating Harvey’s account that a plaintiff who failed to secure one-fifth of the jury’s votes was liable to a fine) [PRINT PINCITE NEEDED — the attached copy carries no journal pagination].</w:t>
      </w:r>
    </w:p>
  </w:footnote>
  <w:footnote w:id="258">
    <w:p w14:paraId="7539FA3B" w14:textId="77777777" w:rsidR="00C8273D" w:rsidRPr="005B3E31" w:rsidRDefault="00C8273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J. Bonner, Evidence in Athenian Courts</w:t>
      </w:r>
      <w:r>
        <w:rPr>
          <w:color w:val="000000" w:themeColor="text1"/>
        </w:rPr>
        <w:t xml:space="preserve"> 89, 91–92 (1905).</w:t>
      </w:r>
    </w:p>
  </w:footnote>
  <w:footnote w:id="259">
    <w:p w14:paraId="4C41AA62" w14:textId="77777777" w:rsidR="00D879FE" w:rsidRDefault="00000000">
      <w:pPr>
        <w:pStyle w:val="FootnoteText"/>
        <w:spacing w:line="480" w:lineRule="auto"/>
      </w:pPr>
      <w:r>
        <w:rPr>
          <w:rStyle w:val="FootnoteReference"/>
        </w:rPr>
        <w:footnoteRef/>
      </w:r>
      <w:r>
        <w:t xml:space="preserve"> </w:t>
      </w:r>
      <w:r>
        <w:rPr>
          <w:smallCaps/>
        </w:rPr>
        <w:t xml:space="preserve">Gabriel Herman, Morality and </w:t>
      </w:r>
      <w:proofErr w:type="spellStart"/>
      <w:r>
        <w:rPr>
          <w:smallCaps/>
        </w:rPr>
        <w:t>Behaviour</w:t>
      </w:r>
      <w:proofErr w:type="spellEnd"/>
      <w:r>
        <w:rPr>
          <w:smallCaps/>
        </w:rPr>
        <w:t xml:space="preserve"> in Democratic Athens: A Social History</w:t>
      </w:r>
      <w:r>
        <w:t xml:space="preserve"> 17–18 (2006); </w:t>
      </w:r>
      <w:proofErr w:type="spellStart"/>
      <w:r>
        <w:rPr>
          <w:smallCaps/>
        </w:rPr>
        <w:t>Adriaan</w:t>
      </w:r>
      <w:proofErr w:type="spellEnd"/>
      <w:r>
        <w:rPr>
          <w:smallCaps/>
        </w:rPr>
        <w:t xml:space="preserve"> </w:t>
      </w:r>
      <w:proofErr w:type="spellStart"/>
      <w:r>
        <w:rPr>
          <w:smallCaps/>
        </w:rPr>
        <w:t>Lanni</w:t>
      </w:r>
      <w:proofErr w:type="spellEnd"/>
      <w:r>
        <w:rPr>
          <w:smallCaps/>
        </w:rPr>
        <w:t>, Law and Order in Ancient Athens</w:t>
      </w:r>
      <w:r>
        <w:t xml:space="preserve"> 142 (2016).</w:t>
      </w:r>
    </w:p>
  </w:footnote>
  <w:footnote w:id="260">
    <w:p w14:paraId="0E3262AC" w14:textId="77777777" w:rsidR="00D879FE" w:rsidRDefault="00000000">
      <w:pPr>
        <w:pStyle w:val="FootnoteText"/>
        <w:spacing w:line="480" w:lineRule="auto"/>
      </w:pPr>
      <w:r>
        <w:rPr>
          <w:rStyle w:val="FootnoteReference"/>
        </w:rPr>
        <w:footnoteRef/>
      </w:r>
      <w:r>
        <w:t xml:space="preserve"> </w:t>
      </w:r>
      <w:proofErr w:type="spellStart"/>
      <w:r>
        <w:rPr>
          <w:smallCaps/>
        </w:rPr>
        <w:t>Lanni</w:t>
      </w:r>
      <w:proofErr w:type="spellEnd"/>
      <w:r>
        <w:t xml:space="preserve">, </w:t>
      </w:r>
      <w:r>
        <w:rPr>
          <w:i/>
        </w:rPr>
        <w:t>supra</w:t>
      </w:r>
      <w:r>
        <w:t>, at 129, 134–35.</w:t>
      </w:r>
    </w:p>
  </w:footnote>
  <w:footnote w:id="261">
    <w:p w14:paraId="3E0017A2" w14:textId="77777777" w:rsidR="00D879FE" w:rsidRDefault="00000000">
      <w:pPr>
        <w:pStyle w:val="FootnoteText"/>
        <w:spacing w:line="480" w:lineRule="auto"/>
      </w:pPr>
      <w:r>
        <w:rPr>
          <w:rStyle w:val="FootnoteReference"/>
        </w:rPr>
        <w:footnoteRef/>
      </w:r>
      <w:r>
        <w:t xml:space="preserve"> </w:t>
      </w:r>
      <w:r>
        <w:rPr>
          <w:i/>
        </w:rPr>
        <w:t>Id.</w:t>
      </w:r>
      <w:r>
        <w:t xml:space="preserve"> at 142–43.</w:t>
      </w:r>
    </w:p>
  </w:footnote>
  <w:footnote w:id="262">
    <w:p w14:paraId="24976FB4" w14:textId="77777777" w:rsidR="00737225" w:rsidRPr="005B3E31" w:rsidRDefault="0073722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Manley-</w:t>
      </w:r>
      <w:proofErr w:type="spellStart"/>
      <w:r>
        <w:rPr>
          <w:color w:val="000000" w:themeColor="text1"/>
        </w:rPr>
        <w:t>Tannis</w:t>
      </w:r>
      <w:proofErr w:type="spellEnd"/>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_Ref222161392 \h  \* MERGEFORMAT </w:instrText>
      </w:r>
      <w:r>
        <w:rPr>
          <w:color w:val="000000" w:themeColor="text1"/>
        </w:rPr>
      </w:r>
      <w:r>
        <w:rPr>
          <w:color w:val="000000" w:themeColor="text1"/>
        </w:rPr>
        <w:fldChar w:fldCharType="separate"/>
      </w:r>
      <w:r>
        <w:rPr>
          <w:color w:val="000000" w:themeColor="text1"/>
        </w:rPr>
        <w:t>309</w:t>
      </w:r>
      <w:r>
        <w:rPr>
          <w:color w:val="000000" w:themeColor="text1"/>
        </w:rPr>
        <w:fldChar w:fldCharType="end"/>
      </w:r>
      <w:r>
        <w:rPr>
          <w:color w:val="000000" w:themeColor="text1"/>
        </w:rPr>
        <w:t xml:space="preserve">, at 38; </w:t>
      </w:r>
      <w:r>
        <w:rPr>
          <w:i/>
          <w:iCs/>
          <w:color w:val="000000" w:themeColor="text1"/>
        </w:rPr>
        <w:t>see also</w:t>
      </w:r>
      <w:r>
        <w:rPr>
          <w:color w:val="000000" w:themeColor="text1"/>
        </w:rPr>
        <w:t xml:space="preserve"> </w:t>
      </w:r>
      <w:r>
        <w:rPr>
          <w:smallCaps/>
          <w:color w:val="000000" w:themeColor="text1"/>
        </w:rPr>
        <w:t xml:space="preserve">Eleni </w:t>
      </w:r>
      <w:proofErr w:type="spellStart"/>
      <w:r>
        <w:rPr>
          <w:smallCaps/>
          <w:color w:val="000000" w:themeColor="text1"/>
        </w:rPr>
        <w:t>Volonaki</w:t>
      </w:r>
      <w:proofErr w:type="spellEnd"/>
      <w:r>
        <w:rPr>
          <w:smallCaps/>
          <w:color w:val="000000" w:themeColor="text1"/>
        </w:rPr>
        <w:t xml:space="preserve"> &amp; Michael Edwards, A Commentary on </w:t>
      </w:r>
      <w:proofErr w:type="spellStart"/>
      <w:r>
        <w:rPr>
          <w:smallCaps/>
          <w:color w:val="000000" w:themeColor="text1"/>
        </w:rPr>
        <w:t>Apollodorus</w:t>
      </w:r>
      <w:proofErr w:type="spellEnd"/>
      <w:r>
        <w:rPr>
          <w:smallCaps/>
          <w:color w:val="000000" w:themeColor="text1"/>
        </w:rPr>
        <w:t xml:space="preserve">’ Against </w:t>
      </w:r>
      <w:proofErr w:type="spellStart"/>
      <w:r>
        <w:rPr>
          <w:smallCaps/>
          <w:color w:val="000000" w:themeColor="text1"/>
        </w:rPr>
        <w:t>Evergus</w:t>
      </w:r>
      <w:proofErr w:type="spellEnd"/>
      <w:r>
        <w:rPr>
          <w:smallCaps/>
          <w:color w:val="000000" w:themeColor="text1"/>
        </w:rPr>
        <w:t xml:space="preserve"> and </w:t>
      </w:r>
      <w:proofErr w:type="spellStart"/>
      <w:r>
        <w:rPr>
          <w:smallCaps/>
          <w:color w:val="000000" w:themeColor="text1"/>
        </w:rPr>
        <w:t>Mnesibulus</w:t>
      </w:r>
      <w:proofErr w:type="spellEnd"/>
      <w:r>
        <w:rPr>
          <w:color w:val="000000" w:themeColor="text1"/>
        </w:rPr>
        <w:t xml:space="preserve"> 223–33 (Cambridge Scholars Publishing 2023) (collecting the Athenian homicide-oath evidence, including Dem. 23.67–68: “if he is shown not to speak the truth, he will gain no advantage but transfer his perjury to his children and descendants”).</w:t>
      </w:r>
    </w:p>
  </w:footnote>
  <w:footnote w:id="263">
    <w:p w14:paraId="60A51BAA" w14:textId="77777777" w:rsidR="00EF2121" w:rsidRPr="005B3E31" w:rsidRDefault="00EF21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Michael Manley-</w:t>
      </w:r>
      <w:proofErr w:type="spellStart"/>
      <w:r>
        <w:rPr>
          <w:color w:val="000000" w:themeColor="text1"/>
        </w:rPr>
        <w:t>Tannis</w:t>
      </w:r>
      <w:proofErr w:type="spellEnd"/>
      <w:r>
        <w:rPr>
          <w:color w:val="000000" w:themeColor="text1"/>
        </w:rPr>
        <w:t xml:space="preserve">, Greek Arbitration: Homer to Classical Athens An Investigation into the Role of the Community in Private and Public Arbitration 29–33 (1998) (M.A. thesis, Queen’s University); </w:t>
      </w:r>
      <w:r>
        <w:rPr>
          <w:smallCaps/>
          <w:color w:val="000000" w:themeColor="text1"/>
        </w:rPr>
        <w:t>Herman</w:t>
      </w:r>
      <w:r>
        <w:rPr>
          <w:color w:val="000000" w:themeColor="text1"/>
        </w:rPr>
        <w:t xml:space="preserve">, </w:t>
      </w:r>
      <w:r>
        <w:rPr>
          <w:i/>
          <w:iCs/>
          <w:color w:val="000000" w:themeColor="text1"/>
        </w:rPr>
        <w:t>supra</w:t>
      </w:r>
      <w:r>
        <w:rPr>
          <w:color w:val="000000" w:themeColor="text1"/>
        </w:rPr>
        <w:t xml:space="preserve"> note 24, at 19, 82, 157–83, 202; Gastón Javier Basile, </w:t>
      </w:r>
      <w:r>
        <w:rPr>
          <w:i/>
          <w:iCs/>
          <w:color w:val="000000" w:themeColor="text1"/>
        </w:rPr>
        <w:t xml:space="preserve">The Homeric </w:t>
      </w:r>
      <w:proofErr w:type="spellStart"/>
      <w:r>
        <w:rPr>
          <w:i/>
          <w:iCs/>
          <w:color w:val="000000" w:themeColor="text1"/>
        </w:rPr>
        <w:t>Histor</w:t>
      </w:r>
      <w:proofErr w:type="spellEnd"/>
      <w:r>
        <w:rPr>
          <w:i/>
          <w:iCs/>
          <w:color w:val="000000" w:themeColor="text1"/>
        </w:rPr>
        <w:t xml:space="preserve"> and Oath-Taking</w:t>
      </w:r>
      <w:r>
        <w:rPr>
          <w:color w:val="000000" w:themeColor="text1"/>
        </w:rPr>
        <w:t xml:space="preserve">, 28 </w:t>
      </w:r>
      <w:proofErr w:type="spellStart"/>
      <w:r>
        <w:rPr>
          <w:smallCaps/>
          <w:color w:val="000000" w:themeColor="text1"/>
        </w:rPr>
        <w:t>Cuadernos</w:t>
      </w:r>
      <w:proofErr w:type="spellEnd"/>
      <w:r>
        <w:rPr>
          <w:smallCaps/>
          <w:color w:val="000000" w:themeColor="text1"/>
        </w:rPr>
        <w:t xml:space="preserve"> de </w:t>
      </w:r>
      <w:proofErr w:type="spellStart"/>
      <w:r>
        <w:rPr>
          <w:smallCaps/>
          <w:color w:val="000000" w:themeColor="text1"/>
        </w:rPr>
        <w:t>Filología</w:t>
      </w:r>
      <w:proofErr w:type="spellEnd"/>
      <w:r>
        <w:rPr>
          <w:smallCaps/>
          <w:color w:val="000000" w:themeColor="text1"/>
        </w:rPr>
        <w:t xml:space="preserve"> </w:t>
      </w:r>
      <w:proofErr w:type="spellStart"/>
      <w:r>
        <w:rPr>
          <w:smallCaps/>
          <w:color w:val="000000" w:themeColor="text1"/>
        </w:rPr>
        <w:t>Clásica</w:t>
      </w:r>
      <w:proofErr w:type="spellEnd"/>
      <w:r>
        <w:rPr>
          <w:smallCaps/>
          <w:color w:val="000000" w:themeColor="text1"/>
        </w:rPr>
        <w:t xml:space="preserve">: </w:t>
      </w:r>
      <w:proofErr w:type="spellStart"/>
      <w:r>
        <w:rPr>
          <w:smallCaps/>
          <w:color w:val="000000" w:themeColor="text1"/>
        </w:rPr>
        <w:t>Estudios</w:t>
      </w:r>
      <w:proofErr w:type="spellEnd"/>
      <w:r>
        <w:rPr>
          <w:smallCaps/>
          <w:color w:val="000000" w:themeColor="text1"/>
        </w:rPr>
        <w:t xml:space="preserve"> </w:t>
      </w:r>
      <w:proofErr w:type="spellStart"/>
      <w:r>
        <w:rPr>
          <w:smallCaps/>
          <w:color w:val="000000" w:themeColor="text1"/>
        </w:rPr>
        <w:t>griegos</w:t>
      </w:r>
      <w:proofErr w:type="spellEnd"/>
      <w:r>
        <w:rPr>
          <w:smallCaps/>
          <w:color w:val="000000" w:themeColor="text1"/>
        </w:rPr>
        <w:t xml:space="preserve"> e </w:t>
      </w:r>
      <w:proofErr w:type="spellStart"/>
      <w:r>
        <w:rPr>
          <w:smallCaps/>
          <w:color w:val="000000" w:themeColor="text1"/>
        </w:rPr>
        <w:t>indoeuropeos</w:t>
      </w:r>
      <w:proofErr w:type="spellEnd"/>
      <w:r>
        <w:rPr>
          <w:color w:val="000000" w:themeColor="text1"/>
        </w:rPr>
        <w:t xml:space="preserve"> 17, 27 (2018); </w:t>
      </w:r>
      <w:r>
        <w:rPr>
          <w:i/>
          <w:iCs/>
          <w:color w:val="000000" w:themeColor="text1"/>
        </w:rPr>
        <w:t>but see</w:t>
      </w:r>
      <w:r>
        <w:rPr>
          <w:color w:val="000000" w:themeColor="text1"/>
        </w:rPr>
        <w:t xml:space="preserve"> </w:t>
      </w:r>
      <w:proofErr w:type="spellStart"/>
      <w:r>
        <w:rPr>
          <w:smallCaps/>
          <w:color w:val="000000" w:themeColor="text1"/>
        </w:rPr>
        <w:t>Lanni</w:t>
      </w:r>
      <w:proofErr w:type="spellEnd"/>
      <w:r>
        <w:rPr>
          <w:color w:val="000000" w:themeColor="text1"/>
        </w:rPr>
        <w:t xml:space="preserve">, </w:t>
      </w:r>
      <w:r>
        <w:rPr>
          <w:i/>
          <w:iCs/>
          <w:color w:val="000000" w:themeColor="text1"/>
        </w:rPr>
        <w:t>supra</w:t>
      </w:r>
      <w:r>
        <w:rPr>
          <w:color w:val="000000" w:themeColor="text1"/>
        </w:rPr>
        <w:t xml:space="preserve"> note 24, at 45–46 (arguing that settlement and private arbitration “relied in critical respects on the formal courts to help initiate and enforce private resolutions,” and that in many attested cases “requests to arbitrate come after initiation of a court case”</w:t>
      </w:r>
      <w:r>
        <w:rPr>
          <w:smallCaps/>
          <w:color w:val="000000" w:themeColor="text1"/>
        </w:rPr>
        <w:t>).</w:t>
      </w:r>
    </w:p>
  </w:footnote>
  <w:footnote w:id="264">
    <w:p w14:paraId="39232957" w14:textId="77777777" w:rsidR="00211F25" w:rsidRPr="005B3E31" w:rsidRDefault="00211F25" w:rsidP="003D74D8">
      <w:pPr>
        <w:pStyle w:val="FootnoteText"/>
        <w:spacing w:line="480" w:lineRule="auto"/>
      </w:pPr>
      <w:r>
        <w:rPr>
          <w:rStyle w:val="FootnoteReference"/>
        </w:rPr>
        <w:footnoteRef/>
      </w:r>
      <w:r>
        <w:t xml:space="preserve"> </w:t>
      </w:r>
      <w:r>
        <w:rPr>
          <w:smallCaps/>
          <w:color w:val="000000" w:themeColor="text1"/>
        </w:rPr>
        <w:t xml:space="preserve">Robin Osborne, The Elasticity of Athenian Law, in Use and Abuse of Law in the Athenian Courts 32, 38 (Chris Carey, </w:t>
      </w:r>
      <w:proofErr w:type="spellStart"/>
      <w:r>
        <w:rPr>
          <w:smallCaps/>
          <w:color w:val="000000" w:themeColor="text1"/>
        </w:rPr>
        <w:t>Ifigeneia</w:t>
      </w:r>
      <w:proofErr w:type="spellEnd"/>
      <w:r>
        <w:rPr>
          <w:smallCaps/>
          <w:color w:val="000000" w:themeColor="text1"/>
        </w:rPr>
        <w:t xml:space="preserve"> </w:t>
      </w:r>
      <w:proofErr w:type="spellStart"/>
      <w:r>
        <w:rPr>
          <w:smallCaps/>
          <w:color w:val="000000" w:themeColor="text1"/>
        </w:rPr>
        <w:t>Giannadaki</w:t>
      </w:r>
      <w:proofErr w:type="spellEnd"/>
      <w:r>
        <w:rPr>
          <w:smallCaps/>
          <w:color w:val="000000" w:themeColor="text1"/>
        </w:rPr>
        <w:t xml:space="preserve"> &amp; Brenda Griffith-Williams eds., 2018); Chris Carey, Bridging the Divide Between Public and Private: </w:t>
      </w:r>
      <w:proofErr w:type="spellStart"/>
      <w:r>
        <w:rPr>
          <w:smallCaps/>
          <w:color w:val="000000" w:themeColor="text1"/>
        </w:rPr>
        <w:t>dikē</w:t>
      </w:r>
      <w:proofErr w:type="spellEnd"/>
      <w:r>
        <w:rPr>
          <w:smallCaps/>
          <w:color w:val="000000" w:themeColor="text1"/>
        </w:rPr>
        <w:t xml:space="preserve"> </w:t>
      </w:r>
      <w:proofErr w:type="spellStart"/>
      <w:r>
        <w:rPr>
          <w:smallCaps/>
          <w:color w:val="000000" w:themeColor="text1"/>
        </w:rPr>
        <w:t>exoulēs</w:t>
      </w:r>
      <w:proofErr w:type="spellEnd"/>
      <w:r>
        <w:rPr>
          <w:smallCaps/>
          <w:color w:val="000000" w:themeColor="text1"/>
        </w:rPr>
        <w:t xml:space="preserve"> and Other Hybrids, in id. 75, 81.</w:t>
      </w:r>
    </w:p>
  </w:footnote>
  <w:footnote w:id="265">
    <w:p w14:paraId="14F5CD9E" w14:textId="77777777" w:rsidR="00D879FE" w:rsidRDefault="00000000">
      <w:pPr>
        <w:pStyle w:val="FootnoteText"/>
        <w:spacing w:line="480" w:lineRule="auto"/>
      </w:pPr>
      <w:r>
        <w:rPr>
          <w:rStyle w:val="FootnoteReference"/>
        </w:rPr>
        <w:footnoteRef/>
      </w:r>
      <w:r>
        <w:t xml:space="preserve"> </w:t>
      </w:r>
      <w:r>
        <w:rPr>
          <w:smallCaps/>
        </w:rPr>
        <w:t>Robin Osborne, Use and Abuse of Law in the Athenian Courts</w:t>
      </w:r>
      <w:r>
        <w:t xml:space="preserve"> 38, 81 (Brill 2018).</w:t>
      </w:r>
    </w:p>
  </w:footnote>
  <w:footnote w:id="266">
    <w:p w14:paraId="34DDE62A" w14:textId="77777777" w:rsidR="00211F25" w:rsidRPr="005B3E31" w:rsidRDefault="00211F25" w:rsidP="003D74D8">
      <w:pPr>
        <w:pStyle w:val="FootnoteText"/>
        <w:spacing w:line="480" w:lineRule="auto"/>
      </w:pPr>
      <w:r>
        <w:rPr>
          <w:rStyle w:val="FootnoteReference"/>
        </w:rPr>
        <w:footnoteRef/>
      </w:r>
      <w:r>
        <w:t xml:space="preserve"> D’Amico</w:t>
      </w:r>
      <w:r>
        <w:rPr>
          <w:i/>
          <w:iCs/>
        </w:rPr>
        <w:t>, supra note 306 [PRINT PINCITE NEEDED — the attached copy carries no journal pagination].</w:t>
      </w:r>
    </w:p>
  </w:footnote>
  <w:footnote w:id="267">
    <w:p w14:paraId="3FD3A2D6" w14:textId="77777777" w:rsidR="00A27278" w:rsidRPr="005B3E31" w:rsidRDefault="00A27278" w:rsidP="003D74D8">
      <w:pPr>
        <w:pStyle w:val="FootnoteText"/>
        <w:spacing w:line="480" w:lineRule="auto"/>
      </w:pPr>
      <w:r>
        <w:rPr>
          <w:rStyle w:val="FootnoteReference"/>
        </w:rPr>
        <w:footnoteRef/>
      </w:r>
      <w:r>
        <w:rPr>
          <w:smallCaps/>
        </w:rPr>
        <w:t xml:space="preserve"> Alberto </w:t>
      </w:r>
      <w:proofErr w:type="spellStart"/>
      <w:r>
        <w:rPr>
          <w:smallCaps/>
        </w:rPr>
        <w:t>Esu</w:t>
      </w:r>
      <w:proofErr w:type="spellEnd"/>
      <w:r>
        <w:rPr>
          <w:smallCaps/>
        </w:rPr>
        <w:t>, Divided Power in Ancient Greece: Decision-Making and Institutions in the Classical and Hellenistic Polis</w:t>
      </w:r>
      <w:r>
        <w:t xml:space="preserve"> 194 (2024).</w:t>
      </w:r>
    </w:p>
  </w:footnote>
  <w:footnote w:id="268">
    <w:p w14:paraId="351AD3D2" w14:textId="77777777" w:rsidR="00523D6F" w:rsidRPr="005B3E31" w:rsidRDefault="00523D6F" w:rsidP="003D74D8">
      <w:pPr>
        <w:pStyle w:val="FootnoteText"/>
        <w:spacing w:line="480" w:lineRule="auto"/>
      </w:pPr>
      <w:r>
        <w:rPr>
          <w:rStyle w:val="FootnoteReference"/>
        </w:rPr>
        <w:footnoteRef/>
      </w:r>
      <w:r>
        <w:t xml:space="preserve"> Zane, supra note 29, at 107–13; </w:t>
      </w:r>
      <w:r>
        <w:rPr>
          <w:smallCaps/>
        </w:rPr>
        <w:t>Herman</w:t>
      </w:r>
      <w:r>
        <w:t xml:space="preserve">, </w:t>
      </w:r>
      <w:r>
        <w:rPr>
          <w:i/>
          <w:iCs/>
        </w:rPr>
        <w:t>supra</w:t>
      </w:r>
      <w:r>
        <w:t xml:space="preserve"> note 24, at 140 &amp; n.57 (“The Athenians seem deliberately to have banned professionalism from their judicial system: every Athenian citizen was expected to know the law and to be able to tell right from wrong.”); Bonner, supra note 307, at 11 (“The experience of Athens has shown that law may be administered satisfactorily without a professional class either of judges or of lawyers.”); but see id. (“But this was an ideal beyond the possibility of achievement even in the Athens of Pericles.”).</w:t>
      </w:r>
    </w:p>
  </w:footnote>
  <w:footnote w:id="269">
    <w:p w14:paraId="613CDE3A" w14:textId="77777777" w:rsidR="00523D6F" w:rsidRPr="005B3E31" w:rsidRDefault="00523D6F" w:rsidP="003D74D8">
      <w:pPr>
        <w:pStyle w:val="FootnoteText"/>
        <w:spacing w:line="480" w:lineRule="auto"/>
      </w:pPr>
      <w:r>
        <w:rPr>
          <w:rStyle w:val="FootnoteReference"/>
        </w:rPr>
        <w:footnoteRef/>
      </w:r>
      <w:r>
        <w:t xml:space="preserve"> Edward M. Harris, Trials, Private Arbitration, and Public Arbitration in Classical Athens, in </w:t>
      </w:r>
      <w:proofErr w:type="spellStart"/>
      <w:r>
        <w:t>Athenaion</w:t>
      </w:r>
      <w:proofErr w:type="spellEnd"/>
      <w:r>
        <w:t xml:space="preserve"> </w:t>
      </w:r>
      <w:proofErr w:type="spellStart"/>
      <w:r>
        <w:t>Politeiai</w:t>
      </w:r>
      <w:proofErr w:type="spellEnd"/>
      <w:r>
        <w:t xml:space="preserve"> </w:t>
      </w:r>
      <w:proofErr w:type="spellStart"/>
      <w:r>
        <w:t>tra</w:t>
      </w:r>
      <w:proofErr w:type="spellEnd"/>
      <w:r>
        <w:t xml:space="preserve"> </w:t>
      </w:r>
      <w:proofErr w:type="spellStart"/>
      <w:r>
        <w:t>storia</w:t>
      </w:r>
      <w:proofErr w:type="spellEnd"/>
      <w:r>
        <w:t xml:space="preserve">, </w:t>
      </w:r>
      <w:proofErr w:type="spellStart"/>
      <w:r>
        <w:t>politica</w:t>
      </w:r>
      <w:proofErr w:type="spellEnd"/>
      <w:r>
        <w:t xml:space="preserve"> e </w:t>
      </w:r>
      <w:proofErr w:type="spellStart"/>
      <w:r>
        <w:t>sociologia</w:t>
      </w:r>
      <w:proofErr w:type="spellEnd"/>
      <w:r>
        <w:t xml:space="preserve">: </w:t>
      </w:r>
      <w:proofErr w:type="spellStart"/>
      <w:r>
        <w:t>Aristotele</w:t>
      </w:r>
      <w:proofErr w:type="spellEnd"/>
      <w:r>
        <w:t xml:space="preserve"> e Pseudo-</w:t>
      </w:r>
      <w:proofErr w:type="spellStart"/>
      <w:r>
        <w:t>Senofonte</w:t>
      </w:r>
      <w:proofErr w:type="spellEnd"/>
      <w:r>
        <w:t xml:space="preserve"> 213, 223 (C. </w:t>
      </w:r>
      <w:proofErr w:type="spellStart"/>
      <w:r>
        <w:t>Bearzot</w:t>
      </w:r>
      <w:proofErr w:type="spellEnd"/>
      <w:r>
        <w:t xml:space="preserve">, M. </w:t>
      </w:r>
      <w:proofErr w:type="spellStart"/>
      <w:r>
        <w:t>Canevaro</w:t>
      </w:r>
      <w:proofErr w:type="spellEnd"/>
      <w:r>
        <w:t xml:space="preserve">, T. Gargiulo &amp; E. </w:t>
      </w:r>
      <w:proofErr w:type="spellStart"/>
      <w:r>
        <w:t>Poddighe</w:t>
      </w:r>
      <w:proofErr w:type="spellEnd"/>
      <w:r>
        <w:t xml:space="preserve"> eds., 2018).</w:t>
      </w:r>
    </w:p>
  </w:footnote>
  <w:footnote w:id="270">
    <w:p w14:paraId="77264716" w14:textId="77777777" w:rsidR="00DC0452" w:rsidRPr="005B3E31" w:rsidRDefault="00DC0452" w:rsidP="003D74D8">
      <w:pPr>
        <w:pStyle w:val="FootnoteText"/>
        <w:spacing w:line="480" w:lineRule="auto"/>
      </w:pPr>
      <w:r>
        <w:rPr>
          <w:rStyle w:val="FootnoteReference"/>
        </w:rPr>
        <w:footnoteRef/>
      </w:r>
      <w:r>
        <w:t xml:space="preserve">Michael Gagarin, </w:t>
      </w:r>
      <w:r>
        <w:rPr>
          <w:i/>
          <w:iCs/>
        </w:rPr>
        <w:t>Women in Athenian Courts</w:t>
      </w:r>
      <w:r>
        <w:t>, 1 Dike 39, 42 (1998).</w:t>
      </w:r>
    </w:p>
  </w:footnote>
  <w:footnote w:id="271">
    <w:p w14:paraId="1282060A" w14:textId="77777777" w:rsidR="00523D6F" w:rsidRPr="005B3E31" w:rsidRDefault="00523D6F" w:rsidP="003D74D8">
      <w:pPr>
        <w:pStyle w:val="FootnoteText"/>
        <w:spacing w:line="480" w:lineRule="auto"/>
      </w:pPr>
      <w:r>
        <w:rPr>
          <w:rStyle w:val="FootnoteReference"/>
        </w:rPr>
        <w:footnoteRef/>
      </w:r>
      <w:r>
        <w:rPr>
          <w:i/>
          <w:iCs/>
        </w:rPr>
        <w:t xml:space="preserve"> Osborne, supra note 310, at 39.</w:t>
      </w:r>
    </w:p>
  </w:footnote>
  <w:footnote w:id="272">
    <w:p w14:paraId="212E6874" w14:textId="77777777" w:rsidR="00523D6F" w:rsidRPr="005B3E31" w:rsidRDefault="00523D6F" w:rsidP="003D74D8">
      <w:pPr>
        <w:pStyle w:val="FootnoteText"/>
        <w:spacing w:line="480" w:lineRule="auto"/>
      </w:pPr>
      <w:r>
        <w:rPr>
          <w:rStyle w:val="FootnoteReference"/>
        </w:rPr>
        <w:footnoteRef/>
      </w:r>
      <w:r>
        <w:t>Osborne, supra note 310, at 32, 38.</w:t>
      </w:r>
    </w:p>
  </w:footnote>
  <w:footnote w:id="273">
    <w:p w14:paraId="0C69F42C" w14:textId="77777777" w:rsidR="00FE10B3" w:rsidRPr="005B3E31" w:rsidRDefault="00FE10B3" w:rsidP="003D74D8">
      <w:pPr>
        <w:pStyle w:val="FootnoteText"/>
        <w:spacing w:line="480" w:lineRule="auto"/>
      </w:pPr>
      <w:r>
        <w:rPr>
          <w:rStyle w:val="FootnoteReference"/>
        </w:rPr>
        <w:footnoteRef/>
      </w:r>
      <w:r>
        <w:t xml:space="preserve"> </w:t>
      </w:r>
      <w:proofErr w:type="spellStart"/>
      <w:r>
        <w:t>Esu</w:t>
      </w:r>
      <w:proofErr w:type="spellEnd"/>
      <w:r>
        <w:t>, supra note 312, at 194 (contrasting arbitrators, who “tried to solve litigation through compromise and deliberative techniques that fostered an inclusive solution with no winners and losers,” with “the judicial procedure before a court,” which “did exactly the opposite by singling out a clear winner and a clear loser”); Bonner, supra note 307, at 90 (“</w:t>
      </w:r>
      <w:proofErr w:type="spellStart"/>
      <w:r>
        <w:t>Chrysippus</w:t>
      </w:r>
      <w:proofErr w:type="spellEnd"/>
      <w:r>
        <w:t xml:space="preserve"> v. </w:t>
      </w:r>
      <w:proofErr w:type="spellStart"/>
      <w:r>
        <w:t>Phormio</w:t>
      </w:r>
      <w:proofErr w:type="spellEnd"/>
      <w:r>
        <w:t xml:space="preserve"> seems to show conclusively that no action for perjury would be allowed, if the arbitration was a private one; for not only does the speaker state explicitly that there was no fear of punishment for giving false evidence before an arbitrator, but he complains that he was unable to reach his opponent’s witness, who had committed perjury at the arbitration . . . .”); </w:t>
      </w:r>
      <w:r>
        <w:rPr>
          <w:i/>
          <w:iCs/>
        </w:rPr>
        <w:t>see</w:t>
      </w:r>
      <w:r>
        <w:t xml:space="preserve"> </w:t>
      </w:r>
      <w:proofErr w:type="spellStart"/>
      <w:r>
        <w:rPr>
          <w:smallCaps/>
        </w:rPr>
        <w:t>Lanni</w:t>
      </w:r>
      <w:proofErr w:type="spellEnd"/>
      <w:r>
        <w:t xml:space="preserve">, </w:t>
      </w:r>
      <w:r>
        <w:rPr>
          <w:i/>
          <w:iCs/>
        </w:rPr>
        <w:t>supra</w:t>
      </w:r>
      <w:r>
        <w:t xml:space="preserve"> note 24, at 46 n.156 (describing a litigant advised to settle, though in the right, to avoid “the arbitrary decision making of the jury and the embarrassment of a court case”).</w:t>
      </w:r>
    </w:p>
  </w:footnote>
  <w:footnote w:id="274">
    <w:p w14:paraId="57C90124"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Sir Frank Adcock &amp; D. J. Mosley, Diplomacy in Ancient Greece</w:t>
      </w:r>
      <w:r>
        <w:rPr>
          <w:color w:val="000000" w:themeColor="text1"/>
        </w:rPr>
        <w:t xml:space="preserve"> 12, 133, 206, 210–11 (1975); Robert J. Bonner, Evidence in Athenian Courts 11–12, 36, 48–49, 52–53, 76, 91–92 (1905); </w:t>
      </w:r>
      <w:r>
        <w:rPr>
          <w:smallCaps/>
          <w:color w:val="000000" w:themeColor="text1"/>
        </w:rPr>
        <w:t xml:space="preserve">Alberto </w:t>
      </w:r>
      <w:proofErr w:type="spellStart"/>
      <w:r>
        <w:rPr>
          <w:smallCaps/>
          <w:color w:val="000000" w:themeColor="text1"/>
        </w:rPr>
        <w:t>Esu</w:t>
      </w:r>
      <w:proofErr w:type="spellEnd"/>
      <w:r>
        <w:rPr>
          <w:smallCaps/>
          <w:color w:val="000000" w:themeColor="text1"/>
        </w:rPr>
        <w:t>, Divided Power in Ancient Greece: Decision-Making and Institutions in the Classical and Hellenistic Polis</w:t>
      </w:r>
      <w:r>
        <w:rPr>
          <w:color w:val="000000" w:themeColor="text1"/>
        </w:rPr>
        <w:t xml:space="preserve"> 24–25 (2024); </w:t>
      </w:r>
      <w:r>
        <w:rPr>
          <w:smallCaps/>
          <w:color w:val="000000" w:themeColor="text1"/>
        </w:rPr>
        <w:t>Michael Gagarin, Early Greek Law</w:t>
      </w:r>
      <w:r>
        <w:rPr>
          <w:color w:val="000000" w:themeColor="text1"/>
        </w:rPr>
        <w:t xml:space="preserve"> 19, 23, 26–27, 31, 34, 36–39, 44, 49, 73, 106, 112–15 (1986); </w:t>
      </w:r>
      <w:r>
        <w:rPr>
          <w:smallCaps/>
          <w:color w:val="000000" w:themeColor="text1"/>
        </w:rPr>
        <w:t>Hansen Carmine Harrell, Public Arbitration in Athenian Law</w:t>
      </w:r>
      <w:r>
        <w:rPr>
          <w:color w:val="000000" w:themeColor="text1"/>
        </w:rPr>
        <w:t xml:space="preserve"> 1–5, 8–9, 13–15, 26–27, 33, 35–36 (1936); </w:t>
      </w:r>
      <w:r>
        <w:rPr>
          <w:smallCaps/>
          <w:color w:val="000000" w:themeColor="text1"/>
        </w:rPr>
        <w:t xml:space="preserve">Gabriel Herman, Morality and </w:t>
      </w:r>
      <w:proofErr w:type="spellStart"/>
      <w:r>
        <w:rPr>
          <w:smallCaps/>
          <w:color w:val="000000" w:themeColor="text1"/>
        </w:rPr>
        <w:t>Behaviour</w:t>
      </w:r>
      <w:proofErr w:type="spellEnd"/>
      <w:r>
        <w:rPr>
          <w:smallCaps/>
          <w:color w:val="000000" w:themeColor="text1"/>
        </w:rPr>
        <w:t xml:space="preserve"> in Democratic Athens: A Social History</w:t>
      </w:r>
      <w:r>
        <w:rPr>
          <w:color w:val="000000" w:themeColor="text1"/>
        </w:rPr>
        <w:t xml:space="preserve"> 137, 140, 196 (2006); </w:t>
      </w:r>
      <w:proofErr w:type="spellStart"/>
      <w:r>
        <w:rPr>
          <w:smallCaps/>
          <w:color w:val="000000" w:themeColor="text1"/>
        </w:rPr>
        <w:t>Adriaan</w:t>
      </w:r>
      <w:proofErr w:type="spellEnd"/>
      <w:r>
        <w:rPr>
          <w:smallCaps/>
          <w:color w:val="000000" w:themeColor="text1"/>
        </w:rPr>
        <w:t xml:space="preserve"> </w:t>
      </w:r>
      <w:proofErr w:type="spellStart"/>
      <w:r>
        <w:rPr>
          <w:smallCaps/>
          <w:color w:val="000000" w:themeColor="text1"/>
        </w:rPr>
        <w:t>Lanni</w:t>
      </w:r>
      <w:proofErr w:type="spellEnd"/>
      <w:r>
        <w:rPr>
          <w:smallCaps/>
          <w:color w:val="000000" w:themeColor="text1"/>
        </w:rPr>
        <w:t>, Law and Order in Ancient Athens</w:t>
      </w:r>
      <w:r>
        <w:rPr>
          <w:color w:val="000000" w:themeColor="text1"/>
        </w:rPr>
        <w:t xml:space="preserve"> 10–11, 44–46, 52, 67, 124, 128, 130–31, 142, 163 (2016); </w:t>
      </w:r>
      <w:r>
        <w:rPr>
          <w:smallCaps/>
          <w:color w:val="000000" w:themeColor="text1"/>
        </w:rPr>
        <w:t>Fernanda Pirie, The Rule of Laws: A 4,000-Year Quest to Order the World 123</w:t>
      </w:r>
      <w:r>
        <w:rPr>
          <w:color w:val="000000" w:themeColor="text1"/>
        </w:rPr>
        <w:t xml:space="preserve"> (2021).</w:t>
      </w:r>
    </w:p>
  </w:footnote>
  <w:footnote w:id="275">
    <w:p w14:paraId="553DB504"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Lina </w:t>
      </w:r>
      <w:proofErr w:type="spellStart"/>
      <w:r>
        <w:rPr>
          <w:smallCaps/>
          <w:color w:val="000000" w:themeColor="text1"/>
        </w:rPr>
        <w:t>Girdvainyte</w:t>
      </w:r>
      <w:proofErr w:type="spellEnd"/>
      <w:r>
        <w:rPr>
          <w:smallCaps/>
          <w:color w:val="000000" w:themeColor="text1"/>
        </w:rPr>
        <w:t xml:space="preserve">, Law and Citizenship in Roman Achaia: Continuity and Change, in Law in the Roman Provinces 210, 220–36 (Kimberley </w:t>
      </w:r>
      <w:proofErr w:type="spellStart"/>
      <w:r>
        <w:rPr>
          <w:smallCaps/>
          <w:color w:val="000000" w:themeColor="text1"/>
        </w:rPr>
        <w:t>Czajkowski</w:t>
      </w:r>
      <w:proofErr w:type="spellEnd"/>
      <w:r>
        <w:rPr>
          <w:smallCaps/>
          <w:color w:val="000000" w:themeColor="text1"/>
        </w:rPr>
        <w:t xml:space="preserve"> &amp; Benedikt Eckhardt eds., 2020); see also Kimberley </w:t>
      </w:r>
      <w:proofErr w:type="spellStart"/>
      <w:r>
        <w:rPr>
          <w:smallCaps/>
          <w:color w:val="000000" w:themeColor="text1"/>
        </w:rPr>
        <w:t>Czajkowski</w:t>
      </w:r>
      <w:proofErr w:type="spellEnd"/>
      <w:r>
        <w:rPr>
          <w:smallCaps/>
          <w:color w:val="000000" w:themeColor="text1"/>
        </w:rPr>
        <w:t xml:space="preserve"> &amp; Benedikt Eckhardt, Introduction, in id. 1, 8; Leanne </w:t>
      </w:r>
      <w:proofErr w:type="spellStart"/>
      <w:r>
        <w:rPr>
          <w:smallCaps/>
          <w:color w:val="000000" w:themeColor="text1"/>
        </w:rPr>
        <w:t>Bablitz</w:t>
      </w:r>
      <w:proofErr w:type="spellEnd"/>
      <w:r>
        <w:rPr>
          <w:smallCaps/>
          <w:color w:val="000000" w:themeColor="text1"/>
        </w:rPr>
        <w:t>, Roman Courts and Private Arbitration, in The Oxford Handbook of Roman Law and Society 234, 234, 237, 242</w:t>
      </w:r>
      <w:r>
        <w:rPr>
          <w:color w:val="000000" w:themeColor="text1"/>
        </w:rPr>
        <w:t xml:space="preserve"> (Paul J. du Plessis et al. eds., 2016); G. P. Burton, </w:t>
      </w:r>
      <w:r>
        <w:rPr>
          <w:i/>
          <w:iCs/>
          <w:color w:val="000000" w:themeColor="text1"/>
        </w:rPr>
        <w:t>Proconsuls, Assizes and the Administration of Justice Under the Empire</w:t>
      </w:r>
      <w:r>
        <w:rPr>
          <w:color w:val="000000" w:themeColor="text1"/>
        </w:rPr>
        <w:t xml:space="preserve">, 65 </w:t>
      </w:r>
      <w:r>
        <w:rPr>
          <w:smallCaps/>
          <w:color w:val="000000" w:themeColor="text1"/>
        </w:rPr>
        <w:t>J. Roman Stud</w:t>
      </w:r>
      <w:r>
        <w:rPr>
          <w:color w:val="000000" w:themeColor="text1"/>
        </w:rPr>
        <w:t>. 92, 99–102 (1975).</w:t>
      </w:r>
    </w:p>
  </w:footnote>
  <w:footnote w:id="276">
    <w:p w14:paraId="3B564CB8" w14:textId="77777777" w:rsidR="00DA3AEA"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Derek Roebuck &amp; </w:t>
      </w:r>
      <w:proofErr w:type="gramStart"/>
      <w:r>
        <w:rPr>
          <w:smallCaps/>
          <w:color w:val="000000" w:themeColor="text1"/>
        </w:rPr>
        <w:t xml:space="preserve">Bruno de </w:t>
      </w:r>
      <w:proofErr w:type="spellStart"/>
      <w:r>
        <w:rPr>
          <w:smallCaps/>
          <w:color w:val="000000" w:themeColor="text1"/>
        </w:rPr>
        <w:t>Loynes</w:t>
      </w:r>
      <w:proofErr w:type="spellEnd"/>
      <w:proofErr w:type="gramEnd"/>
      <w:r>
        <w:rPr>
          <w:smallCaps/>
          <w:color w:val="000000" w:themeColor="text1"/>
        </w:rPr>
        <w:t xml:space="preserve"> de </w:t>
      </w:r>
      <w:proofErr w:type="spellStart"/>
      <w:r>
        <w:rPr>
          <w:smallCaps/>
          <w:color w:val="000000" w:themeColor="text1"/>
        </w:rPr>
        <w:t>Fumichon</w:t>
      </w:r>
      <w:proofErr w:type="spellEnd"/>
      <w:r>
        <w:rPr>
          <w:smallCaps/>
          <w:color w:val="000000" w:themeColor="text1"/>
        </w:rPr>
        <w:t>, Roman Arbitration</w:t>
      </w:r>
      <w:r>
        <w:rPr>
          <w:color w:val="000000" w:themeColor="text1"/>
        </w:rPr>
        <w:t xml:space="preserve"> 97, 194 (2004); </w:t>
      </w:r>
      <w:r>
        <w:rPr>
          <w:smallCaps/>
          <w:color w:val="000000" w:themeColor="text1"/>
        </w:rPr>
        <w:t xml:space="preserve">Fritz Schulz, Classical Roman Law 13–16 </w:t>
      </w:r>
      <w:r>
        <w:rPr>
          <w:color w:val="000000" w:themeColor="text1"/>
        </w:rPr>
        <w:t xml:space="preserve">(1951); Ivan </w:t>
      </w:r>
      <w:proofErr w:type="spellStart"/>
      <w:r>
        <w:rPr>
          <w:color w:val="000000" w:themeColor="text1"/>
        </w:rPr>
        <w:t>Milotić</w:t>
      </w:r>
      <w:proofErr w:type="spellEnd"/>
      <w:r>
        <w:rPr>
          <w:color w:val="000000" w:themeColor="text1"/>
        </w:rPr>
        <w:t xml:space="preserve">, An Outline of the Arbitral Procedure in Roman Law, Forum </w:t>
      </w:r>
      <w:proofErr w:type="spellStart"/>
      <w:r>
        <w:rPr>
          <w:color w:val="000000" w:themeColor="text1"/>
        </w:rPr>
        <w:t>Historiae</w:t>
      </w:r>
      <w:proofErr w:type="spellEnd"/>
      <w:r>
        <w:rPr>
          <w:color w:val="000000" w:themeColor="text1"/>
        </w:rPr>
        <w:t xml:space="preserve"> </w:t>
      </w:r>
      <w:proofErr w:type="spellStart"/>
      <w:r>
        <w:rPr>
          <w:color w:val="000000" w:themeColor="text1"/>
        </w:rPr>
        <w:t>Iuris</w:t>
      </w:r>
      <w:proofErr w:type="spellEnd"/>
      <w:r>
        <w:rPr>
          <w:color w:val="000000" w:themeColor="text1"/>
        </w:rPr>
        <w:t xml:space="preserve"> ¶¶ 9, 34 (2013); Ivan </w:t>
      </w:r>
      <w:proofErr w:type="spellStart"/>
      <w:r>
        <w:rPr>
          <w:color w:val="000000" w:themeColor="text1"/>
        </w:rPr>
        <w:t>Milotić</w:t>
      </w:r>
      <w:proofErr w:type="spellEnd"/>
      <w:r>
        <w:rPr>
          <w:color w:val="000000" w:themeColor="text1"/>
        </w:rPr>
        <w:t xml:space="preserve">, </w:t>
      </w:r>
      <w:r>
        <w:rPr>
          <w:i/>
          <w:iCs/>
          <w:color w:val="000000" w:themeColor="text1"/>
        </w:rPr>
        <w:t>Competence of Roman Arbiter in Rendering the Decision</w:t>
      </w:r>
      <w:r>
        <w:rPr>
          <w:color w:val="000000" w:themeColor="text1"/>
        </w:rPr>
        <w:t xml:space="preserve">, 18 </w:t>
      </w:r>
      <w:r>
        <w:rPr>
          <w:smallCaps/>
          <w:color w:val="000000" w:themeColor="text1"/>
        </w:rPr>
        <w:t xml:space="preserve">Croat. </w:t>
      </w:r>
      <w:proofErr w:type="spellStart"/>
      <w:r>
        <w:rPr>
          <w:smallCaps/>
          <w:color w:val="000000" w:themeColor="text1"/>
        </w:rPr>
        <w:t>Arbit</w:t>
      </w:r>
      <w:proofErr w:type="spellEnd"/>
      <w:r>
        <w:rPr>
          <w:smallCaps/>
          <w:color w:val="000000" w:themeColor="text1"/>
        </w:rPr>
        <w:t xml:space="preserve">. </w:t>
      </w:r>
      <w:proofErr w:type="spellStart"/>
      <w:r>
        <w:rPr>
          <w:smallCaps/>
          <w:color w:val="000000" w:themeColor="text1"/>
        </w:rPr>
        <w:t>Yearb</w:t>
      </w:r>
      <w:proofErr w:type="spellEnd"/>
      <w:r>
        <w:rPr>
          <w:smallCaps/>
          <w:color w:val="000000" w:themeColor="text1"/>
        </w:rPr>
        <w:t xml:space="preserve">. </w:t>
      </w:r>
      <w:r>
        <w:rPr>
          <w:color w:val="000000" w:themeColor="text1"/>
        </w:rPr>
        <w:t xml:space="preserve">99, 99, 109, 112 (2011); </w:t>
      </w:r>
      <w:r>
        <w:rPr>
          <w:i/>
          <w:iCs/>
          <w:color w:val="000000" w:themeColor="text1"/>
        </w:rPr>
        <w:t>see also</w:t>
      </w:r>
      <w:r>
        <w:rPr>
          <w:color w:val="000000" w:themeColor="text1"/>
        </w:rPr>
        <w:t xml:space="preserve"> </w:t>
      </w:r>
      <w:r>
        <w:rPr>
          <w:smallCaps/>
          <w:color w:val="000000" w:themeColor="text1"/>
        </w:rPr>
        <w:t>Jill Harries, Law and Empire in Late Antiquity</w:t>
      </w:r>
      <w:r>
        <w:rPr>
          <w:color w:val="000000" w:themeColor="text1"/>
        </w:rPr>
        <w:t xml:space="preserve"> 172–75 (1999); Patrick </w:t>
      </w:r>
      <w:proofErr w:type="spellStart"/>
      <w:r>
        <w:rPr>
          <w:color w:val="000000" w:themeColor="text1"/>
        </w:rPr>
        <w:t>Olivelle</w:t>
      </w:r>
      <w:proofErr w:type="spellEnd"/>
      <w:r>
        <w:rPr>
          <w:color w:val="000000" w:themeColor="text1"/>
        </w:rPr>
        <w:t xml:space="preserve">, </w:t>
      </w:r>
      <w:r>
        <w:rPr>
          <w:i/>
          <w:iCs/>
          <w:color w:val="000000" w:themeColor="text1"/>
        </w:rPr>
        <w:t>Legal Procedure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Cambridge Comparative History of Ancient Law</w:t>
      </w:r>
      <w:r>
        <w:rPr>
          <w:color w:val="000000" w:themeColor="text1"/>
        </w:rPr>
        <w:t xml:space="preserve"> 303, 369 (Caroline </w:t>
      </w:r>
      <w:proofErr w:type="spellStart"/>
      <w:r>
        <w:rPr>
          <w:color w:val="000000" w:themeColor="text1"/>
        </w:rPr>
        <w:t>Humfress</w:t>
      </w:r>
      <w:proofErr w:type="spellEnd"/>
      <w:r>
        <w:rPr>
          <w:color w:val="000000" w:themeColor="text1"/>
        </w:rPr>
        <w:t xml:space="preserve">, David Ibbetson &amp; Patrick </w:t>
      </w:r>
      <w:proofErr w:type="spellStart"/>
      <w:r>
        <w:rPr>
          <w:color w:val="000000" w:themeColor="text1"/>
        </w:rPr>
        <w:t>Olivelle</w:t>
      </w:r>
      <w:proofErr w:type="spellEnd"/>
      <w:r>
        <w:rPr>
          <w:color w:val="000000" w:themeColor="text1"/>
        </w:rPr>
        <w:t xml:space="preserve"> eds., 2024); </w:t>
      </w:r>
      <w:r>
        <w:rPr>
          <w:smallCaps/>
          <w:color w:val="000000" w:themeColor="text1"/>
        </w:rPr>
        <w:t>Ernest Metzger,</w:t>
      </w:r>
      <w:r>
        <w:rPr>
          <w:color w:val="000000" w:themeColor="text1"/>
        </w:rPr>
        <w:t xml:space="preserve"> </w:t>
      </w:r>
      <w:r>
        <w:rPr>
          <w:smallCaps/>
          <w:color w:val="000000" w:themeColor="text1"/>
        </w:rPr>
        <w:t>Litigation in Roman Law</w:t>
      </w:r>
      <w:r>
        <w:rPr>
          <w:color w:val="000000" w:themeColor="text1"/>
        </w:rPr>
        <w:t xml:space="preserve"> 10 (2005).</w:t>
      </w:r>
    </w:p>
  </w:footnote>
  <w:footnote w:id="277">
    <w:p w14:paraId="78CA08C1"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Johnston, Roman Law in Context</w:t>
      </w:r>
      <w:r>
        <w:rPr>
          <w:color w:val="000000" w:themeColor="text1"/>
        </w:rPr>
        <w:t xml:space="preserve"> 122 (1999); </w:t>
      </w:r>
      <w:r>
        <w:rPr>
          <w:i/>
          <w:iCs/>
          <w:color w:val="000000" w:themeColor="text1"/>
        </w:rPr>
        <w:t>see also</w:t>
      </w:r>
      <w:r>
        <w:rPr>
          <w:color w:val="000000" w:themeColor="text1"/>
        </w:rPr>
        <w:t xml:space="preserve"> </w:t>
      </w:r>
      <w:r>
        <w:rPr>
          <w:smallCaps/>
          <w:color w:val="000000" w:themeColor="text1"/>
        </w:rPr>
        <w:t>Peter Stein, Legal Institutions: The Development of Dispute Settlement</w:t>
      </w:r>
      <w:r>
        <w:rPr>
          <w:color w:val="000000" w:themeColor="text1"/>
        </w:rPr>
        <w:t xml:space="preserve"> 34 (1984).</w:t>
      </w:r>
    </w:p>
  </w:footnote>
  <w:footnote w:id="278">
    <w:p w14:paraId="79BED31D" w14:textId="77777777" w:rsidR="00096F38" w:rsidRPr="005B3E31" w:rsidRDefault="00096F3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Reinhard Zimmermann, The Law of Obligations: Roman Foundations of the Civilian Tradition</w:t>
      </w:r>
      <w:r>
        <w:rPr>
          <w:color w:val="000000" w:themeColor="text1"/>
        </w:rPr>
        <w:t xml:space="preserve"> 526–30 (1990); </w:t>
      </w:r>
      <w:r>
        <w:rPr>
          <w:smallCaps/>
          <w:color w:val="000000" w:themeColor="text1"/>
        </w:rPr>
        <w:t xml:space="preserve">Caroline </w:t>
      </w:r>
      <w:proofErr w:type="spellStart"/>
      <w:r>
        <w:rPr>
          <w:smallCaps/>
          <w:color w:val="000000" w:themeColor="text1"/>
        </w:rPr>
        <w:t>Humfress</w:t>
      </w:r>
      <w:proofErr w:type="spellEnd"/>
      <w:r>
        <w:rPr>
          <w:smallCaps/>
          <w:color w:val="000000" w:themeColor="text1"/>
        </w:rPr>
        <w:t>, Orthodoxy and the Courts in Late Antiquity</w:t>
      </w:r>
      <w:r>
        <w:rPr>
          <w:color w:val="000000" w:themeColor="text1"/>
        </w:rPr>
        <w:t xml:space="preserve"> 35 (Oxford Univ. Press 2007) (“When it came to settling disputes, </w:t>
      </w:r>
      <w:r>
        <w:rPr>
          <w:i/>
          <w:iCs/>
          <w:color w:val="000000" w:themeColor="text1"/>
        </w:rPr>
        <w:t xml:space="preserve">not </w:t>
      </w:r>
      <w:r>
        <w:rPr>
          <w:color w:val="000000" w:themeColor="text1"/>
        </w:rPr>
        <w:t xml:space="preserve">appearing as a litigant before a magistrate was thus a primary goal for many, if not perhaps most, inhabitants of the later Roman Empire.”) (quoting John Chrysostom: “Many men, when they have a dispute with one another, save themselves loss, and alarm, and many risks if they come to a friendly understanding together outside the law court, the issue of the case turning out in accordance with the sentiment of each party; but if they severally entrust the affair to the judge the only result to them will be loss of money, and in many cases a penalty, and the permanent endurance of their hatred.”); </w:t>
      </w:r>
      <w:proofErr w:type="spellStart"/>
      <w:r>
        <w:rPr>
          <w:color w:val="000000" w:themeColor="text1"/>
        </w:rPr>
        <w:t>Bablitz</w:t>
      </w:r>
      <w:proofErr w:type="spellEnd"/>
      <w:r>
        <w:rPr>
          <w:color w:val="000000" w:themeColor="text1"/>
        </w:rPr>
        <w:t xml:space="preserve">, </w:t>
      </w:r>
      <w:r>
        <w:rPr>
          <w:i/>
          <w:iCs/>
          <w:color w:val="000000" w:themeColor="text1"/>
        </w:rPr>
        <w:t>supra</w:t>
      </w:r>
      <w:r>
        <w:rPr>
          <w:color w:val="000000" w:themeColor="text1"/>
        </w:rPr>
        <w:t xml:space="preserve"> note 320, at 237–38.</w:t>
      </w:r>
    </w:p>
  </w:footnote>
  <w:footnote w:id="279">
    <w:p w14:paraId="28B5FB3E" w14:textId="716F8FD4"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 IV</w:t>
      </w:r>
      <w:proofErr w:type="gramEnd"/>
      <w:r>
        <w:rPr>
          <w:color w:val="000000" w:themeColor="text1"/>
        </w:rPr>
        <w:t>.A.</w:t>
      </w:r>
    </w:p>
  </w:footnote>
  <w:footnote w:id="280">
    <w:p w14:paraId="68744F2A" w14:textId="77777777" w:rsidR="00AC2E80" w:rsidRPr="005B3E31" w:rsidRDefault="00AC2E8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_Ref214119617 \h  \* MERGEFORMAT </w:instrText>
      </w:r>
      <w:r>
        <w:rPr>
          <w:color w:val="000000" w:themeColor="text1"/>
        </w:rPr>
      </w:r>
      <w:r>
        <w:rPr>
          <w:color w:val="000000" w:themeColor="text1"/>
        </w:rPr>
        <w:fldChar w:fldCharType="separate"/>
      </w:r>
      <w:r>
        <w:rPr>
          <w:color w:val="000000" w:themeColor="text1"/>
        </w:rPr>
        <w:t>321</w:t>
      </w:r>
      <w:r>
        <w:rPr>
          <w:color w:val="000000" w:themeColor="text1"/>
        </w:rPr>
        <w:fldChar w:fldCharType="end"/>
      </w:r>
      <w:r>
        <w:rPr>
          <w:smallCaps/>
          <w:color w:val="000000" w:themeColor="text1"/>
        </w:rPr>
        <w:t xml:space="preserve">, </w:t>
      </w:r>
      <w:r>
        <w:rPr>
          <w:color w:val="000000" w:themeColor="text1"/>
        </w:rPr>
        <w:t xml:space="preserve">at </w:t>
      </w:r>
      <w:proofErr w:type="gramStart"/>
      <w:r>
        <w:rPr>
          <w:color w:val="000000" w:themeColor="text1"/>
        </w:rPr>
        <w:t>171;</w:t>
      </w:r>
      <w:proofErr w:type="gramEnd"/>
      <w:r>
        <w:rPr>
          <w:color w:val="000000" w:themeColor="text1"/>
        </w:rPr>
        <w:t xml:space="preserve"> </w:t>
      </w:r>
      <w:r>
        <w:rPr>
          <w:i/>
          <w:iCs/>
          <w:color w:val="000000" w:themeColor="text1"/>
        </w:rPr>
        <w:t>but cf. id.</w:t>
      </w:r>
      <w:r>
        <w:rPr>
          <w:color w:val="000000" w:themeColor="text1"/>
        </w:rPr>
        <w:t xml:space="preserve"> at 171–72 (“Only ten years later, Justinian appears to have had the most extraordinary change of heart and forbade both parties and arbitrators from taking oaths.”).</w:t>
      </w:r>
    </w:p>
  </w:footnote>
  <w:footnote w:id="281">
    <w:p w14:paraId="510DEFB3"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(In ancient Mesopotamia, Hammurabi’s Code was designed for direct consultation by individual litigants: “Let any wronged man who has a lawsuit come before my image, as king of justice, and have what is written on my stele read to him, so that he may understand my precious commands; and let my stele demonstrate his position, so that he may understand his case and calm his heart.” In ancient India, the legal tradition explicitly required personal presentation of cases by the parties themselves: “Here, each party had to present his own case in accordance with rules that can be traced to the </w:t>
      </w:r>
      <w:proofErr w:type="spellStart"/>
      <w:r>
        <w:rPr>
          <w:color w:val="000000" w:themeColor="text1"/>
        </w:rPr>
        <w:t>Arthashastra</w:t>
      </w:r>
      <w:proofErr w:type="spellEnd"/>
      <w:r>
        <w:rPr>
          <w:color w:val="000000" w:themeColor="text1"/>
        </w:rPr>
        <w:t xml:space="preserve"> tradition.” In Imperial China, the legal system similarly operated on the basis of direct engagement by ordinary individuals who brought their own complaints and arguments: “Any individual could bring a criminal complaint, and if they caught someone in the act they could claim a reward,” and “ordinary people could quote the rules to argue about an abuse of power or appeal against an unfair sentence, to the discomfort of local officials.”); </w:t>
      </w:r>
      <w:r>
        <w:rPr>
          <w:smallCaps/>
          <w:color w:val="000000" w:themeColor="text1"/>
        </w:rPr>
        <w:t xml:space="preserve">John </w:t>
      </w:r>
      <w:proofErr w:type="spellStart"/>
      <w:r>
        <w:rPr>
          <w:smallCaps/>
          <w:color w:val="000000" w:themeColor="text1"/>
        </w:rPr>
        <w:t>Maxcy</w:t>
      </w:r>
      <w:proofErr w:type="spellEnd"/>
      <w:r>
        <w:rPr>
          <w:smallCaps/>
          <w:color w:val="000000" w:themeColor="text1"/>
        </w:rPr>
        <w:t xml:space="preserve"> Zane, </w:t>
      </w:r>
      <w:r>
        <w:rPr>
          <w:i/>
          <w:iCs/>
          <w:smallCaps/>
          <w:color w:val="000000" w:themeColor="text1"/>
        </w:rPr>
        <w:t>The Story of Law</w:t>
      </w:r>
      <w:r>
        <w:rPr>
          <w:color w:val="000000" w:themeColor="text1"/>
        </w:rPr>
        <w:t xml:space="preserve"> 103, 113 (1998) (explaining that in ancient Greece, the legal system was built on the principle of personal representation, as “every citizen was competent to know and judge the law. Hence there was no such practice as that of a citizen appearing by attorney or advocate. The citizen must manage his own case and make his own plea.” Indeed, "a legal profession was banned, as Plato makes plain in his Laws. All the </w:t>
      </w:r>
      <w:proofErr w:type="gramStart"/>
      <w:r>
        <w:rPr>
          <w:color w:val="000000" w:themeColor="text1"/>
        </w:rPr>
        <w:t>litigant</w:t>
      </w:r>
      <w:proofErr w:type="gramEnd"/>
      <w:r>
        <w:rPr>
          <w:color w:val="000000" w:themeColor="text1"/>
        </w:rPr>
        <w:t xml:space="preserve"> could do was to hire some orator to write out a speech for him to deliver.” The underlying philosophy was that “the laws, if put into writing, became the aid and possession of the many. With written laws, the humblest in the state is sure of equal justice with the great.”).</w:t>
      </w:r>
    </w:p>
  </w:footnote>
  <w:footnote w:id="282">
    <w:p w14:paraId="1EB18005"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34, 41, 43 and accompanying text.</w:t>
      </w:r>
    </w:p>
  </w:footnote>
  <w:footnote w:id="283">
    <w:p w14:paraId="1A88F910" w14:textId="77777777"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James A. Brundage, The Medieval Origins of the Legal Profession</w:t>
      </w:r>
      <w:r>
        <w:rPr>
          <w:color w:val="000000" w:themeColor="text1"/>
        </w:rPr>
        <w:t xml:space="preserve"> 28 (Univ. of Chicago Press 2008).</w:t>
      </w:r>
    </w:p>
  </w:footnote>
  <w:footnote w:id="284">
    <w:p w14:paraId="13C7ABF6" w14:textId="77777777" w:rsidR="000F5FFF" w:rsidRPr="005B3E31" w:rsidRDefault="000F5FFF" w:rsidP="003D74D8">
      <w:pPr>
        <w:pStyle w:val="FootnoteText"/>
        <w:spacing w:line="480" w:lineRule="auto"/>
      </w:pPr>
      <w:r>
        <w:rPr>
          <w:rStyle w:val="FootnoteReference"/>
        </w:rPr>
        <w:footnoteRef/>
      </w:r>
      <w:r>
        <w:t xml:space="preserve"> </w:t>
      </w:r>
      <w:r>
        <w:rPr>
          <w:i/>
          <w:iCs/>
        </w:rPr>
        <w:t>Id.</w:t>
      </w:r>
      <w:r>
        <w:t xml:space="preserve"> at 28. </w:t>
      </w:r>
    </w:p>
  </w:footnote>
  <w:footnote w:id="285">
    <w:p w14:paraId="6E1CCB57" w14:textId="77777777"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444.</w:t>
      </w:r>
    </w:p>
  </w:footnote>
  <w:footnote w:id="286">
    <w:p w14:paraId="61B1B3AD"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Roebuck, supra note 321, at 232 (printing C. 2.58.2 (</w:t>
      </w:r>
      <w:proofErr w:type="spellStart"/>
      <w:r>
        <w:rPr>
          <w:color w:val="000000" w:themeColor="text1"/>
        </w:rPr>
        <w:t>a.d.</w:t>
      </w:r>
      <w:proofErr w:type="spellEnd"/>
      <w:r>
        <w:rPr>
          <w:color w:val="000000" w:themeColor="text1"/>
        </w:rPr>
        <w:t xml:space="preserve"> 531): “et actor </w:t>
      </w:r>
      <w:proofErr w:type="spellStart"/>
      <w:r>
        <w:rPr>
          <w:color w:val="000000" w:themeColor="text1"/>
        </w:rPr>
        <w:t>quidem</w:t>
      </w:r>
      <w:proofErr w:type="spellEnd"/>
      <w:r>
        <w:rPr>
          <w:color w:val="000000" w:themeColor="text1"/>
        </w:rPr>
        <w:t xml:space="preserve"> </w:t>
      </w:r>
      <w:proofErr w:type="spellStart"/>
      <w:r>
        <w:rPr>
          <w:color w:val="000000" w:themeColor="text1"/>
        </w:rPr>
        <w:t>iuret</w:t>
      </w:r>
      <w:proofErr w:type="spellEnd"/>
      <w:r>
        <w:rPr>
          <w:color w:val="000000" w:themeColor="text1"/>
        </w:rPr>
        <w:t xml:space="preserve"> non </w:t>
      </w:r>
      <w:proofErr w:type="spellStart"/>
      <w:r>
        <w:rPr>
          <w:color w:val="000000" w:themeColor="text1"/>
        </w:rPr>
        <w:t>calumniandi</w:t>
      </w:r>
      <w:proofErr w:type="spellEnd"/>
      <w:r>
        <w:rPr>
          <w:color w:val="000000" w:themeColor="text1"/>
        </w:rPr>
        <w:t xml:space="preserve"> animo litem </w:t>
      </w:r>
      <w:proofErr w:type="spellStart"/>
      <w:r>
        <w:rPr>
          <w:color w:val="000000" w:themeColor="text1"/>
        </w:rPr>
        <w:t>movisse</w:t>
      </w:r>
      <w:proofErr w:type="spellEnd"/>
      <w:r>
        <w:rPr>
          <w:color w:val="000000" w:themeColor="text1"/>
        </w:rPr>
        <w:t xml:space="preserve">, sed </w:t>
      </w:r>
      <w:proofErr w:type="spellStart"/>
      <w:r>
        <w:rPr>
          <w:color w:val="000000" w:themeColor="text1"/>
        </w:rPr>
        <w:t>existimando</w:t>
      </w:r>
      <w:proofErr w:type="spellEnd"/>
      <w:r>
        <w:rPr>
          <w:color w:val="000000" w:themeColor="text1"/>
        </w:rPr>
        <w:t xml:space="preserve"> </w:t>
      </w:r>
      <w:proofErr w:type="spellStart"/>
      <w:r>
        <w:rPr>
          <w:color w:val="000000" w:themeColor="text1"/>
        </w:rPr>
        <w:t>bonam</w:t>
      </w:r>
      <w:proofErr w:type="spellEnd"/>
      <w:r>
        <w:rPr>
          <w:color w:val="000000" w:themeColor="text1"/>
        </w:rPr>
        <w:t xml:space="preserve"> </w:t>
      </w:r>
      <w:proofErr w:type="spellStart"/>
      <w:r>
        <w:rPr>
          <w:color w:val="000000" w:themeColor="text1"/>
        </w:rPr>
        <w:t>causam</w:t>
      </w:r>
      <w:proofErr w:type="spellEnd"/>
      <w:r>
        <w:rPr>
          <w:color w:val="000000" w:themeColor="text1"/>
        </w:rPr>
        <w:t xml:space="preserve"> habere”); </w:t>
      </w:r>
      <w:r>
        <w:rPr>
          <w:i/>
          <w:iCs/>
          <w:color w:val="000000" w:themeColor="text1"/>
        </w:rPr>
        <w:t>id.</w:t>
      </w:r>
      <w:r>
        <w:rPr>
          <w:color w:val="000000" w:themeColor="text1"/>
        </w:rPr>
        <w:t xml:space="preserve"> at 33 (describing a claimant’s obligation to “give surety to bring the matter on within two months or pay the defendant twice the costs caused by that failure,” and the parties’ oaths “that they were not acting vexatiously”); Burton, </w:t>
      </w:r>
      <w:r>
        <w:rPr>
          <w:i/>
          <w:iCs/>
          <w:color w:val="000000" w:themeColor="text1"/>
        </w:rPr>
        <w:t>supra</w:t>
      </w:r>
      <w:r>
        <w:rPr>
          <w:color w:val="000000" w:themeColor="text1"/>
        </w:rPr>
        <w:t xml:space="preserve"> note 320, at 101 n.92 (citing Dig. 5.1.79 for the rule that “defendants who had been rashly brought to law should receive compensation for the costs of the suit”); Harries, supra note 321, at 158 (citing Gaius, Inst. 4.178, defining </w:t>
      </w:r>
      <w:proofErr w:type="spellStart"/>
      <w:r>
        <w:rPr>
          <w:color w:val="000000" w:themeColor="text1"/>
        </w:rPr>
        <w:t>calumnia</w:t>
      </w:r>
      <w:proofErr w:type="spellEnd"/>
      <w:r>
        <w:rPr>
          <w:color w:val="000000" w:themeColor="text1"/>
        </w:rPr>
        <w:t xml:space="preserve"> as suing another wrongfully in the hope of winning through the “error vel </w:t>
      </w:r>
      <w:proofErr w:type="spellStart"/>
      <w:r>
        <w:rPr>
          <w:color w:val="000000" w:themeColor="text1"/>
        </w:rPr>
        <w:t>iniquitas</w:t>
      </w:r>
      <w:proofErr w:type="spellEnd"/>
      <w:r>
        <w:rPr>
          <w:color w:val="000000" w:themeColor="text1"/>
        </w:rPr>
        <w:t xml:space="preserve"> </w:t>
      </w:r>
      <w:proofErr w:type="spellStart"/>
      <w:r>
        <w:rPr>
          <w:color w:val="000000" w:themeColor="text1"/>
        </w:rPr>
        <w:t>iudicis</w:t>
      </w:r>
      <w:proofErr w:type="spellEnd"/>
      <w:r>
        <w:rPr>
          <w:color w:val="000000" w:themeColor="text1"/>
        </w:rPr>
        <w:t>”).</w:t>
      </w:r>
      <w:r>
        <w:rPr>
          <w:color w:val="000000" w:themeColor="text1"/>
        </w:rPr>
        <w:fldChar w:fldCharType="begin"/>
      </w:r>
      <w:r>
        <w:rPr>
          <w:color w:val="000000" w:themeColor="text1"/>
        </w:rPr>
        <w:instrText xml:space="preserve"> NOTEREF _Ref217239828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
  </w:footnote>
  <w:footnote w:id="287">
    <w:p w14:paraId="7946E36A" w14:textId="77777777" w:rsidR="00D879FE" w:rsidRDefault="00000000">
      <w:pPr>
        <w:pStyle w:val="FootnoteText"/>
        <w:spacing w:line="480" w:lineRule="auto"/>
      </w:pPr>
      <w:r>
        <w:rPr>
          <w:rStyle w:val="FootnoteReference"/>
        </w:rPr>
        <w:footnoteRef/>
      </w:r>
      <w:r>
        <w:t xml:space="preserve"> </w:t>
      </w:r>
      <w:r>
        <w:rPr>
          <w:smallCaps/>
        </w:rPr>
        <w:t xml:space="preserve">Cicero, De </w:t>
      </w:r>
      <w:proofErr w:type="spellStart"/>
      <w:r>
        <w:rPr>
          <w:smallCaps/>
        </w:rPr>
        <w:t>Oratore</w:t>
      </w:r>
      <w:proofErr w:type="spellEnd"/>
      <w:r>
        <w:t xml:space="preserve"> II.102–03, at 275 (E.W. Sutton &amp; H. Rackham trans., Loeb Classical Library 1942); </w:t>
      </w:r>
      <w:r>
        <w:rPr>
          <w:i/>
        </w:rPr>
        <w:t>see also</w:t>
      </w:r>
      <w:r>
        <w:t xml:space="preserve"> </w:t>
      </w:r>
      <w:r>
        <w:rPr>
          <w:smallCaps/>
        </w:rPr>
        <w:t xml:space="preserve">Cicero, De </w:t>
      </w:r>
      <w:proofErr w:type="spellStart"/>
      <w:r>
        <w:rPr>
          <w:smallCaps/>
        </w:rPr>
        <w:t>Officiis</w:t>
      </w:r>
      <w:proofErr w:type="spellEnd"/>
      <w:r>
        <w:t xml:space="preserve"> II.7–8, at 175 (Walter Miller trans., Loeb Classical Library 1913) (the Academic argues both sides because “we could not get a clear view of what is ‘probable,’ unless a comparative estimate were made of all the arguments on both sides”).</w:t>
      </w:r>
    </w:p>
  </w:footnote>
  <w:footnote w:id="288">
    <w:p w14:paraId="2F8F451B"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Maciej </w:t>
      </w:r>
      <w:proofErr w:type="spellStart"/>
      <w:r>
        <w:rPr>
          <w:color w:val="000000" w:themeColor="text1"/>
        </w:rPr>
        <w:t>Piegdoń</w:t>
      </w:r>
      <w:proofErr w:type="spellEnd"/>
      <w:r>
        <w:rPr>
          <w:color w:val="000000" w:themeColor="text1"/>
        </w:rPr>
        <w:t xml:space="preserve">, </w:t>
      </w:r>
      <w:r>
        <w:rPr>
          <w:i/>
          <w:iCs/>
          <w:color w:val="000000" w:themeColor="text1"/>
        </w:rPr>
        <w:t>Roman Arbitration in the Greek Oikumene in the Third–Second Century BCE: Some Observations</w:t>
      </w:r>
      <w:r>
        <w:rPr>
          <w:color w:val="000000" w:themeColor="text1"/>
        </w:rPr>
        <w:t xml:space="preserve">, 25 </w:t>
      </w:r>
      <w:r>
        <w:rPr>
          <w:smallCaps/>
          <w:color w:val="000000" w:themeColor="text1"/>
        </w:rPr>
        <w:t>Electrum</w:t>
      </w:r>
      <w:r>
        <w:rPr>
          <w:color w:val="000000" w:themeColor="text1"/>
        </w:rPr>
        <w:t xml:space="preserve"> 27, 42 (2018); </w:t>
      </w:r>
      <w:r>
        <w:rPr>
          <w:smallCaps/>
          <w:color w:val="000000" w:themeColor="text1"/>
        </w:rPr>
        <w:t xml:space="preserve">Cristina </w:t>
      </w:r>
      <w:proofErr w:type="spellStart"/>
      <w:r>
        <w:rPr>
          <w:smallCaps/>
          <w:color w:val="000000" w:themeColor="text1"/>
        </w:rPr>
        <w:t>Rosillo</w:t>
      </w:r>
      <w:proofErr w:type="spellEnd"/>
      <w:r>
        <w:rPr>
          <w:smallCaps/>
          <w:color w:val="000000" w:themeColor="text1"/>
        </w:rPr>
        <w:t>-López, Arbitration in the res publica, in Libertas and Res Publica in the Roman Republic: Ideas of Freedom and Politics 153, 157–58</w:t>
      </w:r>
      <w:r>
        <w:rPr>
          <w:color w:val="000000" w:themeColor="text1"/>
        </w:rPr>
        <w:t xml:space="preserve"> (Catalina </w:t>
      </w:r>
      <w:proofErr w:type="spellStart"/>
      <w:r>
        <w:rPr>
          <w:color w:val="000000" w:themeColor="text1"/>
        </w:rPr>
        <w:t>Balmaceda</w:t>
      </w:r>
      <w:proofErr w:type="spellEnd"/>
      <w:r>
        <w:rPr>
          <w:color w:val="000000" w:themeColor="text1"/>
        </w:rPr>
        <w:t xml:space="preserve"> ed., 2020); </w:t>
      </w:r>
      <w:r>
        <w:rPr>
          <w:smallCaps/>
          <w:color w:val="000000" w:themeColor="text1"/>
        </w:rPr>
        <w:t>Andrew Lintott, The Constitution of the Roman Republic</w:t>
      </w:r>
      <w:r>
        <w:rPr>
          <w:color w:val="000000" w:themeColor="text1"/>
        </w:rPr>
        <w:t xml:space="preserve"> 77 (1999).</w:t>
      </w:r>
    </w:p>
  </w:footnote>
  <w:footnote w:id="289">
    <w:p w14:paraId="265AF05B" w14:textId="77777777" w:rsidR="00EF2121" w:rsidRPr="005B3E31" w:rsidRDefault="00EF21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4 (“Advocates and Jurists”) [PRINT PINCITE NEEDED]. </w:t>
      </w:r>
    </w:p>
  </w:footnote>
  <w:footnote w:id="290">
    <w:p w14:paraId="09C39AD8" w14:textId="77777777" w:rsidR="005B4A54" w:rsidRPr="005B3E31" w:rsidRDefault="005B4A54" w:rsidP="003D74D8">
      <w:pPr>
        <w:pStyle w:val="FootnoteText"/>
        <w:spacing w:line="480" w:lineRule="auto"/>
      </w:pPr>
      <w:r>
        <w:rPr>
          <w:rStyle w:val="FootnoteReference"/>
        </w:rPr>
        <w:footnoteRef/>
      </w:r>
      <w:r>
        <w:t xml:space="preserve">Seneca, De </w:t>
      </w:r>
      <w:proofErr w:type="spellStart"/>
      <w:r>
        <w:t>beneficiis</w:t>
      </w:r>
      <w:proofErr w:type="spellEnd"/>
      <w:r>
        <w:t xml:space="preserve">, III, 7, 5, quoted in Ivan </w:t>
      </w:r>
      <w:proofErr w:type="spellStart"/>
      <w:r>
        <w:t>Milotić</w:t>
      </w:r>
      <w:proofErr w:type="spellEnd"/>
      <w:r>
        <w:t xml:space="preserve">, </w:t>
      </w:r>
      <w:r>
        <w:rPr>
          <w:i/>
          <w:iCs/>
        </w:rPr>
        <w:t>Competence of Roman Arbiter in Rendering the Decision</w:t>
      </w:r>
      <w:r>
        <w:t xml:space="preserve">, 18 Croat. </w:t>
      </w:r>
      <w:proofErr w:type="spellStart"/>
      <w:r>
        <w:t>Arbit</w:t>
      </w:r>
      <w:proofErr w:type="spellEnd"/>
      <w:r>
        <w:t>. Y.B. 99, 101 (2011).</w:t>
      </w:r>
    </w:p>
  </w:footnote>
  <w:footnote w:id="291">
    <w:p w14:paraId="30180465" w14:textId="77777777" w:rsidR="008D05A4" w:rsidRPr="005B3E31" w:rsidRDefault="008D05A4" w:rsidP="003D74D8">
      <w:pPr>
        <w:pStyle w:val="FootnoteText"/>
        <w:spacing w:line="480" w:lineRule="auto"/>
      </w:pPr>
      <w:r>
        <w:rPr>
          <w:rStyle w:val="FootnoteReference"/>
        </w:rPr>
        <w:footnoteRef/>
      </w:r>
      <w:r>
        <w:t xml:space="preserve"> Ivan </w:t>
      </w:r>
      <w:proofErr w:type="spellStart"/>
      <w:r>
        <w:t>Milotić</w:t>
      </w:r>
      <w:proofErr w:type="spellEnd"/>
      <w:r>
        <w:t xml:space="preserve">, </w:t>
      </w:r>
      <w:r>
        <w:rPr>
          <w:i/>
          <w:iCs/>
        </w:rPr>
        <w:t>Competence of Roman Arbiter in Rendering the Decision</w:t>
      </w:r>
      <w:r>
        <w:t xml:space="preserve">, 18 Croat. </w:t>
      </w:r>
      <w:proofErr w:type="spellStart"/>
      <w:r>
        <w:t>Arbit</w:t>
      </w:r>
      <w:proofErr w:type="spellEnd"/>
      <w:r>
        <w:t xml:space="preserve">. </w:t>
      </w:r>
      <w:proofErr w:type="spellStart"/>
      <w:r>
        <w:t>Yearb</w:t>
      </w:r>
      <w:proofErr w:type="spellEnd"/>
      <w:r>
        <w:t>. 99, 99–100 (2011).</w:t>
      </w:r>
    </w:p>
  </w:footnote>
  <w:footnote w:id="292">
    <w:p w14:paraId="246D6BD0"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Derek Roebuck &amp; Bruno de </w:t>
      </w:r>
      <w:proofErr w:type="spellStart"/>
      <w:r>
        <w:rPr>
          <w:smallCaps/>
          <w:color w:val="000000" w:themeColor="text1"/>
        </w:rPr>
        <w:t>Loynes</w:t>
      </w:r>
      <w:proofErr w:type="spellEnd"/>
      <w:r>
        <w:rPr>
          <w:smallCaps/>
          <w:color w:val="000000" w:themeColor="text1"/>
        </w:rPr>
        <w:t xml:space="preserve"> de </w:t>
      </w:r>
      <w:proofErr w:type="spellStart"/>
      <w:r>
        <w:rPr>
          <w:smallCaps/>
          <w:color w:val="000000" w:themeColor="text1"/>
        </w:rPr>
        <w:t>Fumichon</w:t>
      </w:r>
      <w:proofErr w:type="spellEnd"/>
      <w:r>
        <w:rPr>
          <w:smallCaps/>
          <w:color w:val="000000" w:themeColor="text1"/>
        </w:rPr>
        <w:t>, Roman Arbitration</w:t>
      </w:r>
      <w:r>
        <w:rPr>
          <w:color w:val="000000" w:themeColor="text1"/>
        </w:rPr>
        <w:t xml:space="preserve"> 12, 17, 23–27, 30–37, 46–66, 69 n.4, 71–72, 76, 81–82, 90–93, 120–29, 137–39, 160, 163, 171, 179, 187, 203–04, 222, 232 (2004); </w:t>
      </w:r>
      <w:r>
        <w:rPr>
          <w:smallCaps/>
          <w:color w:val="000000" w:themeColor="text1"/>
        </w:rPr>
        <w:t>Andrew Lintott, The Constitution of the Roman Republic</w:t>
      </w:r>
      <w:r>
        <w:rPr>
          <w:color w:val="000000" w:themeColor="text1"/>
        </w:rPr>
        <w:t xml:space="preserve"> 149–57 (1999); </w:t>
      </w:r>
      <w:r>
        <w:rPr>
          <w:smallCaps/>
          <w:color w:val="000000" w:themeColor="text1"/>
        </w:rPr>
        <w:t>David Johnston, Roman Law in Context</w:t>
      </w:r>
      <w:r>
        <w:rPr>
          <w:color w:val="000000" w:themeColor="text1"/>
        </w:rPr>
        <w:t xml:space="preserve"> 1–11, 112–23 (1999); </w:t>
      </w:r>
      <w:r>
        <w:rPr>
          <w:smallCaps/>
          <w:color w:val="000000" w:themeColor="text1"/>
        </w:rPr>
        <w:t>The Oxford Handbook of Roman Law and Society</w:t>
      </w:r>
      <w:r>
        <w:rPr>
          <w:color w:val="000000" w:themeColor="text1"/>
        </w:rPr>
        <w:t xml:space="preserve"> 33, 118, 130, 152, 219, 235, 246, 257–66, 270, 312–16, 354–58, 363–65, 438 (Paul J. du Plessis, Clifford Ando &amp; </w:t>
      </w:r>
      <w:proofErr w:type="spellStart"/>
      <w:r>
        <w:rPr>
          <w:color w:val="000000" w:themeColor="text1"/>
        </w:rPr>
        <w:t>Kaius</w:t>
      </w:r>
      <w:proofErr w:type="spellEnd"/>
      <w:r>
        <w:rPr>
          <w:color w:val="000000" w:themeColor="text1"/>
        </w:rPr>
        <w:t xml:space="preserve"> </w:t>
      </w:r>
      <w:proofErr w:type="spellStart"/>
      <w:r>
        <w:rPr>
          <w:color w:val="000000" w:themeColor="text1"/>
        </w:rPr>
        <w:t>Tuori</w:t>
      </w:r>
      <w:proofErr w:type="spellEnd"/>
      <w:r>
        <w:rPr>
          <w:color w:val="000000" w:themeColor="text1"/>
        </w:rPr>
        <w:t xml:space="preserve"> eds., 2016); </w:t>
      </w:r>
      <w:r>
        <w:rPr>
          <w:smallCaps/>
          <w:color w:val="000000" w:themeColor="text1"/>
        </w:rPr>
        <w:t xml:space="preserve">Andrew M. </w:t>
      </w:r>
      <w:proofErr w:type="spellStart"/>
      <w:r>
        <w:rPr>
          <w:smallCaps/>
          <w:color w:val="000000" w:themeColor="text1"/>
        </w:rPr>
        <w:t>Riggsby</w:t>
      </w:r>
      <w:proofErr w:type="spellEnd"/>
      <w:r>
        <w:rPr>
          <w:smallCaps/>
          <w:color w:val="000000" w:themeColor="text1"/>
        </w:rPr>
        <w:t>, Crime and Community in Ciceronian Rome 15, 159–60, 215 n.105</w:t>
      </w:r>
      <w:r>
        <w:rPr>
          <w:color w:val="000000" w:themeColor="text1"/>
        </w:rPr>
        <w:t xml:space="preserve"> (1999); </w:t>
      </w:r>
      <w:r>
        <w:rPr>
          <w:smallCaps/>
          <w:color w:val="000000" w:themeColor="text1"/>
        </w:rPr>
        <w:t>Fernanda Pirie, The Rule of Laws</w:t>
      </w:r>
      <w:r>
        <w:rPr>
          <w:color w:val="000000" w:themeColor="text1"/>
        </w:rPr>
        <w:t xml:space="preserve"> 119–21, 126–27, 437 (2021); Ivan </w:t>
      </w:r>
      <w:proofErr w:type="spellStart"/>
      <w:r>
        <w:rPr>
          <w:color w:val="000000" w:themeColor="text1"/>
        </w:rPr>
        <w:t>Milotić</w:t>
      </w:r>
      <w:proofErr w:type="spellEnd"/>
      <w:r>
        <w:rPr>
          <w:color w:val="000000" w:themeColor="text1"/>
        </w:rPr>
        <w:t xml:space="preserve">, </w:t>
      </w:r>
      <w:r>
        <w:rPr>
          <w:i/>
          <w:iCs/>
          <w:color w:val="000000" w:themeColor="text1"/>
        </w:rPr>
        <w:t>Competence of Roman Arbiter in Rendering the Decision</w:t>
      </w:r>
      <w:r>
        <w:rPr>
          <w:color w:val="000000" w:themeColor="text1"/>
        </w:rPr>
        <w:t xml:space="preserve">, 18 </w:t>
      </w:r>
      <w:r>
        <w:rPr>
          <w:smallCaps/>
          <w:color w:val="000000" w:themeColor="text1"/>
        </w:rPr>
        <w:t xml:space="preserve">Croat. </w:t>
      </w:r>
      <w:proofErr w:type="spellStart"/>
      <w:r>
        <w:rPr>
          <w:smallCaps/>
          <w:color w:val="000000" w:themeColor="text1"/>
        </w:rPr>
        <w:t>Arbit</w:t>
      </w:r>
      <w:proofErr w:type="spellEnd"/>
      <w:r>
        <w:rPr>
          <w:smallCaps/>
          <w:color w:val="000000" w:themeColor="text1"/>
        </w:rPr>
        <w:t xml:space="preserve">. </w:t>
      </w:r>
      <w:proofErr w:type="spellStart"/>
      <w:r>
        <w:rPr>
          <w:smallCaps/>
          <w:color w:val="000000" w:themeColor="text1"/>
        </w:rPr>
        <w:t>Yearb</w:t>
      </w:r>
      <w:proofErr w:type="spellEnd"/>
      <w:r>
        <w:rPr>
          <w:color w:val="000000" w:themeColor="text1"/>
        </w:rPr>
        <w:t xml:space="preserve">. 99, 106, 109–10, 114 (2011); </w:t>
      </w:r>
      <w:r>
        <w:rPr>
          <w:i/>
          <w:iCs/>
          <w:color w:val="000000" w:themeColor="text1"/>
        </w:rPr>
        <w:t>see also</w:t>
      </w:r>
      <w:r>
        <w:rPr>
          <w:color w:val="000000" w:themeColor="text1"/>
        </w:rPr>
        <w:t xml:space="preserve"> </w:t>
      </w:r>
      <w:r>
        <w:rPr>
          <w:smallCaps/>
          <w:color w:val="000000" w:themeColor="text1"/>
        </w:rPr>
        <w:t>Harries</w:t>
      </w:r>
      <w:r>
        <w:rPr>
          <w:color w:val="000000" w:themeColor="text1"/>
        </w:rPr>
        <w:t xml:space="preserve">, </w:t>
      </w:r>
      <w:r>
        <w:rPr>
          <w:i/>
          <w:iCs/>
          <w:color w:val="000000" w:themeColor="text1"/>
        </w:rPr>
        <w:t>supra</w:t>
      </w:r>
      <w:r>
        <w:rPr>
          <w:color w:val="000000" w:themeColor="text1"/>
        </w:rPr>
        <w:t xml:space="preserve"> note 321, at 38, 54, 100–01, 192, 205; </w:t>
      </w:r>
      <w:proofErr w:type="spellStart"/>
      <w:r>
        <w:rPr>
          <w:smallCaps/>
          <w:color w:val="000000" w:themeColor="text1"/>
        </w:rPr>
        <w:t>Humfress</w:t>
      </w:r>
      <w:proofErr w:type="spellEnd"/>
      <w:r>
        <w:rPr>
          <w:color w:val="000000" w:themeColor="text1"/>
        </w:rPr>
        <w:t xml:space="preserve">, </w:t>
      </w:r>
      <w:r>
        <w:rPr>
          <w:i/>
          <w:iCs/>
          <w:color w:val="000000" w:themeColor="text1"/>
        </w:rPr>
        <w:t>supra</w:t>
      </w:r>
      <w:r>
        <w:rPr>
          <w:color w:val="000000" w:themeColor="text1"/>
        </w:rPr>
        <w:t xml:space="preserve"> note 323, at 99; Burton, </w:t>
      </w:r>
      <w:r>
        <w:rPr>
          <w:i/>
          <w:iCs/>
          <w:color w:val="000000" w:themeColor="text1"/>
        </w:rPr>
        <w:t>supra</w:t>
      </w:r>
      <w:r>
        <w:rPr>
          <w:color w:val="000000" w:themeColor="text1"/>
        </w:rPr>
        <w:t xml:space="preserve"> note 320, at 102; </w:t>
      </w:r>
      <w:proofErr w:type="spellStart"/>
      <w:r>
        <w:rPr>
          <w:color w:val="000000" w:themeColor="text1"/>
        </w:rPr>
        <w:t>Olivelle</w:t>
      </w:r>
      <w:proofErr w:type="spellEnd"/>
      <w:r>
        <w:rPr>
          <w:color w:val="000000" w:themeColor="text1"/>
        </w:rPr>
        <w:t xml:space="preserve">, </w:t>
      </w:r>
      <w:r>
        <w:rPr>
          <w:i/>
          <w:iCs/>
          <w:color w:val="000000" w:themeColor="text1"/>
        </w:rPr>
        <w:t>supra</w:t>
      </w:r>
      <w:r>
        <w:rPr>
          <w:color w:val="000000" w:themeColor="text1"/>
        </w:rPr>
        <w:t xml:space="preserve"> note 321, at 350.</w:t>
      </w:r>
    </w:p>
  </w:footnote>
  <w:footnote w:id="293">
    <w:p w14:paraId="14CDCB3B" w14:textId="77777777" w:rsidR="00EE39F6" w:rsidRPr="005B3E31" w:rsidRDefault="00EE39F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2–3, 54, 132.</w:t>
      </w:r>
    </w:p>
  </w:footnote>
  <w:footnote w:id="294">
    <w:p w14:paraId="35FA408B" w14:textId="77777777" w:rsidR="0075707A" w:rsidRPr="005B3E31" w:rsidRDefault="0075707A"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Albert H.Y. Chen, Mediation, Litigation, and Justice: Confucian Reflections in a Modern Liberal Society, in Confucianism for the Modern World 257,</w:t>
      </w:r>
      <w:r>
        <w:rPr>
          <w:color w:val="000000" w:themeColor="text1"/>
          <w:sz w:val="20"/>
          <w:szCs w:val="20"/>
        </w:rPr>
        <w:t xml:space="preserve"> 261–62 (Daniel A. Bell &amp; </w:t>
      </w:r>
      <w:proofErr w:type="spellStart"/>
      <w:r>
        <w:rPr>
          <w:color w:val="000000" w:themeColor="text1"/>
          <w:sz w:val="20"/>
          <w:szCs w:val="20"/>
        </w:rPr>
        <w:t>Hahm</w:t>
      </w:r>
      <w:proofErr w:type="spellEnd"/>
      <w:r>
        <w:rPr>
          <w:color w:val="000000" w:themeColor="text1"/>
          <w:sz w:val="20"/>
          <w:szCs w:val="20"/>
        </w:rPr>
        <w:t xml:space="preserve"> </w:t>
      </w:r>
      <w:proofErr w:type="spellStart"/>
      <w:r>
        <w:rPr>
          <w:color w:val="000000" w:themeColor="text1"/>
          <w:sz w:val="20"/>
          <w:szCs w:val="20"/>
        </w:rPr>
        <w:t>Chaibong</w:t>
      </w:r>
      <w:proofErr w:type="spellEnd"/>
      <w:r>
        <w:rPr>
          <w:color w:val="000000" w:themeColor="text1"/>
          <w:sz w:val="20"/>
          <w:szCs w:val="20"/>
        </w:rPr>
        <w:t xml:space="preserve"> eds., 2003); </w:t>
      </w:r>
      <w:r>
        <w:rPr>
          <w:i/>
          <w:iCs/>
          <w:color w:val="000000" w:themeColor="text1"/>
          <w:sz w:val="20"/>
          <w:szCs w:val="20"/>
        </w:rPr>
        <w:t>see also</w:t>
      </w:r>
      <w:r>
        <w:rPr>
          <w:color w:val="000000" w:themeColor="text1"/>
          <w:sz w:val="20"/>
          <w:szCs w:val="20"/>
        </w:rPr>
        <w:t xml:space="preserve"> Jerome Alan Cohen, </w:t>
      </w:r>
      <w:r>
        <w:rPr>
          <w:i/>
          <w:iCs/>
          <w:color w:val="000000" w:themeColor="text1"/>
          <w:sz w:val="20"/>
          <w:szCs w:val="20"/>
        </w:rPr>
        <w:t>Chinese Mediation on the Eve of Modernization</w:t>
      </w:r>
      <w:r>
        <w:rPr>
          <w:color w:val="000000" w:themeColor="text1"/>
          <w:sz w:val="20"/>
          <w:szCs w:val="20"/>
        </w:rPr>
        <w:t xml:space="preserve">, 54 </w:t>
      </w:r>
      <w:r>
        <w:rPr>
          <w:smallCaps/>
          <w:color w:val="000000" w:themeColor="text1"/>
          <w:sz w:val="20"/>
          <w:szCs w:val="20"/>
        </w:rPr>
        <w:t>Cal. L. Rev.</w:t>
      </w:r>
      <w:r>
        <w:rPr>
          <w:color w:val="000000" w:themeColor="text1"/>
          <w:sz w:val="20"/>
          <w:szCs w:val="20"/>
        </w:rPr>
        <w:t xml:space="preserve"> 1201, 1206–08 (1966).</w:t>
      </w:r>
    </w:p>
  </w:footnote>
  <w:footnote w:id="295">
    <w:p w14:paraId="5C8AF17B" w14:textId="77777777" w:rsidR="00243D99" w:rsidRPr="005B3E31" w:rsidRDefault="00243D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 Law Without Lawyers, Justice Without Courts: On Traditional Chinese Mediation</w:t>
      </w:r>
      <w:r>
        <w:rPr>
          <w:color w:val="000000" w:themeColor="text1"/>
        </w:rPr>
        <w:t xml:space="preserve"> 9–12, 53, 73, 77 (2002); </w:t>
      </w:r>
      <w:r>
        <w:rPr>
          <w:i/>
          <w:iCs/>
          <w:color w:val="000000" w:themeColor="text1"/>
        </w:rPr>
        <w:t>see also</w:t>
      </w:r>
      <w:r>
        <w:rPr>
          <w:color w:val="000000" w:themeColor="text1"/>
        </w:rPr>
        <w:t xml:space="preserve"> </w:t>
      </w:r>
      <w:r>
        <w:rPr>
          <w:smallCaps/>
          <w:color w:val="000000" w:themeColor="text1"/>
        </w:rPr>
        <w:t xml:space="preserve">Fei </w:t>
      </w:r>
      <w:proofErr w:type="spellStart"/>
      <w:r>
        <w:rPr>
          <w:smallCaps/>
          <w:color w:val="000000" w:themeColor="text1"/>
        </w:rPr>
        <w:t>Xiaotong</w:t>
      </w:r>
      <w:proofErr w:type="spellEnd"/>
      <w:r>
        <w:rPr>
          <w:smallCaps/>
          <w:color w:val="000000" w:themeColor="text1"/>
        </w:rPr>
        <w:t>, From the Soil: The Foundations of Chinese Society</w:t>
      </w:r>
      <w:r>
        <w:rPr>
          <w:color w:val="000000" w:themeColor="text1"/>
        </w:rPr>
        <w:t xml:space="preserve"> 103–07 (Gary G. Hamilton &amp; Wang Zheng trans., Univ. of Cal. Press 1992) (1947); </w:t>
      </w:r>
      <w:r>
        <w:rPr>
          <w:i/>
          <w:iCs/>
          <w:color w:val="000000" w:themeColor="text1"/>
        </w:rPr>
        <w:t>cf.</w:t>
      </w:r>
      <w:r>
        <w:rPr>
          <w:color w:val="000000" w:themeColor="text1"/>
        </w:rPr>
        <w:t xml:space="preserve"> </w:t>
      </w:r>
      <w:proofErr w:type="spellStart"/>
      <w:r>
        <w:rPr>
          <w:smallCaps/>
          <w:color w:val="000000" w:themeColor="text1"/>
        </w:rPr>
        <w:t>Chenyang</w:t>
      </w:r>
      <w:proofErr w:type="spellEnd"/>
      <w:r>
        <w:rPr>
          <w:smallCaps/>
          <w:color w:val="000000" w:themeColor="text1"/>
        </w:rPr>
        <w:t xml:space="preserve"> Li, The Confucian Philosophy of Harmony</w:t>
      </w:r>
      <w:r>
        <w:rPr>
          <w:color w:val="000000" w:themeColor="text1"/>
        </w:rPr>
        <w:t xml:space="preserve"> 119 (2014) (“For Confucians, penal law signifies conflicts, which should be minimized in a harmonious society.”); </w:t>
      </w:r>
      <w:r>
        <w:rPr>
          <w:i/>
          <w:iCs/>
          <w:color w:val="000000" w:themeColor="text1"/>
        </w:rPr>
        <w:t>but see</w:t>
      </w:r>
      <w:r>
        <w:rPr>
          <w:color w:val="000000" w:themeColor="text1"/>
        </w:rPr>
        <w:t xml:space="preserve"> </w:t>
      </w:r>
      <w:r>
        <w:rPr>
          <w:smallCaps/>
          <w:color w:val="000000" w:themeColor="text1"/>
        </w:rPr>
        <w:t xml:space="preserve">Melissa Macauley, Social Power and Legal Culture: Litigation Masters in Late Imperial China </w:t>
      </w:r>
      <w:r>
        <w:rPr>
          <w:color w:val="000000" w:themeColor="text1"/>
        </w:rPr>
        <w:t xml:space="preserve">14 (Stanford Univ. Press 1998) (noting that, “earlier scholarship notwithstanding, Chinese commoners were quite willing to engage in formal litigation”); </w:t>
      </w:r>
      <w:proofErr w:type="spellStart"/>
      <w:r>
        <w:rPr>
          <w:i/>
          <w:iCs/>
          <w:color w:val="000000" w:themeColor="text1"/>
        </w:rPr>
        <w:t>Teemu</w:t>
      </w:r>
      <w:proofErr w:type="spellEnd"/>
      <w:r>
        <w:rPr>
          <w:smallCaps/>
          <w:color w:val="000000" w:themeColor="text1"/>
        </w:rPr>
        <w:t xml:space="preserve"> </w:t>
      </w:r>
      <w:proofErr w:type="spellStart"/>
      <w:r>
        <w:rPr>
          <w:smallCaps/>
          <w:color w:val="000000" w:themeColor="text1"/>
        </w:rPr>
        <w:t>Ruskola</w:t>
      </w:r>
      <w:proofErr w:type="spellEnd"/>
      <w:r>
        <w:rPr>
          <w:smallCaps/>
          <w:color w:val="000000" w:themeColor="text1"/>
        </w:rPr>
        <w:t>, Legal Orientalism: China, the United States, and Modern Law</w:t>
      </w:r>
      <w:r>
        <w:rPr>
          <w:color w:val="000000" w:themeColor="text1"/>
        </w:rPr>
        <w:t xml:space="preserve"> 56, 86 (Harv. Univ. Press 2013) (arguing that viewing Chinese dispute resolution as guided merely by morality is an “Orientalist” view).</w:t>
      </w:r>
    </w:p>
  </w:footnote>
  <w:footnote w:id="296">
    <w:p w14:paraId="595EE57B" w14:textId="77777777" w:rsidR="008D05A4" w:rsidRPr="005B3E31" w:rsidRDefault="008D05A4" w:rsidP="003D74D8">
      <w:pPr>
        <w:pStyle w:val="FootnoteText"/>
        <w:spacing w:line="480" w:lineRule="auto"/>
      </w:pPr>
      <w:r>
        <w:rPr>
          <w:rStyle w:val="FootnoteReference"/>
        </w:rPr>
        <w:footnoteRef/>
      </w:r>
      <w:r>
        <w:t xml:space="preserve"> </w:t>
      </w:r>
      <w:r>
        <w:rPr>
          <w:i/>
          <w:iCs/>
        </w:rPr>
        <w:t>Philip C.C. Huang, Civil Justice in China: Representation and Practice in the Qing 190–91 (1996).</w:t>
      </w:r>
    </w:p>
  </w:footnote>
  <w:footnote w:id="297">
    <w:p w14:paraId="28968BCF" w14:textId="77777777"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_Ref214120043 \h  \* MERGEFORMAT </w:instrText>
      </w:r>
      <w:r>
        <w:rPr>
          <w:color w:val="000000" w:themeColor="text1"/>
        </w:rPr>
      </w:r>
      <w:r>
        <w:rPr>
          <w:color w:val="000000" w:themeColor="text1"/>
        </w:rPr>
        <w:fldChar w:fldCharType="separate"/>
      </w:r>
      <w:r>
        <w:rPr>
          <w:color w:val="000000" w:themeColor="text1"/>
        </w:rPr>
        <w:t>334</w:t>
      </w:r>
      <w:r>
        <w:rPr>
          <w:color w:val="000000" w:themeColor="text1"/>
        </w:rPr>
        <w:fldChar w:fldCharType="end"/>
      </w:r>
      <w:r>
        <w:rPr>
          <w:color w:val="000000" w:themeColor="text1"/>
        </w:rPr>
        <w:t xml:space="preserve">, at 29, 77; Cohen, </w:t>
      </w:r>
      <w:r>
        <w:rPr>
          <w:i/>
          <w:iCs/>
          <w:color w:val="000000" w:themeColor="text1"/>
        </w:rPr>
        <w:t>supra</w:t>
      </w:r>
      <w:r>
        <w:rPr>
          <w:color w:val="000000" w:themeColor="text1"/>
        </w:rPr>
        <w:t xml:space="preserve"> note 333, at 1217 (“Clan rules generally required all such disputes, other than those involving serious crimes, to be submitted for settlement within the clan.”); </w:t>
      </w:r>
      <w:r>
        <w:rPr>
          <w:smallCaps/>
          <w:color w:val="000000" w:themeColor="text1"/>
        </w:rPr>
        <w:t>János Jany, Legal Traditions in Asia: History, Concepts and Laws</w:t>
      </w:r>
      <w:r>
        <w:rPr>
          <w:color w:val="000000" w:themeColor="text1"/>
        </w:rPr>
        <w:t xml:space="preserve"> 362 (2020) (observing of Vietnam that “legal conflicts are solved at the courts of law as an ultima ratio when other mechanisms of conflict resolutions have been exhausted”).</w:t>
      </w:r>
    </w:p>
  </w:footnote>
  <w:footnote w:id="298">
    <w:p w14:paraId="327E3BCC" w14:textId="77777777"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3 (“Chinese Emperors”) [PRINT PINCITE NEEDED]; but cf. John Owen Haley, The Myth of the Reluctant Litigant, 4 J. Japanese Stud. 359, 389 (1978) (arguing, as to Japan, that the “myth of the special reluctance of the Japanese to litigate” is among the “misconceptions about Japan” and that the prevalence of conciliation responds to “the absence of effective law-enforcing mechanisms”).</w:t>
      </w:r>
    </w:p>
  </w:footnote>
  <w:footnote w:id="299">
    <w:p w14:paraId="2FC8D268" w14:textId="77777777"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 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12–13, 204 (1996); </w:t>
      </w:r>
      <w:r>
        <w:rPr>
          <w:i/>
          <w:iCs/>
          <w:color w:val="000000" w:themeColor="text1"/>
        </w:rPr>
        <w:t>cf.</w:t>
      </w:r>
      <w:r>
        <w:rPr>
          <w:color w:val="000000" w:themeColor="text1"/>
        </w:rPr>
        <w:t xml:space="preserve"> </w:t>
      </w:r>
      <w:proofErr w:type="spellStart"/>
      <w:r>
        <w:rPr>
          <w:color w:val="000000" w:themeColor="text1"/>
        </w:rPr>
        <w:t>Xiaoqun</w:t>
      </w:r>
      <w:proofErr w:type="spellEnd"/>
      <w:r>
        <w:rPr>
          <w:color w:val="000000" w:themeColor="text1"/>
        </w:rPr>
        <w:t xml:space="preserve"> Xu, </w:t>
      </w:r>
      <w:r>
        <w:rPr>
          <w:i/>
          <w:iCs/>
          <w:color w:val="000000" w:themeColor="text1"/>
        </w:rPr>
        <w:t>Law, Custom, and Social Norms: Civil Adjudications in Qing and Republican China</w:t>
      </w:r>
      <w:r>
        <w:rPr>
          <w:color w:val="000000" w:themeColor="text1"/>
        </w:rPr>
        <w:t xml:space="preserve">, 36 </w:t>
      </w:r>
      <w:r>
        <w:rPr>
          <w:smallCaps/>
          <w:color w:val="000000" w:themeColor="text1"/>
        </w:rPr>
        <w:t>Law &amp; Hist. Rev.</w:t>
      </w:r>
      <w:r>
        <w:rPr>
          <w:color w:val="000000" w:themeColor="text1"/>
        </w:rPr>
        <w:t xml:space="preserve"> 77, 82 (2018).</w:t>
      </w:r>
    </w:p>
  </w:footnote>
  <w:footnote w:id="300">
    <w:p w14:paraId="463CBCB1" w14:textId="77777777"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Albert H.Y. Chen, Mediation, Litigation, and Justice: Confucian Reflections in a Modern Liberal Society, in Confucianism for the Modern World 257, 262–63, 268–69 (Daniel A. Bell &amp; </w:t>
      </w:r>
      <w:proofErr w:type="spellStart"/>
      <w:r>
        <w:rPr>
          <w:i/>
          <w:iCs/>
          <w:color w:val="000000" w:themeColor="text1"/>
        </w:rPr>
        <w:t>Hahm</w:t>
      </w:r>
      <w:proofErr w:type="spellEnd"/>
      <w:r>
        <w:rPr>
          <w:i/>
          <w:iCs/>
          <w:color w:val="000000" w:themeColor="text1"/>
        </w:rPr>
        <w:t xml:space="preserve"> </w:t>
      </w:r>
      <w:proofErr w:type="spellStart"/>
      <w:r>
        <w:rPr>
          <w:i/>
          <w:iCs/>
          <w:color w:val="000000" w:themeColor="text1"/>
        </w:rPr>
        <w:t>Chaibong</w:t>
      </w:r>
      <w:proofErr w:type="spellEnd"/>
      <w:r>
        <w:rPr>
          <w:i/>
          <w:iCs/>
          <w:color w:val="000000" w:themeColor="text1"/>
        </w:rPr>
        <w:t xml:space="preserve"> eds., 2003); Philip C.C. Huang, Civil Justice in China: Representation and Practice in the Qing 77–78 (1996).</w:t>
      </w:r>
    </w:p>
  </w:footnote>
  <w:footnote w:id="301">
    <w:p w14:paraId="231FB522" w14:textId="77777777" w:rsidR="00993E87" w:rsidRPr="005B3E31" w:rsidRDefault="00993E8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Pirie,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9 (“Imperial Law and Divine Justice in Medieval China”) [PRINT PINCITE NEEDED].</w:t>
      </w:r>
    </w:p>
  </w:footnote>
  <w:footnote w:id="302">
    <w:p w14:paraId="1274A33C" w14:textId="77777777" w:rsidR="00D879FE" w:rsidRDefault="00000000">
      <w:pPr>
        <w:pStyle w:val="FootnoteText"/>
        <w:spacing w:line="480" w:lineRule="auto"/>
      </w:pPr>
      <w:r>
        <w:rPr>
          <w:rStyle w:val="FootnoteReference"/>
        </w:rPr>
        <w:footnoteRef/>
      </w:r>
      <w:r>
        <w:t xml:space="preserve"> </w:t>
      </w:r>
      <w:r>
        <w:rPr>
          <w:smallCaps/>
        </w:rPr>
        <w:t>Mishnah, Sanhedrin</w:t>
      </w:r>
      <w:r>
        <w:t xml:space="preserve"> 4:1–2, 5:4–5; </w:t>
      </w:r>
      <w:r>
        <w:rPr>
          <w:smallCaps/>
        </w:rPr>
        <w:t xml:space="preserve">Maimonides, </w:t>
      </w:r>
      <w:proofErr w:type="spellStart"/>
      <w:r>
        <w:rPr>
          <w:smallCaps/>
        </w:rPr>
        <w:t>Mishneh</w:t>
      </w:r>
      <w:proofErr w:type="spellEnd"/>
      <w:r>
        <w:rPr>
          <w:smallCaps/>
        </w:rPr>
        <w:t xml:space="preserve"> Torah, </w:t>
      </w:r>
      <w:proofErr w:type="spellStart"/>
      <w:r>
        <w:rPr>
          <w:smallCaps/>
        </w:rPr>
        <w:t>Hilkhot</w:t>
      </w:r>
      <w:proofErr w:type="spellEnd"/>
      <w:r>
        <w:rPr>
          <w:smallCaps/>
        </w:rPr>
        <w:t xml:space="preserve"> Sanhedrin</w:t>
      </w:r>
      <w:r>
        <w:t xml:space="preserve"> 9:1, 10:1, 11:6, 22:2–3; </w:t>
      </w:r>
      <w:r>
        <w:rPr>
          <w:smallCaps/>
        </w:rPr>
        <w:t>Babylonian Talmud, Sanhedrin</w:t>
      </w:r>
      <w:r>
        <w:t xml:space="preserve"> 17a. [AUTHOR: confirm the Rambam </w:t>
      </w:r>
      <w:proofErr w:type="spellStart"/>
      <w:r>
        <w:t>pincites</w:t>
      </w:r>
      <w:proofErr w:type="spellEnd"/>
      <w:r>
        <w:t xml:space="preserve"> against the </w:t>
      </w:r>
      <w:proofErr w:type="spellStart"/>
      <w:r>
        <w:t>Touger</w:t>
      </w:r>
      <w:proofErr w:type="spellEnd"/>
      <w:r>
        <w:t xml:space="preserve"> edition.]</w:t>
      </w:r>
    </w:p>
  </w:footnote>
  <w:footnote w:id="303">
    <w:p w14:paraId="1FA6EC05"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5–12, 43, 76–78, 84–85, 120, 125, 128–29, 138, 164, 202–03, 208, 210 (1996);</w:t>
      </w:r>
      <w:r>
        <w:rPr>
          <w:smallCaps/>
          <w:color w:val="000000" w:themeColor="text1"/>
        </w:rPr>
        <w:t xml:space="preserve"> Goh Bee Chen, Law Without Lawyers, Justice Without Courts: On Traditional Chinese Mediation</w:t>
      </w:r>
      <w:r>
        <w:rPr>
          <w:color w:val="000000" w:themeColor="text1"/>
        </w:rPr>
        <w:t xml:space="preserve"> 24–35, 68–70, 73–74, 76–77, 80–82, 84 (2002); </w:t>
      </w:r>
      <w:proofErr w:type="spellStart"/>
      <w:r>
        <w:rPr>
          <w:color w:val="000000" w:themeColor="text1"/>
        </w:rPr>
        <w:t>Hahm</w:t>
      </w:r>
      <w:proofErr w:type="spellEnd"/>
      <w:r>
        <w:rPr>
          <w:color w:val="000000" w:themeColor="text1"/>
        </w:rPr>
        <w:t xml:space="preserve"> </w:t>
      </w:r>
      <w:proofErr w:type="spellStart"/>
      <w:r>
        <w:rPr>
          <w:color w:val="000000" w:themeColor="text1"/>
        </w:rPr>
        <w:t>Chaibong</w:t>
      </w:r>
      <w:proofErr w:type="spellEnd"/>
      <w:r>
        <w:rPr>
          <w:color w:val="000000" w:themeColor="text1"/>
        </w:rPr>
        <w:t xml:space="preserve">, </w:t>
      </w:r>
      <w:r>
        <w:rPr>
          <w:i/>
          <w:iCs/>
          <w:color w:val="000000" w:themeColor="text1"/>
        </w:rPr>
        <w:t>Family Versus the Individual: The Politics of Marriage Laws in Korea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Confucianism for the Modern World</w:t>
      </w:r>
      <w:r>
        <w:rPr>
          <w:color w:val="000000" w:themeColor="text1"/>
        </w:rPr>
        <w:t xml:space="preserve"> 334, 342–46, 349–50 (Daniel A. Bell &amp; </w:t>
      </w:r>
      <w:proofErr w:type="spellStart"/>
      <w:r>
        <w:rPr>
          <w:color w:val="000000" w:themeColor="text1"/>
        </w:rPr>
        <w:t>Hahm</w:t>
      </w:r>
      <w:proofErr w:type="spellEnd"/>
      <w:r>
        <w:rPr>
          <w:color w:val="000000" w:themeColor="text1"/>
        </w:rPr>
        <w:t xml:space="preserve"> </w:t>
      </w:r>
      <w:proofErr w:type="spellStart"/>
      <w:r>
        <w:rPr>
          <w:color w:val="000000" w:themeColor="text1"/>
        </w:rPr>
        <w:t>Chaibong</w:t>
      </w:r>
      <w:proofErr w:type="spellEnd"/>
      <w:r>
        <w:rPr>
          <w:color w:val="000000" w:themeColor="text1"/>
        </w:rPr>
        <w:t xml:space="preserve"> eds., 2003); </w:t>
      </w:r>
      <w:r>
        <w:rPr>
          <w:smallCaps/>
          <w:color w:val="000000" w:themeColor="text1"/>
        </w:rPr>
        <w:t>János Jany, Legal Traditions in Asia: History, Concepts and Laws</w:t>
      </w:r>
      <w:r>
        <w:rPr>
          <w:color w:val="000000" w:themeColor="text1"/>
        </w:rPr>
        <w:t xml:space="preserve"> 312, 327–30, 335, 337, 345–47, 450–51 (2020); </w:t>
      </w:r>
      <w:r>
        <w:rPr>
          <w:smallCaps/>
          <w:color w:val="000000" w:themeColor="text1"/>
        </w:rPr>
        <w:t>Fernanda Pirie, The Rule of Laws: A 4,000-Year Quest to Order the World</w:t>
      </w:r>
      <w:r>
        <w:rPr>
          <w:color w:val="000000" w:themeColor="text1"/>
        </w:rPr>
        <w:t xml:space="preserve"> 153–56, 172 (2021); </w:t>
      </w:r>
      <w:proofErr w:type="spellStart"/>
      <w:r>
        <w:rPr>
          <w:smallCaps/>
          <w:color w:val="000000" w:themeColor="text1"/>
        </w:rPr>
        <w:t>Chenyang</w:t>
      </w:r>
      <w:proofErr w:type="spellEnd"/>
      <w:r>
        <w:rPr>
          <w:smallCaps/>
          <w:color w:val="000000" w:themeColor="text1"/>
        </w:rPr>
        <w:t xml:space="preserve"> Li, The Confucian Philosophy of Harmony</w:t>
      </w:r>
      <w:r>
        <w:rPr>
          <w:color w:val="000000" w:themeColor="text1"/>
        </w:rPr>
        <w:t xml:space="preserve"> 61–62, 102–03 (2014); </w:t>
      </w:r>
      <w:r>
        <w:rPr>
          <w:smallCaps/>
          <w:color w:val="000000" w:themeColor="text1"/>
        </w:rPr>
        <w:t>Li Chen, Chinese Law in Imperial Eyes: Sovereignty, Justice, and Transcultural Politics</w:t>
      </w:r>
      <w:r>
        <w:rPr>
          <w:color w:val="000000" w:themeColor="text1"/>
        </w:rPr>
        <w:t xml:space="preserve"> 168–69 (2016).</w:t>
      </w:r>
    </w:p>
  </w:footnote>
  <w:footnote w:id="304">
    <w:p w14:paraId="61B950A2" w14:textId="77777777" w:rsidR="0080309B" w:rsidRPr="005B3E31" w:rsidRDefault="008030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(2d ed. 2013); Carlo Osi, </w:t>
      </w:r>
      <w:r>
        <w:rPr>
          <w:i/>
          <w:iCs/>
          <w:color w:val="000000" w:themeColor="text1"/>
        </w:rPr>
        <w:t>Understanding Indigenous Dispute Resolution Processes and Western Alternative Dispute Resolution: Cultivating Culturally Appropriate Methods in Lieu of Litigation</w:t>
      </w:r>
      <w:r>
        <w:rPr>
          <w:color w:val="000000" w:themeColor="text1"/>
        </w:rPr>
        <w:t xml:space="preserve">, 10 </w:t>
      </w:r>
      <w:r>
        <w:rPr>
          <w:smallCaps/>
          <w:color w:val="000000" w:themeColor="text1"/>
        </w:rPr>
        <w:t xml:space="preserve">Cardozo J. Conflict </w:t>
      </w:r>
      <w:proofErr w:type="spellStart"/>
      <w:r>
        <w:rPr>
          <w:smallCaps/>
          <w:color w:val="000000" w:themeColor="text1"/>
        </w:rPr>
        <w:t>Resol</w:t>
      </w:r>
      <w:proofErr w:type="spellEnd"/>
      <w:r>
        <w:rPr>
          <w:color w:val="000000" w:themeColor="text1"/>
        </w:rPr>
        <w:t xml:space="preserve">. 163, 165 (2008); </w:t>
      </w:r>
      <w:r>
        <w:rPr>
          <w:smallCaps/>
          <w:color w:val="000000" w:themeColor="text1"/>
        </w:rPr>
        <w:t>Fernanda Pirie, The Anthropology of Law</w:t>
      </w:r>
      <w:r>
        <w:rPr>
          <w:color w:val="000000" w:themeColor="text1"/>
        </w:rPr>
        <w:t xml:space="preserve"> 36–37 (2013); </w:t>
      </w:r>
      <w:r>
        <w:rPr>
          <w:smallCaps/>
          <w:color w:val="000000" w:themeColor="text1"/>
        </w:rPr>
        <w:t xml:space="preserve">Hadley Louise Friedland, The </w:t>
      </w:r>
      <w:proofErr w:type="spellStart"/>
      <w:r>
        <w:rPr>
          <w:smallCaps/>
          <w:color w:val="000000" w:themeColor="text1"/>
        </w:rPr>
        <w:t>Wetiko</w:t>
      </w:r>
      <w:proofErr w:type="spellEnd"/>
      <w:r>
        <w:rPr>
          <w:smallCaps/>
          <w:color w:val="000000" w:themeColor="text1"/>
        </w:rPr>
        <w:t xml:space="preserve"> Legal Principles: Cree and Anishinabek Responses to Violence and Victimization</w:t>
      </w:r>
      <w:r>
        <w:rPr>
          <w:color w:val="000000" w:themeColor="text1"/>
        </w:rPr>
        <w:t xml:space="preserve"> 16 (2018).</w:t>
      </w:r>
    </w:p>
  </w:footnote>
  <w:footnote w:id="305">
    <w:p w14:paraId="1D57485F" w14:textId="77777777"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139–40 (2d ed. 2013); </w:t>
      </w:r>
      <w:r>
        <w:rPr>
          <w:i/>
          <w:iCs/>
          <w:color w:val="000000" w:themeColor="text1"/>
        </w:rPr>
        <w:t>see also</w:t>
      </w:r>
      <w:r>
        <w:rPr>
          <w:color w:val="000000" w:themeColor="text1"/>
        </w:rPr>
        <w:t xml:space="preserve"> Manu Meyer, </w:t>
      </w:r>
      <w:r>
        <w:rPr>
          <w:i/>
          <w:iCs/>
          <w:color w:val="000000" w:themeColor="text1"/>
        </w:rPr>
        <w:t>To Set Right—</w:t>
      </w:r>
      <w:proofErr w:type="spellStart"/>
      <w:r>
        <w:rPr>
          <w:i/>
          <w:iCs/>
          <w:color w:val="000000" w:themeColor="text1"/>
        </w:rPr>
        <w:t>Ho’oponopono</w:t>
      </w:r>
      <w:proofErr w:type="spellEnd"/>
      <w:r>
        <w:rPr>
          <w:i/>
          <w:iCs/>
          <w:color w:val="000000" w:themeColor="text1"/>
        </w:rPr>
        <w:t>: A Native Hawaiian Way of Peacemaking</w:t>
      </w:r>
      <w:r>
        <w:rPr>
          <w:color w:val="000000" w:themeColor="text1"/>
        </w:rPr>
        <w:t xml:space="preserve">, 12 </w:t>
      </w:r>
      <w:proofErr w:type="spellStart"/>
      <w:r>
        <w:rPr>
          <w:smallCaps/>
          <w:color w:val="000000" w:themeColor="text1"/>
        </w:rPr>
        <w:t>Compleat</w:t>
      </w:r>
      <w:proofErr w:type="spellEnd"/>
      <w:r>
        <w:rPr>
          <w:smallCaps/>
          <w:color w:val="000000" w:themeColor="text1"/>
        </w:rPr>
        <w:t xml:space="preserve"> L</w:t>
      </w:r>
      <w:r>
        <w:rPr>
          <w:color w:val="000000" w:themeColor="text1"/>
        </w:rPr>
        <w:t>. 30, 30 (1995).</w:t>
      </w:r>
    </w:p>
  </w:footnote>
  <w:footnote w:id="306">
    <w:p w14:paraId="38801F1B" w14:textId="77777777"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 Zion, </w:t>
      </w:r>
      <w:r>
        <w:rPr>
          <w:i/>
          <w:iCs/>
          <w:color w:val="000000" w:themeColor="text1"/>
        </w:rPr>
        <w:t>The Dynamics of Navajo Peacemaking</w:t>
      </w:r>
      <w:r>
        <w:rPr>
          <w:color w:val="000000" w:themeColor="text1"/>
        </w:rPr>
        <w:t xml:space="preserve">, 14 </w:t>
      </w:r>
      <w:r>
        <w:rPr>
          <w:smallCaps/>
          <w:color w:val="000000" w:themeColor="text1"/>
        </w:rPr>
        <w:t>J. Contemp. Crim. Just</w:t>
      </w:r>
      <w:r>
        <w:rPr>
          <w:color w:val="000000" w:themeColor="text1"/>
        </w:rPr>
        <w:t xml:space="preserve">. 58, 65–69 (1998); </w:t>
      </w:r>
      <w:r>
        <w:rPr>
          <w:i/>
          <w:iCs/>
          <w:color w:val="000000" w:themeColor="text1"/>
        </w:rPr>
        <w:t>see also</w:t>
      </w:r>
      <w:r>
        <w:rPr>
          <w:color w:val="000000" w:themeColor="text1"/>
        </w:rPr>
        <w:t xml:space="preserve"> </w:t>
      </w:r>
      <w:r>
        <w:rPr>
          <w:smallCaps/>
          <w:color w:val="000000" w:themeColor="text1"/>
        </w:rPr>
        <w:t>John Borrows, Canada’s Indigenous Constitution</w:t>
      </w:r>
      <w:r>
        <w:rPr>
          <w:color w:val="000000" w:themeColor="text1"/>
        </w:rPr>
        <w:t xml:space="preserve"> 210 (2010) (“The Navajo Bar Association summarized some these principles as follows….”).</w:t>
      </w:r>
    </w:p>
  </w:footnote>
  <w:footnote w:id="307">
    <w:p w14:paraId="26362A4C" w14:textId="77777777" w:rsidR="00310E4A"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E. Victoria Shook, </w:t>
      </w:r>
      <w:proofErr w:type="spellStart"/>
      <w:r>
        <w:rPr>
          <w:smallCaps/>
          <w:color w:val="000000" w:themeColor="text1"/>
        </w:rPr>
        <w:t>Hoʻoponopono</w:t>
      </w:r>
      <w:proofErr w:type="spellEnd"/>
      <w:r>
        <w:rPr>
          <w:smallCaps/>
          <w:color w:val="000000" w:themeColor="text1"/>
        </w:rPr>
        <w:t>: Contemporary Uses of a Hawaiian Problem-Solving Process</w:t>
      </w:r>
      <w:r>
        <w:rPr>
          <w:color w:val="000000" w:themeColor="text1"/>
        </w:rPr>
        <w:t xml:space="preserve"> 11–12 (1985); </w:t>
      </w:r>
      <w:r>
        <w:rPr>
          <w:smallCaps/>
          <w:color w:val="000000" w:themeColor="text1"/>
        </w:rPr>
        <w:t>Alan Barnard, Bushmen: Kalahari Hunter-Gatherers and Their Descendants</w:t>
      </w:r>
      <w:r>
        <w:rPr>
          <w:color w:val="000000" w:themeColor="text1"/>
        </w:rPr>
        <w:t xml:space="preserve"> 124 (2019); </w:t>
      </w:r>
      <w:r>
        <w:rPr>
          <w:i/>
          <w:iCs/>
          <w:color w:val="000000" w:themeColor="text1"/>
        </w:rPr>
        <w:t>see also</w:t>
      </w:r>
      <w:r>
        <w:rPr>
          <w:color w:val="000000" w:themeColor="text1"/>
        </w:rPr>
        <w:t xml:space="preserve"> Meyer,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_Ref217240203 \h  \* MERGEFORMAT </w:instrText>
      </w:r>
      <w:r>
        <w:rPr>
          <w:color w:val="000000" w:themeColor="text1"/>
        </w:rPr>
      </w:r>
      <w:r>
        <w:rPr>
          <w:color w:val="000000" w:themeColor="text1"/>
        </w:rPr>
        <w:fldChar w:fldCharType="separate"/>
      </w:r>
      <w:r>
        <w:rPr>
          <w:color w:val="000000" w:themeColor="text1"/>
        </w:rPr>
        <w:t>343</w:t>
      </w:r>
      <w:r>
        <w:rPr>
          <w:color w:val="000000" w:themeColor="text1"/>
        </w:rPr>
        <w:fldChar w:fldCharType="end"/>
      </w:r>
      <w:r>
        <w:rPr>
          <w:color w:val="000000" w:themeColor="text1"/>
        </w:rPr>
        <w:t>, at 35.</w:t>
      </w:r>
    </w:p>
  </w:footnote>
  <w:footnote w:id="308">
    <w:p w14:paraId="07017723" w14:textId="77777777" w:rsidR="00B86102"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Ashad</w:t>
      </w:r>
      <w:proofErr w:type="spellEnd"/>
      <w:r>
        <w:rPr>
          <w:color w:val="000000" w:themeColor="text1"/>
        </w:rPr>
        <w:t xml:space="preserve"> </w:t>
      </w:r>
      <w:proofErr w:type="spellStart"/>
      <w:r>
        <w:rPr>
          <w:color w:val="000000" w:themeColor="text1"/>
        </w:rPr>
        <w:t>Sentongo</w:t>
      </w:r>
      <w:proofErr w:type="spellEnd"/>
      <w:r>
        <w:rPr>
          <w:color w:val="000000" w:themeColor="text1"/>
        </w:rPr>
        <w:t xml:space="preserve"> &amp; Andrea Bartoli, </w:t>
      </w:r>
      <w:r>
        <w:rPr>
          <w:i/>
          <w:iCs/>
          <w:color w:val="000000" w:themeColor="text1"/>
        </w:rPr>
        <w:t xml:space="preserve">Conflict Resolution Under the </w:t>
      </w:r>
      <w:proofErr w:type="spellStart"/>
      <w:r>
        <w:rPr>
          <w:i/>
          <w:iCs/>
          <w:color w:val="000000" w:themeColor="text1"/>
        </w:rPr>
        <w:t>Ekika</w:t>
      </w:r>
      <w:proofErr w:type="spellEnd"/>
      <w:r>
        <w:rPr>
          <w:i/>
          <w:iCs/>
          <w:color w:val="000000" w:themeColor="text1"/>
        </w:rPr>
        <w:t xml:space="preserve"> System of the Baganda in Uganda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 Experiences from Selected Cases in Eastern and the Horn of Africa</w:t>
      </w:r>
      <w:r>
        <w:rPr>
          <w:color w:val="000000" w:themeColor="text1"/>
        </w:rPr>
        <w:t xml:space="preserve"> 18 (Martha </w:t>
      </w:r>
      <w:proofErr w:type="spellStart"/>
      <w:r>
        <w:rPr>
          <w:color w:val="000000" w:themeColor="text1"/>
        </w:rPr>
        <w:t>Mutisi</w:t>
      </w:r>
      <w:proofErr w:type="spellEnd"/>
      <w:r>
        <w:rPr>
          <w:color w:val="000000" w:themeColor="text1"/>
        </w:rPr>
        <w:t xml:space="preserve"> ed., 2012) (describing </w:t>
      </w:r>
      <w:proofErr w:type="spellStart"/>
      <w:r>
        <w:rPr>
          <w:color w:val="000000" w:themeColor="text1"/>
        </w:rPr>
        <w:t>Kwanjula</w:t>
      </w:r>
      <w:proofErr w:type="spellEnd"/>
      <w:r>
        <w:rPr>
          <w:color w:val="000000" w:themeColor="text1"/>
        </w:rPr>
        <w:t xml:space="preserve"> as social cohesion mechanism and safety-valve); Martha </w:t>
      </w:r>
      <w:proofErr w:type="spellStart"/>
      <w:r>
        <w:rPr>
          <w:color w:val="000000" w:themeColor="text1"/>
        </w:rPr>
        <w:t>Mutisi</w:t>
      </w:r>
      <w:proofErr w:type="spellEnd"/>
      <w:r>
        <w:rPr>
          <w:color w:val="000000" w:themeColor="text1"/>
        </w:rPr>
        <w:t>, </w:t>
      </w:r>
      <w:r>
        <w:rPr>
          <w:i/>
          <w:iCs/>
          <w:color w:val="000000" w:themeColor="text1"/>
        </w:rPr>
        <w:t xml:space="preserve">Local Conflict Resolution in Rwanda: The Case of </w:t>
      </w:r>
      <w:proofErr w:type="spellStart"/>
      <w:r>
        <w:rPr>
          <w:i/>
          <w:iCs/>
          <w:color w:val="000000" w:themeColor="text1"/>
        </w:rPr>
        <w:t>Abunzi</w:t>
      </w:r>
      <w:proofErr w:type="spellEnd"/>
      <w:r>
        <w:rPr>
          <w:i/>
          <w:iCs/>
          <w:color w:val="000000" w:themeColor="text1"/>
        </w:rPr>
        <w:t xml:space="preserve"> Mediators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47 (explaining </w:t>
      </w:r>
      <w:proofErr w:type="spellStart"/>
      <w:r>
        <w:rPr>
          <w:color w:val="000000" w:themeColor="text1"/>
        </w:rPr>
        <w:t>abunzi</w:t>
      </w:r>
      <w:proofErr w:type="spellEnd"/>
      <w:r>
        <w:rPr>
          <w:color w:val="000000" w:themeColor="text1"/>
        </w:rPr>
        <w:t xml:space="preserve"> as obligatory mediation framework preceding formal Courts); Kwesi </w:t>
      </w:r>
      <w:proofErr w:type="spellStart"/>
      <w:r>
        <w:rPr>
          <w:color w:val="000000" w:themeColor="text1"/>
        </w:rPr>
        <w:t>Sansculotte-Greenidge</w:t>
      </w:r>
      <w:proofErr w:type="spellEnd"/>
      <w:r>
        <w:rPr>
          <w:color w:val="000000" w:themeColor="text1"/>
        </w:rPr>
        <w:t xml:space="preserve"> &amp; </w:t>
      </w:r>
      <w:proofErr w:type="spellStart"/>
      <w:r>
        <w:rPr>
          <w:color w:val="000000" w:themeColor="text1"/>
        </w:rPr>
        <w:t>Demessie</w:t>
      </w:r>
      <w:proofErr w:type="spellEnd"/>
      <w:r>
        <w:rPr>
          <w:color w:val="000000" w:themeColor="text1"/>
        </w:rPr>
        <w:t xml:space="preserve"> </w:t>
      </w:r>
      <w:proofErr w:type="spellStart"/>
      <w:r>
        <w:rPr>
          <w:color w:val="000000" w:themeColor="text1"/>
        </w:rPr>
        <w:t>Fantaye</w:t>
      </w:r>
      <w:proofErr w:type="spellEnd"/>
      <w:r>
        <w:rPr>
          <w:color w:val="000000" w:themeColor="text1"/>
        </w:rPr>
        <w:t>, </w:t>
      </w:r>
      <w:r>
        <w:rPr>
          <w:i/>
          <w:iCs/>
          <w:color w:val="000000" w:themeColor="text1"/>
        </w:rPr>
        <w:t>Traditional Authority and Modern Hegemony: Peacemaking in the Afar Region of Ethiopia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 xml:space="preserve">supra, at 89, 92 (describing elder mediators resolving clan conflicts, and the convening of a </w:t>
      </w:r>
      <w:proofErr w:type="spellStart"/>
      <w:r>
        <w:rPr>
          <w:i/>
          <w:iCs/>
          <w:color w:val="000000" w:themeColor="text1"/>
        </w:rPr>
        <w:t>Mekabon</w:t>
      </w:r>
      <w:proofErr w:type="spellEnd"/>
      <w:r>
        <w:rPr>
          <w:i/>
          <w:iCs/>
          <w:color w:val="000000" w:themeColor="text1"/>
        </w:rPr>
        <w:t xml:space="preserve"> panel)</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Abdullahi Osman El-Tom, </w:t>
      </w:r>
      <w:r>
        <w:rPr>
          <w:i/>
          <w:iCs/>
          <w:color w:val="000000" w:themeColor="text1"/>
        </w:rPr>
        <w:t xml:space="preserve">From War to Peace and Reconciliation in Darfur, Sudan: Prospects for the </w:t>
      </w:r>
      <w:proofErr w:type="spellStart"/>
      <w:r>
        <w:rPr>
          <w:i/>
          <w:iCs/>
          <w:color w:val="000000" w:themeColor="text1"/>
        </w:rPr>
        <w:t>Judiyya</w:t>
      </w:r>
      <w:proofErr w:type="spellEnd"/>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107–08 (explaining </w:t>
      </w:r>
      <w:proofErr w:type="spellStart"/>
      <w:r>
        <w:rPr>
          <w:color w:val="000000" w:themeColor="text1"/>
        </w:rPr>
        <w:t>diya</w:t>
      </w:r>
      <w:proofErr w:type="spellEnd"/>
      <w:r>
        <w:rPr>
          <w:color w:val="000000" w:themeColor="text1"/>
        </w:rPr>
        <w:t xml:space="preserve"> compensation system and characterizing </w:t>
      </w:r>
      <w:proofErr w:type="spellStart"/>
      <w:r>
        <w:rPr>
          <w:color w:val="000000" w:themeColor="text1"/>
        </w:rPr>
        <w:t>judiyya</w:t>
      </w:r>
      <w:proofErr w:type="spellEnd"/>
      <w:r>
        <w:rPr>
          <w:color w:val="000000" w:themeColor="text1"/>
        </w:rPr>
        <w:t xml:space="preserve"> as grassroots arbitration for reconciliation); Salomé </w:t>
      </w:r>
      <w:proofErr w:type="spellStart"/>
      <w:r>
        <w:rPr>
          <w:color w:val="000000" w:themeColor="text1"/>
        </w:rPr>
        <w:t>Bronkhorst</w:t>
      </w:r>
      <w:proofErr w:type="spellEnd"/>
      <w:r>
        <w:rPr>
          <w:color w:val="000000" w:themeColor="text1"/>
        </w:rPr>
        <w:t>, </w:t>
      </w:r>
      <w:r>
        <w:rPr>
          <w:i/>
          <w:iCs/>
          <w:color w:val="000000" w:themeColor="text1"/>
        </w:rPr>
        <w:t xml:space="preserve">Customary Mediation in Resource Scarcities and Conflicts in Sudan: Making a Case for the </w:t>
      </w:r>
      <w:proofErr w:type="spellStart"/>
      <w:r>
        <w:rPr>
          <w:i/>
          <w:iCs/>
          <w:color w:val="000000" w:themeColor="text1"/>
        </w:rPr>
        <w:t>Judiyya</w:t>
      </w:r>
      <w:proofErr w:type="spellEnd"/>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128 (describing </w:t>
      </w:r>
      <w:proofErr w:type="spellStart"/>
      <w:r>
        <w:rPr>
          <w:color w:val="000000" w:themeColor="text1"/>
        </w:rPr>
        <w:t>ajaweed</w:t>
      </w:r>
      <w:proofErr w:type="spellEnd"/>
      <w:r>
        <w:rPr>
          <w:color w:val="000000" w:themeColor="text1"/>
        </w:rPr>
        <w:t xml:space="preserve"> mediators in </w:t>
      </w:r>
      <w:proofErr w:type="spellStart"/>
      <w:r>
        <w:rPr>
          <w:color w:val="000000" w:themeColor="text1"/>
        </w:rPr>
        <w:t>judiyya</w:t>
      </w:r>
      <w:proofErr w:type="spellEnd"/>
      <w:r>
        <w:rPr>
          <w:color w:val="000000" w:themeColor="text1"/>
        </w:rPr>
        <w:t xml:space="preserve"> processes); </w:t>
      </w:r>
      <w:r>
        <w:rPr>
          <w:i/>
          <w:iCs/>
          <w:color w:val="000000" w:themeColor="text1"/>
        </w:rPr>
        <w:t>see also</w:t>
      </w:r>
      <w:r>
        <w:rPr>
          <w:color w:val="000000" w:themeColor="text1"/>
        </w:rPr>
        <w:t xml:space="preserve"> </w:t>
      </w:r>
      <w:r>
        <w:rPr>
          <w:smallCaps/>
          <w:color w:val="000000" w:themeColor="text1"/>
        </w:rPr>
        <w:t>Kristin Conner Doughty, Remediation in Rwanda: Grassroots Legal Forums</w:t>
      </w:r>
      <w:r>
        <w:rPr>
          <w:color w:val="000000" w:themeColor="text1"/>
        </w:rPr>
        <w:t xml:space="preserve"> 129–31 (2016); </w:t>
      </w:r>
      <w:r>
        <w:rPr>
          <w:smallCaps/>
          <w:color w:val="000000" w:themeColor="text1"/>
        </w:rPr>
        <w:t xml:space="preserve">Jérôme </w:t>
      </w:r>
      <w:proofErr w:type="spellStart"/>
      <w:r>
        <w:rPr>
          <w:smallCaps/>
          <w:color w:val="000000" w:themeColor="text1"/>
        </w:rPr>
        <w:t>Tubiana</w:t>
      </w:r>
      <w:proofErr w:type="spellEnd"/>
      <w:r>
        <w:rPr>
          <w:smallCaps/>
          <w:color w:val="000000" w:themeColor="text1"/>
        </w:rPr>
        <w:t>, Victor Tanner &amp; Musa Adam Abdul-Jalil, Traditional Authorities’ Peacemaking Role in Darfur</w:t>
      </w:r>
      <w:r>
        <w:rPr>
          <w:color w:val="000000" w:themeColor="text1"/>
        </w:rPr>
        <w:t xml:space="preserve"> 37–55 (U.S. Inst. of Peace 2012).</w:t>
      </w:r>
    </w:p>
  </w:footnote>
  <w:footnote w:id="309">
    <w:p w14:paraId="5E441ECE" w14:textId="77777777"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P.H. Gulliver, Disputes and Negotiations: A Cross-Cultural Perspective</w:t>
      </w:r>
      <w:r>
        <w:rPr>
          <w:color w:val="000000" w:themeColor="text1"/>
        </w:rPr>
        <w:t xml:space="preserve"> 14–15, 17–18 (1979); </w:t>
      </w:r>
      <w:r>
        <w:rPr>
          <w:smallCaps/>
          <w:color w:val="000000" w:themeColor="text1"/>
        </w:rPr>
        <w:t>Faris E. Nasrallah, Alternative Dispute Resolution, in The Oxford Handbook of Law and Anthropology 493, 494</w:t>
      </w:r>
      <w:r>
        <w:rPr>
          <w:color w:val="000000" w:themeColor="text1"/>
        </w:rPr>
        <w:t xml:space="preserve"> (Marie-Claire </w:t>
      </w:r>
      <w:proofErr w:type="spellStart"/>
      <w:r>
        <w:rPr>
          <w:color w:val="000000" w:themeColor="text1"/>
        </w:rPr>
        <w:t>Foblets</w:t>
      </w:r>
      <w:proofErr w:type="spellEnd"/>
      <w:r>
        <w:rPr>
          <w:color w:val="000000" w:themeColor="text1"/>
        </w:rPr>
        <w:t xml:space="preserve"> et al. eds., 2022); Brandon D. Lundy et al., </w:t>
      </w:r>
      <w:r>
        <w:rPr>
          <w:i/>
          <w:iCs/>
          <w:color w:val="000000" w:themeColor="text1"/>
        </w:rPr>
        <w:t>The Effectiveness of Indigenous Conflict Management Strategies in Localized Contexts</w:t>
      </w:r>
      <w:r>
        <w:rPr>
          <w:color w:val="000000" w:themeColor="text1"/>
        </w:rPr>
        <w:t xml:space="preserve">, 56 </w:t>
      </w:r>
      <w:r>
        <w:rPr>
          <w:smallCaps/>
          <w:color w:val="000000" w:themeColor="text1"/>
        </w:rPr>
        <w:t>Cross-Cultural Res</w:t>
      </w:r>
      <w:r>
        <w:rPr>
          <w:color w:val="000000" w:themeColor="text1"/>
        </w:rPr>
        <w:t xml:space="preserve">. 3, 3–4, 5–6, 24 (2022); </w:t>
      </w:r>
      <w:proofErr w:type="spellStart"/>
      <w:r>
        <w:rPr>
          <w:smallCaps/>
          <w:color w:val="000000" w:themeColor="text1"/>
        </w:rPr>
        <w:t>Tubiana</w:t>
      </w:r>
      <w:proofErr w:type="spellEnd"/>
      <w:r>
        <w:rPr>
          <w:color w:val="000000" w:themeColor="text1"/>
        </w:rPr>
        <w:t xml:space="preserv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_Ref217240618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at 62;</w:t>
      </w:r>
      <w:r>
        <w:rPr>
          <w:smallCaps/>
          <w:color w:val="000000" w:themeColor="text1"/>
        </w:rPr>
        <w:t xml:space="preserve"> Doughty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xml:space="preserve">, at 9; </w:t>
      </w:r>
      <w:r>
        <w:rPr>
          <w:i/>
          <w:iCs/>
          <w:color w:val="000000" w:themeColor="text1"/>
        </w:rPr>
        <w:t>see also</w:t>
      </w:r>
      <w:r>
        <w:rPr>
          <w:color w:val="000000" w:themeColor="text1"/>
        </w:rPr>
        <w:t xml:space="preserve"> </w:t>
      </w:r>
      <w:r>
        <w:rPr>
          <w:smallCaps/>
          <w:color w:val="000000" w:themeColor="text1"/>
        </w:rPr>
        <w:t xml:space="preserve">Carwyn Jones, New Treaty, New Tradition: Reconciling New Zealand and </w:t>
      </w:r>
      <w:proofErr w:type="spellStart"/>
      <w:r>
        <w:rPr>
          <w:smallCaps/>
          <w:color w:val="000000" w:themeColor="text1"/>
        </w:rPr>
        <w:t>Maori</w:t>
      </w:r>
      <w:proofErr w:type="spellEnd"/>
      <w:r>
        <w:rPr>
          <w:smallCaps/>
          <w:color w:val="000000" w:themeColor="text1"/>
        </w:rPr>
        <w:t xml:space="preserve"> Law</w:t>
      </w:r>
      <w:r>
        <w:rPr>
          <w:color w:val="000000" w:themeColor="text1"/>
        </w:rPr>
        <w:t xml:space="preserve"> 116 (2016).                   </w:t>
      </w:r>
    </w:p>
  </w:footnote>
  <w:footnote w:id="310">
    <w:p w14:paraId="765E9B4D" w14:textId="77777777" w:rsidR="0032068A" w:rsidRPr="005B3E31" w:rsidRDefault="00000000" w:rsidP="003D74D8">
      <w:pPr>
        <w:pStyle w:val="FootnoteText"/>
        <w:spacing w:line="480" w:lineRule="auto"/>
      </w:pPr>
      <w:r>
        <w:rPr>
          <w:rStyle w:val="FootnoteReference"/>
        </w:rPr>
        <w:footnoteRef/>
      </w:r>
      <w:r>
        <w:t xml:space="preserve"> </w:t>
      </w:r>
      <w:r>
        <w:rPr>
          <w:smallCaps/>
        </w:rPr>
        <w:t xml:space="preserve">Katherine Van </w:t>
      </w:r>
      <w:proofErr w:type="spellStart"/>
      <w:r>
        <w:rPr>
          <w:smallCaps/>
        </w:rPr>
        <w:t>Wezel</w:t>
      </w:r>
      <w:proofErr w:type="spellEnd"/>
      <w:r>
        <w:rPr>
          <w:smallCaps/>
        </w:rPr>
        <w:t xml:space="preserve"> Stone, Rustic Justice: Community and Coercion Under the Federal Arbitration Act, 77 N.C. L. Rev. 931, 969–72 (1999); see H.R. Rep. No. 96, 68th Cong., 1st Sess., at 2</w:t>
      </w:r>
      <w:r>
        <w:t xml:space="preserve"> (1924).</w:t>
      </w:r>
    </w:p>
  </w:footnote>
  <w:footnote w:id="311">
    <w:p w14:paraId="2678CA57" w14:textId="77777777" w:rsidR="009A457B" w:rsidRPr="005B3E31" w:rsidRDefault="009A457B" w:rsidP="003D74D8">
      <w:pPr>
        <w:pStyle w:val="FootnoteText"/>
        <w:spacing w:line="480" w:lineRule="auto"/>
      </w:pPr>
      <w:r>
        <w:rPr>
          <w:rStyle w:val="FootnoteReference"/>
        </w:rPr>
        <w:footnoteRef/>
      </w:r>
      <w:r>
        <w:t xml:space="preserve"> Katherine Van </w:t>
      </w:r>
      <w:proofErr w:type="spellStart"/>
      <w:r>
        <w:t>Wezel</w:t>
      </w:r>
      <w:proofErr w:type="spellEnd"/>
      <w:r>
        <w:t xml:space="preserve"> Stone, </w:t>
      </w:r>
      <w:r>
        <w:rPr>
          <w:i/>
          <w:iCs/>
        </w:rPr>
        <w:t>Rustic Justice: Community and Coercion Under the Federal Arbitration Act</w:t>
      </w:r>
      <w:r>
        <w:t xml:space="preserve">, 77 </w:t>
      </w:r>
      <w:r>
        <w:rPr>
          <w:smallCaps/>
        </w:rPr>
        <w:t>N.C. L. Rev.</w:t>
      </w:r>
      <w:r>
        <w:t xml:space="preserve"> 931, 970–73, 990–91, 994 (1999) (explaining that the FAA “was enacted in response to the commercial community’s desire to strengthen the internal arbitration systems of trade associations,” and linking the trade-association arbitration movement behind it to the “new capitalism” of the 1920s); </w:t>
      </w:r>
      <w:r>
        <w:rPr>
          <w:i/>
          <w:iCs/>
        </w:rPr>
        <w:t>see</w:t>
      </w:r>
      <w:r>
        <w:t xml:space="preserve"> Richard Delgado et al., </w:t>
      </w:r>
      <w:r>
        <w:rPr>
          <w:i/>
          <w:iCs/>
        </w:rPr>
        <w:t>Fairness and Formality: Minimizing the Risk of Prejudice in Alternative Dispute Resolution</w:t>
      </w:r>
      <w:r>
        <w:t xml:space="preserve">, 1985 </w:t>
      </w:r>
      <w:r>
        <w:rPr>
          <w:smallCaps/>
        </w:rPr>
        <w:t>Wis. L. Rev.</w:t>
      </w:r>
      <w:r>
        <w:t xml:space="preserve"> 1359, 1392 (describing Richard Abel’s argument “that the rise of </w:t>
      </w:r>
      <w:proofErr w:type="spellStart"/>
      <w:r>
        <w:t>informalism</w:t>
      </w:r>
      <w:proofErr w:type="spellEnd"/>
      <w:r>
        <w:t xml:space="preserve"> indicates a shift of power to the more powerful elements in society—capital and the state”).</w:t>
      </w:r>
    </w:p>
  </w:footnote>
  <w:footnote w:id="312">
    <w:p w14:paraId="02F73EB4" w14:textId="77777777" w:rsidR="00E610AC" w:rsidRPr="005B3E31" w:rsidRDefault="00E610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Tom Lambert, Law and Order in Anglo-Saxon England</w:t>
      </w:r>
      <w:r>
        <w:rPr>
          <w:color w:val="000000" w:themeColor="text1"/>
        </w:rPr>
        <w:t xml:space="preserve"> 44, 136–39 (2017).</w:t>
      </w:r>
    </w:p>
  </w:footnote>
  <w:footnote w:id="313">
    <w:p w14:paraId="622D43B9" w14:textId="77777777"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11 (“The Problem of Judgement: Oaths, Ordeals, and Evidence”) [PRINT PINCITE NEEDED].</w:t>
      </w:r>
    </w:p>
  </w:footnote>
  <w:footnote w:id="314">
    <w:p w14:paraId="7D8C0339" w14:textId="77777777" w:rsidR="0032068A" w:rsidRPr="005B3E31" w:rsidRDefault="00000000" w:rsidP="003D74D8">
      <w:pPr>
        <w:pStyle w:val="FootnoteText"/>
        <w:spacing w:line="480" w:lineRule="auto"/>
      </w:pPr>
      <w:r>
        <w:rPr>
          <w:rStyle w:val="FootnoteReference"/>
        </w:rPr>
        <w:footnoteRef/>
      </w:r>
      <w:r>
        <w:rPr>
          <w:i/>
          <w:iCs/>
        </w:rPr>
        <w:t xml:space="preserve"> Lorraine </w:t>
      </w:r>
      <w:proofErr w:type="spellStart"/>
      <w:r>
        <w:rPr>
          <w:i/>
          <w:iCs/>
        </w:rPr>
        <w:t>Attreed</w:t>
      </w:r>
      <w:proofErr w:type="spellEnd"/>
      <w:r>
        <w:rPr>
          <w:i/>
          <w:iCs/>
        </w:rPr>
        <w:t>, Arbitration and the Growth of Urban Liberties in Late Medieval England, 31 J. Brit. Stud. 205, 222 (1992).</w:t>
      </w:r>
    </w:p>
  </w:footnote>
  <w:footnote w:id="315">
    <w:p w14:paraId="7F648B94" w14:textId="77777777" w:rsidR="0097557C" w:rsidRPr="005B3E31" w:rsidRDefault="003F3C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Valerie A. Sanchez, Towards a History of ADR: The Dispute Processing Continuum in Anglo-Saxon England and Today, 11 Ohio St. J. on Disp. </w:t>
      </w:r>
      <w:proofErr w:type="spellStart"/>
      <w:r>
        <w:rPr>
          <w:color w:val="000000" w:themeColor="text1"/>
        </w:rPr>
        <w:t>Resol</w:t>
      </w:r>
      <w:proofErr w:type="spellEnd"/>
      <w:r>
        <w:rPr>
          <w:color w:val="000000" w:themeColor="text1"/>
        </w:rPr>
        <w:t xml:space="preserve">. 1, 27–29 (1996); Andrew Rabin, </w:t>
      </w:r>
      <w:r>
        <w:rPr>
          <w:i/>
          <w:iCs/>
          <w:color w:val="000000" w:themeColor="text1"/>
        </w:rPr>
        <w:t>Anglo-Saxon Women Before the Law: A Student Edition of Five Old English Lawsuits</w:t>
      </w:r>
      <w:r>
        <w:rPr>
          <w:color w:val="000000" w:themeColor="text1"/>
        </w:rPr>
        <w:t xml:space="preserve">, 41 </w:t>
      </w:r>
      <w:r>
        <w:rPr>
          <w:smallCaps/>
          <w:color w:val="000000" w:themeColor="text1"/>
        </w:rPr>
        <w:t xml:space="preserve">Old Eng. </w:t>
      </w:r>
      <w:proofErr w:type="spellStart"/>
      <w:r>
        <w:rPr>
          <w:smallCaps/>
          <w:color w:val="000000" w:themeColor="text1"/>
        </w:rPr>
        <w:t>Newsl</w:t>
      </w:r>
      <w:proofErr w:type="spellEnd"/>
      <w:r>
        <w:rPr>
          <w:color w:val="000000" w:themeColor="text1"/>
        </w:rPr>
        <w:t xml:space="preserve">. 33, 35–36, 44–46 (2008); Arnold H.J. Baines, </w:t>
      </w:r>
      <w:proofErr w:type="spellStart"/>
      <w:r>
        <w:rPr>
          <w:i/>
          <w:iCs/>
          <w:color w:val="000000" w:themeColor="text1"/>
        </w:rPr>
        <w:t>Wynflæd</w:t>
      </w:r>
      <w:proofErr w:type="spellEnd"/>
      <w:r>
        <w:rPr>
          <w:i/>
          <w:iCs/>
          <w:color w:val="000000" w:themeColor="text1"/>
        </w:rPr>
        <w:t xml:space="preserve"> v. </w:t>
      </w:r>
      <w:proofErr w:type="spellStart"/>
      <w:r>
        <w:rPr>
          <w:i/>
          <w:iCs/>
          <w:color w:val="000000" w:themeColor="text1"/>
        </w:rPr>
        <w:t>Leofwine</w:t>
      </w:r>
      <w:proofErr w:type="spellEnd"/>
      <w:r>
        <w:rPr>
          <w:i/>
          <w:iCs/>
          <w:color w:val="000000" w:themeColor="text1"/>
        </w:rPr>
        <w:t>: A Datchet Lawsuit of 990</w:t>
      </w:r>
      <w:r>
        <w:rPr>
          <w:color w:val="000000" w:themeColor="text1"/>
        </w:rPr>
        <w:t xml:space="preserve">, 32 </w:t>
      </w:r>
      <w:r>
        <w:rPr>
          <w:smallCaps/>
          <w:color w:val="000000" w:themeColor="text1"/>
        </w:rPr>
        <w:t>Rec. Buckinghamshir</w:t>
      </w:r>
      <w:r>
        <w:rPr>
          <w:color w:val="000000" w:themeColor="text1"/>
        </w:rPr>
        <w:t>e 63, 69–71 (1990).</w:t>
      </w:r>
    </w:p>
  </w:footnote>
  <w:footnote w:id="316">
    <w:p w14:paraId="4F4B9FEE" w14:textId="77777777"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 xml:space="preserve">Paul R. </w:t>
      </w:r>
      <w:proofErr w:type="spellStart"/>
      <w:r>
        <w:rPr>
          <w:smallCaps/>
        </w:rPr>
        <w:t>Hyams</w:t>
      </w:r>
      <w:proofErr w:type="spellEnd"/>
      <w:r>
        <w:rPr>
          <w:smallCaps/>
        </w:rPr>
        <w:t>, Rancor and Reconciliation in Medieval England</w:t>
      </w:r>
      <w:r>
        <w:t xml:space="preserve"> 109 (2003).</w:t>
      </w:r>
    </w:p>
  </w:footnote>
  <w:footnote w:id="317">
    <w:p w14:paraId="23434E58" w14:textId="77777777"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Derek Roebuck, Mediation and Arbitration in the Middle Ages: England</w:t>
      </w:r>
      <w:r>
        <w:t xml:space="preserve"> </w:t>
      </w:r>
      <w:r>
        <w:rPr>
          <w:smallCaps/>
        </w:rPr>
        <w:t>1154 to 1558</w:t>
      </w:r>
      <w:r>
        <w:t>, at 20 (2013).</w:t>
      </w:r>
    </w:p>
  </w:footnote>
  <w:footnote w:id="318">
    <w:p w14:paraId="68215A7C" w14:textId="77777777" w:rsidR="00FD62BC" w:rsidRPr="005B3E31" w:rsidRDefault="00FD62BC" w:rsidP="003D74D8">
      <w:pPr>
        <w:pStyle w:val="FootnoteText"/>
        <w:spacing w:line="480" w:lineRule="auto"/>
      </w:pPr>
      <w:r>
        <w:rPr>
          <w:rStyle w:val="FootnoteReference"/>
          <w:rFonts w:eastAsiaTheme="majorEastAsia"/>
        </w:rPr>
        <w:footnoteRef/>
      </w:r>
      <w:r>
        <w:t xml:space="preserve"> Lorraine </w:t>
      </w:r>
      <w:proofErr w:type="spellStart"/>
      <w:r>
        <w:t>Attreed</w:t>
      </w:r>
      <w:proofErr w:type="spellEnd"/>
      <w:r>
        <w:t xml:space="preserve">, </w:t>
      </w:r>
      <w:r>
        <w:rPr>
          <w:i/>
          <w:iCs/>
        </w:rPr>
        <w:t>Arbitration and the Growth of Urban Liberties in Late Medieval England</w:t>
      </w:r>
      <w:r>
        <w:t xml:space="preserve">, 31 </w:t>
      </w:r>
      <w:r>
        <w:rPr>
          <w:smallCaps/>
        </w:rPr>
        <w:t>J. Brit. Stud</w:t>
      </w:r>
      <w:r>
        <w:t>. 205, 217–18 (1992).</w:t>
      </w:r>
    </w:p>
  </w:footnote>
  <w:footnote w:id="319">
    <w:p w14:paraId="6299430D" w14:textId="77777777" w:rsidR="007231DB" w:rsidRPr="005B3E31" w:rsidRDefault="007231DB" w:rsidP="003D74D8">
      <w:pPr>
        <w:pStyle w:val="FootnoteText"/>
        <w:spacing w:line="480" w:lineRule="auto"/>
      </w:pPr>
      <w:r>
        <w:rPr>
          <w:rStyle w:val="FootnoteReference"/>
        </w:rPr>
        <w:footnoteRef/>
      </w:r>
      <w:r>
        <w:t xml:space="preserve"> </w:t>
      </w:r>
      <w:r>
        <w:rPr>
          <w:i/>
          <w:iCs/>
        </w:rPr>
        <w:t>Id.</w:t>
      </w:r>
      <w:r>
        <w:t xml:space="preserve"> at 209.</w:t>
      </w:r>
    </w:p>
  </w:footnote>
  <w:footnote w:id="320">
    <w:p w14:paraId="2CAE3B2A" w14:textId="77777777" w:rsidR="005136EE"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rPr>
        <w:t>Roebuck</w:t>
      </w:r>
      <w:r>
        <w:rPr>
          <w:color w:val="000000" w:themeColor="text1"/>
        </w:rPr>
        <w:t xml:space="preserve">, </w:t>
      </w:r>
      <w:r>
        <w:rPr>
          <w:i/>
          <w:iCs/>
          <w:color w:val="000000" w:themeColor="text1"/>
        </w:rPr>
        <w:t>supra</w:t>
      </w:r>
      <w:r>
        <w:rPr>
          <w:color w:val="000000" w:themeColor="text1"/>
        </w:rPr>
        <w:t xml:space="preserve"> note 355, at 16–19; </w:t>
      </w:r>
      <w:proofErr w:type="spellStart"/>
      <w:r>
        <w:rPr>
          <w:color w:val="000000" w:themeColor="text1"/>
        </w:rPr>
        <w:t>Attreed</w:t>
      </w:r>
      <w:proofErr w:type="spellEnd"/>
      <w:r>
        <w:rPr>
          <w:color w:val="000000" w:themeColor="text1"/>
        </w:rPr>
        <w:t xml:space="preserve">, </w:t>
      </w:r>
      <w:r>
        <w:rPr>
          <w:i/>
          <w:iCs/>
          <w:color w:val="000000" w:themeColor="text1"/>
        </w:rPr>
        <w:t>supra</w:t>
      </w:r>
      <w:r>
        <w:rPr>
          <w:color w:val="000000" w:themeColor="text1"/>
        </w:rPr>
        <w:t xml:space="preserve"> note 356, at 209–10 (describing arbitration conducted “informally by one’s neighbors, with greater effect by local magnates, or at the instigation of the lord chancellor himself,” and requiring “arbitrators be individuals of moral authority with an instinct for natural justice and sufficient influence to persuade the disputants to accept the settlement”); Roebuck, supra note 355, at 395–97 (“Courts were Government offices for getting problems solved. They found arbitration a useful tool for many of their tasks.”).</w:t>
      </w:r>
    </w:p>
  </w:footnote>
  <w:footnote w:id="321">
    <w:p w14:paraId="3320943F" w14:textId="77777777" w:rsidR="00B82735" w:rsidRPr="005B3E31" w:rsidRDefault="00B8273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Emily </w:t>
      </w:r>
      <w:proofErr w:type="spellStart"/>
      <w:r>
        <w:rPr>
          <w:color w:val="000000" w:themeColor="text1"/>
        </w:rPr>
        <w:t>Kadens</w:t>
      </w:r>
      <w:proofErr w:type="spellEnd"/>
      <w:r>
        <w:rPr>
          <w:color w:val="000000" w:themeColor="text1"/>
        </w:rPr>
        <w:t xml:space="preserve">, </w:t>
      </w:r>
      <w:r>
        <w:rPr>
          <w:i/>
          <w:iCs/>
          <w:color w:val="000000" w:themeColor="text1"/>
        </w:rPr>
        <w:t>The Myth of the Customary Law Merchant</w:t>
      </w:r>
      <w:r>
        <w:rPr>
          <w:color w:val="000000" w:themeColor="text1"/>
        </w:rPr>
        <w:t xml:space="preserve">, 90 </w:t>
      </w:r>
      <w:r>
        <w:rPr>
          <w:smallCaps/>
          <w:color w:val="000000" w:themeColor="text1"/>
        </w:rPr>
        <w:t>Tex. L. Rev.</w:t>
      </w:r>
      <w:r>
        <w:rPr>
          <w:color w:val="000000" w:themeColor="text1"/>
        </w:rPr>
        <w:t xml:space="preserve"> 1153, 1187–91, 1196–98 (2012).</w:t>
      </w:r>
    </w:p>
  </w:footnote>
  <w:footnote w:id="322">
    <w:p w14:paraId="03E41480" w14:textId="77777777" w:rsidR="00FC7B90"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Wormald, </w:t>
      </w:r>
      <w:r>
        <w:rPr>
          <w:i/>
          <w:iCs/>
          <w:color w:val="000000" w:themeColor="text1"/>
        </w:rPr>
        <w:t>Charters, Law and the Settlement of Disputes in Anglo-Saxon England</w:t>
      </w:r>
      <w:r>
        <w:rPr>
          <w:color w:val="000000" w:themeColor="text1"/>
        </w:rPr>
        <w:t xml:space="preserve">, in </w:t>
      </w:r>
      <w:r>
        <w:rPr>
          <w:smallCaps/>
          <w:color w:val="000000" w:themeColor="text1"/>
        </w:rPr>
        <w:t>The Settlement of Disputes in Early Medieval Europe</w:t>
      </w:r>
      <w:r>
        <w:rPr>
          <w:color w:val="000000" w:themeColor="text1"/>
        </w:rPr>
        <w:t xml:space="preserve"> 149, 164–65 (Wendy Davies &amp; Paul </w:t>
      </w:r>
      <w:proofErr w:type="spellStart"/>
      <w:r>
        <w:rPr>
          <w:color w:val="000000" w:themeColor="text1"/>
        </w:rPr>
        <w:t>Fouracre</w:t>
      </w:r>
      <w:proofErr w:type="spellEnd"/>
      <w:r>
        <w:rPr>
          <w:color w:val="000000" w:themeColor="text1"/>
        </w:rPr>
        <w:t xml:space="preserve"> eds., 1986); </w:t>
      </w:r>
      <w:r>
        <w:rPr>
          <w:i/>
          <w:iCs/>
          <w:color w:val="000000" w:themeColor="text1"/>
        </w:rPr>
        <w:t>see also</w:t>
      </w:r>
      <w:r>
        <w:rPr>
          <w:color w:val="000000" w:themeColor="text1"/>
        </w:rPr>
        <w:t xml:space="preserve"> </w:t>
      </w:r>
      <w:proofErr w:type="spellStart"/>
      <w:r>
        <w:rPr>
          <w:smallCaps/>
          <w:color w:val="000000" w:themeColor="text1"/>
        </w:rPr>
        <w:t>Hyams</w:t>
      </w:r>
      <w:proofErr w:type="spellEnd"/>
      <w:r>
        <w:rPr>
          <w:color w:val="000000" w:themeColor="text1"/>
        </w:rPr>
        <w:t xml:space="preserve">, </w:t>
      </w:r>
      <w:r>
        <w:rPr>
          <w:i/>
          <w:iCs/>
          <w:color w:val="000000" w:themeColor="text1"/>
        </w:rPr>
        <w:t>supra</w:t>
      </w:r>
      <w:r>
        <w:rPr>
          <w:color w:val="000000" w:themeColor="text1"/>
        </w:rPr>
        <w:t xml:space="preserve"> note 354, at 97; </w:t>
      </w:r>
      <w:r>
        <w:rPr>
          <w:smallCaps/>
          <w:color w:val="000000" w:themeColor="text1"/>
        </w:rPr>
        <w:t>Lambert</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t>350</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359–60; Sanchez, supra note 353, at 16 (“During the early Anglo-Saxon period, the folk assembly was the community forum (</w:t>
      </w:r>
      <w:proofErr w:type="spellStart"/>
      <w:r>
        <w:rPr>
          <w:color w:val="000000" w:themeColor="text1"/>
        </w:rPr>
        <w:t>popularia</w:t>
      </w:r>
      <w:proofErr w:type="spellEnd"/>
      <w:r>
        <w:rPr>
          <w:color w:val="000000" w:themeColor="text1"/>
        </w:rPr>
        <w:t xml:space="preserve"> </w:t>
      </w:r>
      <w:proofErr w:type="spellStart"/>
      <w:r>
        <w:rPr>
          <w:color w:val="000000" w:themeColor="text1"/>
        </w:rPr>
        <w:t>concilia</w:t>
      </w:r>
      <w:proofErr w:type="spellEnd"/>
      <w:r>
        <w:rPr>
          <w:color w:val="000000" w:themeColor="text1"/>
        </w:rPr>
        <w:t>) for resolving disputes.”).</w:t>
      </w:r>
    </w:p>
  </w:footnote>
  <w:footnote w:id="323">
    <w:p w14:paraId="5FF31D48"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color w:val="000000" w:themeColor="text1"/>
        </w:rPr>
        <w:t xml:space="preserve">, </w:t>
      </w:r>
      <w:r>
        <w:rPr>
          <w:i/>
          <w:iCs/>
          <w:color w:val="000000" w:themeColor="text1"/>
        </w:rPr>
        <w:t>supra</w:t>
      </w:r>
      <w:r>
        <w:rPr>
          <w:color w:val="000000" w:themeColor="text1"/>
        </w:rPr>
        <w:t xml:space="preserve"> note 355, at 58; </w:t>
      </w:r>
      <w:r>
        <w:rPr>
          <w:i/>
          <w:iCs/>
          <w:color w:val="000000" w:themeColor="text1"/>
        </w:rPr>
        <w:t>see also</w:t>
      </w:r>
      <w:r>
        <w:rPr>
          <w:color w:val="000000" w:themeColor="text1"/>
        </w:rPr>
        <w:t xml:space="preserve"> Lucas Clover </w:t>
      </w:r>
      <w:proofErr w:type="spellStart"/>
      <w:r>
        <w:rPr>
          <w:color w:val="000000" w:themeColor="text1"/>
        </w:rPr>
        <w:t>Alcolea</w:t>
      </w:r>
      <w:proofErr w:type="spellEnd"/>
      <w:r>
        <w:rPr>
          <w:color w:val="000000" w:themeColor="text1"/>
        </w:rPr>
        <w:t xml:space="preserve">, </w:t>
      </w:r>
      <w:r>
        <w:rPr>
          <w:i/>
          <w:iCs/>
          <w:color w:val="000000" w:themeColor="text1"/>
        </w:rPr>
        <w:t>“The King[’s] Courts as the Fountain of Justice” and the Supremacy of Ordinary Law: Implications for English Arbitration</w:t>
      </w:r>
      <w:r>
        <w:rPr>
          <w:color w:val="000000" w:themeColor="text1"/>
        </w:rPr>
        <w:t>, 41 </w:t>
      </w:r>
      <w:r>
        <w:rPr>
          <w:smallCaps/>
          <w:color w:val="000000" w:themeColor="text1"/>
        </w:rPr>
        <w:t>Arb. Int’l</w:t>
      </w:r>
      <w:r>
        <w:rPr>
          <w:color w:val="000000" w:themeColor="text1"/>
        </w:rPr>
        <w:t> 27, 35–36 (2025).</w:t>
      </w:r>
    </w:p>
  </w:footnote>
  <w:footnote w:id="324">
    <w:p w14:paraId="0CB7487F" w14:textId="77777777" w:rsidR="00D879FE" w:rsidRDefault="00000000">
      <w:pPr>
        <w:pStyle w:val="FootnoteText"/>
        <w:spacing w:line="480" w:lineRule="auto"/>
      </w:pPr>
      <w:r>
        <w:rPr>
          <w:rStyle w:val="FootnoteReference"/>
        </w:rPr>
        <w:footnoteRef/>
      </w:r>
      <w:r>
        <w:t xml:space="preserve"> Middle Temple Description (c. 1539), </w:t>
      </w:r>
      <w:r>
        <w:rPr>
          <w:i/>
        </w:rPr>
        <w:t>quoted in</w:t>
      </w:r>
      <w:r>
        <w:t xml:space="preserve"> 2 </w:t>
      </w:r>
      <w:r>
        <w:rPr>
          <w:smallCaps/>
        </w:rPr>
        <w:t>Readings and Moots at the Inns of Court in the Fifteenth Century</w:t>
      </w:r>
      <w:r>
        <w:t>, at lxx (Samuel E. Thorne &amp; J.H. Baker eds., Selden Soc’y vol. 105, 1990).</w:t>
      </w:r>
    </w:p>
  </w:footnote>
  <w:footnote w:id="325">
    <w:p w14:paraId="6E64F4D8" w14:textId="77777777" w:rsidR="00D879FE" w:rsidRDefault="00000000">
      <w:pPr>
        <w:pStyle w:val="FootnoteText"/>
        <w:spacing w:line="480" w:lineRule="auto"/>
      </w:pPr>
      <w:r>
        <w:rPr>
          <w:rStyle w:val="FootnoteReference"/>
        </w:rPr>
        <w:footnoteRef/>
      </w:r>
      <w:r>
        <w:t xml:space="preserve"> Report of Denton, Bacon &amp; Cary (1540), </w:t>
      </w:r>
      <w:r>
        <w:rPr>
          <w:i/>
        </w:rPr>
        <w:t>quoted in</w:t>
      </w:r>
      <w:r>
        <w:t xml:space="preserve"> 2 </w:t>
      </w:r>
      <w:r>
        <w:rPr>
          <w:smallCaps/>
        </w:rPr>
        <w:t>Readings and Moots at the Inns of Court in the Fifteenth Century</w:t>
      </w:r>
      <w:r>
        <w:t xml:space="preserve">, </w:t>
      </w:r>
      <w:r>
        <w:rPr>
          <w:i/>
        </w:rPr>
        <w:t>supra</w:t>
      </w:r>
      <w:r>
        <w:t xml:space="preserve">, at lxi; </w:t>
      </w:r>
      <w:r>
        <w:rPr>
          <w:i/>
        </w:rPr>
        <w:t>see also</w:t>
      </w:r>
      <w:r>
        <w:t xml:space="preserve"> 1 </w:t>
      </w:r>
      <w:r>
        <w:rPr>
          <w:smallCaps/>
        </w:rPr>
        <w:t>Readings and Moots at the Inns of Court in the Fifteenth Century</w:t>
      </w:r>
      <w:r>
        <w:t>, at xxx n.1 (Samuel E. Thorne ed., Selden Soc’y vol. 71, 1954) (“one of the younger Utter-</w:t>
      </w:r>
      <w:proofErr w:type="spellStart"/>
      <w:r>
        <w:t>Barresters</w:t>
      </w:r>
      <w:proofErr w:type="spellEnd"/>
      <w:r>
        <w:t xml:space="preserve"> . . . doth by way of argument </w:t>
      </w:r>
      <w:proofErr w:type="spellStart"/>
      <w:r>
        <w:t>labour</w:t>
      </w:r>
      <w:proofErr w:type="spellEnd"/>
      <w:r>
        <w:t xml:space="preserve"> to prove the Readers opinion to be against the Law”).</w:t>
      </w:r>
    </w:p>
  </w:footnote>
  <w:footnote w:id="326">
    <w:p w14:paraId="3211F1F7" w14:textId="77777777" w:rsidR="00D879FE" w:rsidRDefault="00000000">
      <w:pPr>
        <w:pStyle w:val="FootnoteText"/>
        <w:spacing w:line="480" w:lineRule="auto"/>
      </w:pPr>
      <w:r>
        <w:rPr>
          <w:rStyle w:val="FootnoteReference"/>
        </w:rPr>
        <w:footnoteRef/>
      </w:r>
      <w:r>
        <w:t xml:space="preserve"> J.H. Baker, </w:t>
      </w:r>
      <w:r>
        <w:rPr>
          <w:i/>
        </w:rPr>
        <w:t>Introduction</w:t>
      </w:r>
      <w:r>
        <w:t xml:space="preserve">, </w:t>
      </w:r>
      <w:r>
        <w:rPr>
          <w:i/>
        </w:rPr>
        <w:t>in</w:t>
      </w:r>
      <w:r>
        <w:t xml:space="preserve"> 2 </w:t>
      </w:r>
      <w:r>
        <w:rPr>
          <w:smallCaps/>
        </w:rPr>
        <w:t>Readings and Moots at the Inns of Court in the Fifteenth Century</w:t>
      </w:r>
      <w:r>
        <w:t xml:space="preserve">, </w:t>
      </w:r>
      <w:r>
        <w:rPr>
          <w:i/>
        </w:rPr>
        <w:t>supra</w:t>
      </w:r>
      <w:r>
        <w:t>, at lxxii–lxxiii.</w:t>
      </w:r>
    </w:p>
  </w:footnote>
  <w:footnote w:id="327">
    <w:p w14:paraId="757C4EFE"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Mediation and Arbitration in the Middle Ages: England</w:t>
      </w:r>
      <w:r>
        <w:rPr>
          <w:color w:val="000000" w:themeColor="text1"/>
        </w:rPr>
        <w:t xml:space="preserve"> 1154 to 1558, at 20, 24, 28–31, 52–54, 58–63, 147–48, 153–59, 162–65, 178, 220–23, 227–28 (2013); </w:t>
      </w:r>
      <w:r>
        <w:rPr>
          <w:smallCaps/>
          <w:color w:val="000000" w:themeColor="text1"/>
        </w:rPr>
        <w:t xml:space="preserve">Paul R. </w:t>
      </w:r>
      <w:proofErr w:type="spellStart"/>
      <w:r>
        <w:rPr>
          <w:smallCaps/>
          <w:color w:val="000000" w:themeColor="text1"/>
        </w:rPr>
        <w:t>Hyams</w:t>
      </w:r>
      <w:proofErr w:type="spellEnd"/>
      <w:r>
        <w:rPr>
          <w:smallCaps/>
          <w:color w:val="000000" w:themeColor="text1"/>
        </w:rPr>
        <w:t>, Rancor and Reconciliation in Medieval England</w:t>
      </w:r>
      <w:r>
        <w:rPr>
          <w:color w:val="000000" w:themeColor="text1"/>
        </w:rPr>
        <w:t xml:space="preserve"> 6, 12, 23, 80–85, 90–93, 174–75, 184 (2003); </w:t>
      </w:r>
      <w:r>
        <w:rPr>
          <w:smallCaps/>
          <w:color w:val="000000" w:themeColor="text1"/>
        </w:rPr>
        <w:t>Fernanda Pirie, The Rule of Laws: A 4,000-Year Quest to Order the World</w:t>
      </w:r>
      <w:r>
        <w:rPr>
          <w:color w:val="000000" w:themeColor="text1"/>
        </w:rPr>
        <w:t xml:space="preserve"> 166, 176, 186–89, 336 (2021); </w:t>
      </w:r>
      <w:r>
        <w:rPr>
          <w:smallCaps/>
          <w:color w:val="000000" w:themeColor="text1"/>
        </w:rPr>
        <w:t xml:space="preserve">Patrick Wormald, Charters, Law and the Settlement of Disputes in Anglo-Saxon England, in The Settlement of Disputes in Early Medieval Europe 149, </w:t>
      </w:r>
      <w:r>
        <w:rPr>
          <w:color w:val="000000" w:themeColor="text1"/>
        </w:rPr>
        <w:t xml:space="preserve">162, 164–65 (Wendy Davies &amp; Paul </w:t>
      </w:r>
      <w:proofErr w:type="spellStart"/>
      <w:r>
        <w:rPr>
          <w:color w:val="000000" w:themeColor="text1"/>
        </w:rPr>
        <w:t>Fouracre</w:t>
      </w:r>
      <w:proofErr w:type="spellEnd"/>
      <w:r>
        <w:rPr>
          <w:color w:val="000000" w:themeColor="text1"/>
        </w:rPr>
        <w:t xml:space="preserve"> eds., 1986); </w:t>
      </w:r>
      <w:r>
        <w:rPr>
          <w:i/>
          <w:iCs/>
          <w:color w:val="000000" w:themeColor="text1"/>
        </w:rPr>
        <w:t>but see id.</w:t>
      </w:r>
      <w:r>
        <w:rPr>
          <w:color w:val="000000" w:themeColor="text1"/>
        </w:rPr>
        <w:t xml:space="preserve"> at 154 (“Oaths are in general surprisingly rare in early judicial records.”).</w:t>
      </w:r>
    </w:p>
  </w:footnote>
  <w:footnote w:id="328">
    <w:p w14:paraId="3CEF644E"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IV</w:t>
      </w:r>
      <w:proofErr w:type="gramEnd"/>
      <w:r>
        <w:rPr>
          <w:color w:val="000000" w:themeColor="text1"/>
        </w:rPr>
        <w:t xml:space="preserve">; </w:t>
      </w:r>
      <w:r>
        <w:rPr>
          <w:i/>
          <w:iCs/>
          <w:color w:val="000000" w:themeColor="text1"/>
        </w:rPr>
        <w:t>see infra</w:t>
      </w:r>
      <w:r>
        <w:rPr>
          <w:color w:val="000000" w:themeColor="text1"/>
        </w:rPr>
        <w:t xml:space="preserve"> Section V.F.</w:t>
      </w:r>
    </w:p>
  </w:footnote>
  <w:footnote w:id="329">
    <w:p w14:paraId="44736108"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w:t>
      </w:r>
      <w:proofErr w:type="gramEnd"/>
      <w:r>
        <w:rPr>
          <w:color w:val="000000" w:themeColor="text1"/>
        </w:rPr>
        <w:t xml:space="preserve"> V (surveying each civilization’s variant of the oath or oath-adjacent QCM).</w:t>
      </w:r>
    </w:p>
  </w:footnote>
  <w:footnote w:id="330">
    <w:p w14:paraId="195E529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Hugo Mercier &amp; Pascal Boyer, </w:t>
      </w:r>
      <w:r>
        <w:rPr>
          <w:i/>
          <w:iCs/>
          <w:color w:val="000000" w:themeColor="text1"/>
        </w:rPr>
        <w:t>Truth-Making Institutions: From Divination, Ordeals and Oaths to Judicial Torture and Rules of Evidence</w:t>
      </w:r>
      <w:r>
        <w:rPr>
          <w:color w:val="000000" w:themeColor="text1"/>
        </w:rPr>
        <w:t xml:space="preserve">, 42 </w:t>
      </w:r>
      <w:r>
        <w:rPr>
          <w:smallCaps/>
          <w:color w:val="000000" w:themeColor="text1"/>
        </w:rPr>
        <w:t xml:space="preserve">Evolution &amp; Hum. </w:t>
      </w:r>
      <w:proofErr w:type="spellStart"/>
      <w:r>
        <w:rPr>
          <w:smallCaps/>
          <w:color w:val="000000" w:themeColor="text1"/>
        </w:rPr>
        <w:t>Behav</w:t>
      </w:r>
      <w:proofErr w:type="spellEnd"/>
      <w:r>
        <w:rPr>
          <w:color w:val="000000" w:themeColor="text1"/>
        </w:rPr>
        <w:t>. 259, 264 (2021).</w:t>
      </w:r>
    </w:p>
  </w:footnote>
  <w:footnote w:id="331">
    <w:p w14:paraId="529326CC"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Gabriel Herman, Morality and </w:t>
      </w:r>
      <w:proofErr w:type="spellStart"/>
      <w:r>
        <w:rPr>
          <w:smallCaps/>
          <w:color w:val="000000" w:themeColor="text1"/>
        </w:rPr>
        <w:t>Behaviour</w:t>
      </w:r>
      <w:proofErr w:type="spellEnd"/>
      <w:r>
        <w:rPr>
          <w:smallCaps/>
          <w:color w:val="000000" w:themeColor="text1"/>
        </w:rPr>
        <w:t xml:space="preserve"> in Democratic Athens: A Social History 17–18 (2006); </w:t>
      </w:r>
      <w:proofErr w:type="spellStart"/>
      <w:r>
        <w:rPr>
          <w:smallCaps/>
          <w:color w:val="000000" w:themeColor="text1"/>
        </w:rPr>
        <w:t>Adriaan</w:t>
      </w:r>
      <w:proofErr w:type="spellEnd"/>
      <w:r>
        <w:rPr>
          <w:smallCaps/>
          <w:color w:val="000000" w:themeColor="text1"/>
        </w:rPr>
        <w:t xml:space="preserve"> </w:t>
      </w:r>
      <w:proofErr w:type="spellStart"/>
      <w:r>
        <w:rPr>
          <w:smallCaps/>
          <w:color w:val="000000" w:themeColor="text1"/>
        </w:rPr>
        <w:t>Lanni</w:t>
      </w:r>
      <w:proofErr w:type="spellEnd"/>
      <w:r>
        <w:rPr>
          <w:smallCaps/>
          <w:color w:val="000000" w:themeColor="text1"/>
        </w:rPr>
        <w:t>, Law and Order in Ancient Athens 142 (201</w:t>
      </w:r>
      <w:r>
        <w:rPr>
          <w:color w:val="000000" w:themeColor="text1"/>
        </w:rPr>
        <w:t>6).</w:t>
      </w:r>
    </w:p>
  </w:footnote>
  <w:footnote w:id="332">
    <w:p w14:paraId="724445EF"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Lanni</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_Ref221994504 \h  \* MERGEFORMAT </w:instrText>
      </w:r>
      <w:r>
        <w:rPr>
          <w:color w:val="000000" w:themeColor="text1"/>
        </w:rPr>
      </w:r>
      <w:r>
        <w:rPr>
          <w:color w:val="000000" w:themeColor="text1"/>
        </w:rPr>
        <w:fldChar w:fldCharType="separate"/>
      </w:r>
      <w:r>
        <w:rPr>
          <w:color w:val="000000" w:themeColor="text1"/>
        </w:rPr>
        <w:t>24</w:t>
      </w:r>
      <w:r>
        <w:rPr>
          <w:color w:val="000000" w:themeColor="text1"/>
        </w:rPr>
        <w:fldChar w:fldCharType="end"/>
      </w:r>
      <w:r>
        <w:rPr>
          <w:color w:val="000000" w:themeColor="text1"/>
        </w:rPr>
        <w:t xml:space="preserve">, at 129, 134–35. </w:t>
      </w:r>
    </w:p>
  </w:footnote>
  <w:footnote w:id="333">
    <w:p w14:paraId="403BDC4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at 142–43.</w:t>
      </w:r>
    </w:p>
  </w:footnote>
  <w:footnote w:id="334">
    <w:p w14:paraId="537DA22C"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Robin Osborne, Use and Abuse of Law in the Athenian Courts</w:t>
      </w:r>
      <w:r>
        <w:rPr>
          <w:color w:val="000000" w:themeColor="text1"/>
        </w:rPr>
        <w:t xml:space="preserve"> 38, 81 (Brill 2018).</w:t>
      </w:r>
    </w:p>
  </w:footnote>
  <w:footnote w:id="335">
    <w:p w14:paraId="15C355CB"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w:t>
      </w:r>
      <w:proofErr w:type="gramEnd"/>
      <w:r>
        <w:rPr>
          <w:color w:val="000000" w:themeColor="text1"/>
        </w:rPr>
        <w:t xml:space="preserve"> V; </w:t>
      </w:r>
      <w:r>
        <w:rPr>
          <w:i/>
          <w:iCs/>
          <w:color w:val="000000" w:themeColor="text1"/>
        </w:rPr>
        <w:t>see infra</w:t>
      </w:r>
      <w:r>
        <w:rPr>
          <w:color w:val="000000" w:themeColor="text1"/>
        </w:rPr>
        <w:t xml:space="preserve"> Section VI.F.</w:t>
      </w:r>
    </w:p>
  </w:footnote>
  <w:footnote w:id="336">
    <w:p w14:paraId="01BEFE21"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(In ancient Mesopotamia, Hammurabi’s Code was designed for direct consultation by individual litigants: “Let any wronged man who has a lawsuit come before my image, as king of justice, and have what is written on my stele read to him, so that he may understand my precious commands; and let my stele demonstrate his position, so that he may understand his case and calm his heart.” In ancient India, the legal tradition explicitly required personal presentation of cases by the parties themselves: “Here, each party had to present his own case in accordance with rules that can be traced to the </w:t>
      </w:r>
      <w:proofErr w:type="spellStart"/>
      <w:r>
        <w:rPr>
          <w:color w:val="000000" w:themeColor="text1"/>
        </w:rPr>
        <w:t>Arthashastra</w:t>
      </w:r>
      <w:proofErr w:type="spellEnd"/>
      <w:r>
        <w:rPr>
          <w:color w:val="000000" w:themeColor="text1"/>
        </w:rPr>
        <w:t xml:space="preserve"> tradition.” In Imperial China, the legal system similarly operated on the basis of direct engagement by ordinary individuals who brought their own complaints and arguments: “Any individual could bring a criminal complaint, and if they caught someone in the act they could claim a reward,” and “ordinary people could quote the rules to argue about an abuse of power or appeal against an unfair sentence, to the discomfort of local officials.”); </w:t>
      </w:r>
      <w:r>
        <w:rPr>
          <w:smallCaps/>
          <w:color w:val="000000" w:themeColor="text1"/>
        </w:rPr>
        <w:t xml:space="preserve">John </w:t>
      </w:r>
      <w:proofErr w:type="spellStart"/>
      <w:r>
        <w:rPr>
          <w:smallCaps/>
          <w:color w:val="000000" w:themeColor="text1"/>
        </w:rPr>
        <w:t>Maxcy</w:t>
      </w:r>
      <w:proofErr w:type="spellEnd"/>
      <w:r>
        <w:rPr>
          <w:smallCaps/>
          <w:color w:val="000000" w:themeColor="text1"/>
        </w:rPr>
        <w:t xml:space="preserve"> Zane, </w:t>
      </w:r>
      <w:r>
        <w:rPr>
          <w:i/>
          <w:iCs/>
          <w:smallCaps/>
          <w:color w:val="000000" w:themeColor="text1"/>
        </w:rPr>
        <w:t>The Story of Law</w:t>
      </w:r>
      <w:r>
        <w:rPr>
          <w:color w:val="000000" w:themeColor="text1"/>
        </w:rPr>
        <w:t xml:space="preserve"> 103, 113 (1998) (explaining that in ancient Greece, the legal system was built on the principle of personal representation, as “every citizen was competent to know and judge the law. Hence there was no such practice as that of a citizen appearing by attorney or advocate. The citizen must manage his own case and make his own plea.” Indeed, "a legal profession was banned, as Plato makes plain in his Laws. All the </w:t>
      </w:r>
      <w:proofErr w:type="gramStart"/>
      <w:r>
        <w:rPr>
          <w:color w:val="000000" w:themeColor="text1"/>
        </w:rPr>
        <w:t>litigant</w:t>
      </w:r>
      <w:proofErr w:type="gramEnd"/>
      <w:r>
        <w:rPr>
          <w:color w:val="000000" w:themeColor="text1"/>
        </w:rPr>
        <w:t xml:space="preserve"> could do was to hire some orator to write out a speech for him to deliver.” The underlying philosophy was that “the laws, if put into writing, became the aid and possession of the many. With written laws, the humblest in the state is sure of equal justice with the great.”).</w:t>
      </w:r>
    </w:p>
  </w:footnote>
  <w:footnote w:id="337">
    <w:p w14:paraId="1727E001"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34, 41, 43 and accompanying text.</w:t>
      </w:r>
    </w:p>
  </w:footnote>
  <w:footnote w:id="338">
    <w:p w14:paraId="6FC939B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James A. Brundage, The Medieval Origins of the Legal Profession</w:t>
      </w:r>
      <w:r>
        <w:rPr>
          <w:color w:val="000000" w:themeColor="text1"/>
        </w:rPr>
        <w:t xml:space="preserve"> 28 (Univ. of Chicago Press 2008).</w:t>
      </w:r>
    </w:p>
  </w:footnote>
  <w:footnote w:id="339">
    <w:p w14:paraId="15B7160B" w14:textId="77777777" w:rsidR="00A405B1" w:rsidRPr="005B3E31" w:rsidRDefault="00A405B1" w:rsidP="00A405B1">
      <w:pPr>
        <w:pStyle w:val="FootnoteText"/>
        <w:spacing w:line="480" w:lineRule="auto"/>
      </w:pPr>
      <w:r>
        <w:rPr>
          <w:rStyle w:val="FootnoteReference"/>
        </w:rPr>
        <w:footnoteRef/>
      </w:r>
      <w:r>
        <w:t xml:space="preserve"> </w:t>
      </w:r>
      <w:r>
        <w:rPr>
          <w:i/>
          <w:iCs/>
        </w:rPr>
        <w:t>Id.</w:t>
      </w:r>
      <w:r>
        <w:t xml:space="preserve"> at 28. </w:t>
      </w:r>
    </w:p>
  </w:footnote>
  <w:footnote w:id="340">
    <w:p w14:paraId="2BD55646"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444.</w:t>
      </w:r>
    </w:p>
  </w:footnote>
  <w:footnote w:id="341">
    <w:p w14:paraId="325B90B3"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Leonard S. Goodman, </w:t>
      </w:r>
      <w:r>
        <w:rPr>
          <w:i/>
          <w:iCs/>
          <w:color w:val="000000" w:themeColor="text1"/>
        </w:rPr>
        <w:t>The Historic Role of the Oath of Admission</w:t>
      </w:r>
      <w:r>
        <w:rPr>
          <w:color w:val="000000" w:themeColor="text1"/>
        </w:rPr>
        <w:t xml:space="preserve">, 11 </w:t>
      </w:r>
      <w:r>
        <w:rPr>
          <w:smallCaps/>
          <w:color w:val="000000" w:themeColor="text1"/>
        </w:rPr>
        <w:t>Am. J. Legal Hist</w:t>
      </w:r>
      <w:r>
        <w:rPr>
          <w:color w:val="000000" w:themeColor="text1"/>
        </w:rPr>
        <w:t>. 404, 409, 411 (1967).</w:t>
      </w:r>
    </w:p>
  </w:footnote>
  <w:footnote w:id="342">
    <w:p w14:paraId="7DCAF1A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343">
    <w:p w14:paraId="6DA475B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w:t>
      </w:r>
      <w:r>
        <w:rPr>
          <w:i/>
          <w:smallCaps/>
          <w:color w:val="000000" w:themeColor="text1"/>
        </w:rPr>
        <w:t xml:space="preserve">, </w:t>
      </w:r>
      <w:r>
        <w:rPr>
          <w:iCs/>
          <w:smallCaps/>
          <w:color w:val="000000" w:themeColor="text1"/>
        </w:rPr>
        <w:t>The Anthropology of Law</w:t>
      </w:r>
      <w:r>
        <w:rPr>
          <w:iCs/>
          <w:color w:val="000000" w:themeColor="text1"/>
        </w:rPr>
        <w:t xml:space="preserve"> 143 (2013); </w:t>
      </w:r>
      <w:proofErr w:type="spellStart"/>
      <w:r>
        <w:rPr>
          <w:iCs/>
          <w:color w:val="000000" w:themeColor="text1"/>
        </w:rPr>
        <w:t>Comaroff</w:t>
      </w:r>
      <w:proofErr w:type="spellEnd"/>
      <w:r>
        <w:rPr>
          <w:iCs/>
          <w:color w:val="000000" w:themeColor="text1"/>
        </w:rPr>
        <w:t xml:space="preserve"> &amp; Roberts, infra note 382, at 108</w:t>
      </w:r>
      <w:r>
        <w:rPr>
          <w:color w:val="000000" w:themeColor="text1"/>
        </w:rPr>
        <w:fldChar w:fldCharType="begin"/>
      </w:r>
      <w:r>
        <w:rPr>
          <w:color w:val="000000" w:themeColor="text1"/>
        </w:rPr>
        <w:instrText xml:space="preserve"> NOTEREF _Ref218967994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p>
  </w:footnote>
  <w:footnote w:id="344">
    <w:p w14:paraId="5944F194"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McRitchue</w:t>
      </w:r>
      <w:proofErr w:type="spellEnd"/>
      <w:r>
        <w:rPr>
          <w:color w:val="000000" w:themeColor="text1"/>
        </w:rPr>
        <w:t xml:space="preserve"> v. </w:t>
      </w:r>
      <w:proofErr w:type="spellStart"/>
      <w:r>
        <w:rPr>
          <w:color w:val="000000" w:themeColor="text1"/>
        </w:rPr>
        <w:t>Zuckerverg</w:t>
      </w:r>
      <w:proofErr w:type="spellEnd"/>
      <w:r>
        <w:rPr>
          <w:smallCaps/>
          <w:color w:val="000000" w:themeColor="text1"/>
        </w:rPr>
        <w:t xml:space="preserve"> C.A. No. 2022-0890-jtl</w:t>
      </w:r>
      <w:r>
        <w:rPr>
          <w:color w:val="000000" w:themeColor="text1"/>
        </w:rPr>
        <w:t xml:space="preserve">. </w:t>
      </w:r>
    </w:p>
  </w:footnote>
  <w:footnote w:id="345">
    <w:p w14:paraId="44F49D99"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Peter T. Leeson, </w:t>
      </w:r>
      <w:r>
        <w:rPr>
          <w:i/>
          <w:iCs/>
          <w:color w:val="000000" w:themeColor="text1"/>
        </w:rPr>
        <w:t>Ordeals</w:t>
      </w:r>
      <w:r>
        <w:rPr>
          <w:color w:val="000000" w:themeColor="text1"/>
        </w:rPr>
        <w:t xml:space="preserve">, 55 </w:t>
      </w:r>
      <w:r>
        <w:rPr>
          <w:smallCaps/>
          <w:color w:val="000000" w:themeColor="text1"/>
        </w:rPr>
        <w:t>J.L. &amp; Econ</w:t>
      </w:r>
      <w:r>
        <w:rPr>
          <w:color w:val="000000" w:themeColor="text1"/>
        </w:rPr>
        <w:t>. 1, 31 (2012).</w:t>
      </w:r>
    </w:p>
  </w:footnote>
  <w:footnote w:id="346">
    <w:p w14:paraId="774EC075"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Pirie, supra note 21, </w:t>
      </w:r>
      <w:proofErr w:type="spellStart"/>
      <w:r>
        <w:rPr>
          <w:i/>
          <w:iCs/>
          <w:color w:val="000000" w:themeColor="text1"/>
        </w:rPr>
        <w:t>ch.</w:t>
      </w:r>
      <w:proofErr w:type="spellEnd"/>
      <w:r>
        <w:rPr>
          <w:i/>
          <w:iCs/>
          <w:color w:val="000000" w:themeColor="text1"/>
        </w:rPr>
        <w:t xml:space="preserve"> 11; Leeson, supra note 38, at 34</w:t>
      </w:r>
      <w:r>
        <w:rPr>
          <w:color w:val="000000" w:themeColor="text1"/>
        </w:rPr>
        <w:t xml:space="preserve"> (“In China, lawmakers “never prescribed oath-taking” nor “resort[ed] to ordeals”—viewing them as unnecessary compared to “judicial torture” which “extract[ed] confessions directly” to justify punishment; in post-1215 England, the reliance on divine signs was replaced by the “jury of presentment,” a system that shifted the “burden and moral responsibility for declaring guilt” onto twelve human neighbors who had to “decide on the question of [the accused’s] guilt” themselves–; and in Continental Europe, the decline of divine ordeals led to the development of the “inquisitorial process” and “judicial torture,” which allowed judges to “extract a confession” to satisfy the legal standard of “half-proof” without needing a sign from God”).</w:t>
      </w:r>
    </w:p>
  </w:footnote>
  <w:footnote w:id="347">
    <w:p w14:paraId="233A4C74"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348">
    <w:p w14:paraId="0E93D30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Carol R. Andrews, </w:t>
      </w:r>
      <w:r>
        <w:rPr>
          <w:i/>
          <w:iCs/>
          <w:color w:val="000000" w:themeColor="text1"/>
        </w:rPr>
        <w:t>The Lawyer's Oath: Both Ancient and Modern</w:t>
      </w:r>
      <w:r>
        <w:rPr>
          <w:color w:val="000000" w:themeColor="text1"/>
        </w:rPr>
        <w:t xml:space="preserve">, 22 </w:t>
      </w:r>
      <w:r>
        <w:rPr>
          <w:smallCaps/>
          <w:color w:val="000000" w:themeColor="text1"/>
        </w:rPr>
        <w:t>Geo. J. Legal Ethics</w:t>
      </w:r>
      <w:r>
        <w:rPr>
          <w:color w:val="000000" w:themeColor="text1"/>
        </w:rPr>
        <w:t xml:space="preserve"> 3, 4–5 (2009).</w:t>
      </w:r>
    </w:p>
  </w:footnote>
  <w:footnote w:id="349">
    <w:p w14:paraId="5813D264"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MM. </w:t>
      </w:r>
      <w:proofErr w:type="spellStart"/>
      <w:r>
        <w:rPr>
          <w:color w:val="000000" w:themeColor="text1"/>
        </w:rPr>
        <w:t>Coşgel</w:t>
      </w:r>
      <w:proofErr w:type="spellEnd"/>
      <w:r>
        <w:rPr>
          <w:color w:val="000000" w:themeColor="text1"/>
        </w:rPr>
        <w:t xml:space="preserve">, Thomas J. Miceli &amp; Emre </w:t>
      </w:r>
      <w:proofErr w:type="spellStart"/>
      <w:r>
        <w:rPr>
          <w:color w:val="000000" w:themeColor="text1"/>
        </w:rPr>
        <w:t>Özer</w:t>
      </w:r>
      <w:proofErr w:type="spellEnd"/>
      <w:r>
        <w:rPr>
          <w:color w:val="000000" w:themeColor="text1"/>
        </w:rPr>
        <w:t xml:space="preserve">, </w:t>
      </w:r>
      <w:r>
        <w:rPr>
          <w:i/>
          <w:iCs/>
          <w:color w:val="000000" w:themeColor="text1"/>
        </w:rPr>
        <w:t>Resolving Lawsuits with a Decisive Oath: An Economic Analysis</w:t>
      </w:r>
      <w:r>
        <w:rPr>
          <w:color w:val="000000" w:themeColor="text1"/>
        </w:rPr>
        <w:t xml:space="preserve">, 226 </w:t>
      </w:r>
      <w:r>
        <w:rPr>
          <w:smallCaps/>
          <w:color w:val="000000" w:themeColor="text1"/>
        </w:rPr>
        <w:t xml:space="preserve">J. Econ. </w:t>
      </w:r>
      <w:proofErr w:type="spellStart"/>
      <w:r>
        <w:rPr>
          <w:smallCaps/>
          <w:color w:val="000000" w:themeColor="text1"/>
        </w:rPr>
        <w:t>Behav</w:t>
      </w:r>
      <w:proofErr w:type="spellEnd"/>
      <w:r>
        <w:rPr>
          <w:smallCaps/>
          <w:color w:val="000000" w:themeColor="text1"/>
        </w:rPr>
        <w:t>. &amp; Org</w:t>
      </w:r>
      <w:r>
        <w:rPr>
          <w:color w:val="000000" w:themeColor="text1"/>
        </w:rPr>
        <w:t>. 106700, at 5–6 (2024).</w:t>
      </w:r>
    </w:p>
  </w:footnote>
  <w:footnote w:id="350">
    <w:p w14:paraId="0B7B232B" w14:textId="77777777" w:rsidR="00A405B1" w:rsidRPr="005B3E31" w:rsidRDefault="00A405B1" w:rsidP="00A405B1">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Carol Rice Andrews, </w:t>
      </w:r>
      <w:r>
        <w:rPr>
          <w:i/>
          <w:iCs/>
          <w:color w:val="000000" w:themeColor="text1"/>
          <w:sz w:val="20"/>
          <w:szCs w:val="20"/>
        </w:rPr>
        <w:t>The Lawyer’s Oath: Both Ancient and Modern</w:t>
      </w:r>
      <w:r>
        <w:rPr>
          <w:color w:val="000000" w:themeColor="text1"/>
          <w:sz w:val="20"/>
          <w:szCs w:val="20"/>
        </w:rPr>
        <w:t xml:space="preserve">, 22 </w:t>
      </w:r>
      <w:r>
        <w:rPr>
          <w:smallCaps/>
          <w:color w:val="000000" w:themeColor="text1"/>
          <w:sz w:val="20"/>
          <w:szCs w:val="20"/>
        </w:rPr>
        <w:t>Geo. J. Legal Ethics</w:t>
      </w:r>
      <w:r>
        <w:rPr>
          <w:color w:val="000000" w:themeColor="text1"/>
          <w:sz w:val="20"/>
          <w:szCs w:val="20"/>
        </w:rPr>
        <w:t xml:space="preserve"> 3, 36 (2009).</w:t>
      </w:r>
    </w:p>
  </w:footnote>
  <w:footnote w:id="351">
    <w:p w14:paraId="0E00DE20" w14:textId="77777777" w:rsidR="00A405B1" w:rsidRPr="005B3E31" w:rsidRDefault="00A405B1" w:rsidP="00A405B1">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Konstantinos D. </w:t>
      </w:r>
      <w:proofErr w:type="spellStart"/>
      <w:r>
        <w:rPr>
          <w:color w:val="000000" w:themeColor="text1"/>
          <w:sz w:val="20"/>
          <w:szCs w:val="20"/>
        </w:rPr>
        <w:t>Kerameus</w:t>
      </w:r>
      <w:proofErr w:type="spellEnd"/>
      <w:r>
        <w:rPr>
          <w:color w:val="000000" w:themeColor="text1"/>
          <w:sz w:val="20"/>
          <w:szCs w:val="20"/>
        </w:rPr>
        <w:t xml:space="preserve">, </w:t>
      </w:r>
      <w:r>
        <w:rPr>
          <w:i/>
          <w:iCs/>
          <w:color w:val="000000" w:themeColor="text1"/>
          <w:sz w:val="20"/>
          <w:szCs w:val="20"/>
        </w:rPr>
        <w:t>Judicial Organization and Civil Procedure, in</w:t>
      </w:r>
      <w:r>
        <w:rPr>
          <w:color w:val="000000" w:themeColor="text1"/>
          <w:sz w:val="20"/>
          <w:szCs w:val="20"/>
        </w:rPr>
        <w:t xml:space="preserve"> </w:t>
      </w:r>
      <w:r>
        <w:rPr>
          <w:smallCaps/>
          <w:color w:val="000000" w:themeColor="text1"/>
          <w:sz w:val="20"/>
          <w:szCs w:val="20"/>
        </w:rPr>
        <w:t>Introduction to Greek Law</w:t>
      </w:r>
      <w:r>
        <w:rPr>
          <w:color w:val="000000" w:themeColor="text1"/>
          <w:sz w:val="20"/>
          <w:szCs w:val="20"/>
        </w:rPr>
        <w:t xml:space="preserve"> 341, 353 (Konstantinos D. </w:t>
      </w:r>
      <w:proofErr w:type="spellStart"/>
      <w:r>
        <w:rPr>
          <w:color w:val="000000" w:themeColor="text1"/>
          <w:sz w:val="20"/>
          <w:szCs w:val="20"/>
        </w:rPr>
        <w:t>Kerameus</w:t>
      </w:r>
      <w:proofErr w:type="spellEnd"/>
      <w:r>
        <w:rPr>
          <w:color w:val="000000" w:themeColor="text1"/>
          <w:sz w:val="20"/>
          <w:szCs w:val="20"/>
        </w:rPr>
        <w:t xml:space="preserve"> &amp; </w:t>
      </w:r>
      <w:proofErr w:type="spellStart"/>
      <w:r>
        <w:rPr>
          <w:color w:val="000000" w:themeColor="text1"/>
          <w:sz w:val="20"/>
          <w:szCs w:val="20"/>
        </w:rPr>
        <w:t>Phaedon</w:t>
      </w:r>
      <w:proofErr w:type="spellEnd"/>
      <w:r>
        <w:rPr>
          <w:color w:val="000000" w:themeColor="text1"/>
          <w:sz w:val="20"/>
          <w:szCs w:val="20"/>
        </w:rPr>
        <w:t xml:space="preserve"> J. </w:t>
      </w:r>
      <w:proofErr w:type="spellStart"/>
      <w:r>
        <w:rPr>
          <w:color w:val="000000" w:themeColor="text1"/>
          <w:sz w:val="20"/>
          <w:szCs w:val="20"/>
        </w:rPr>
        <w:t>Kozyris</w:t>
      </w:r>
      <w:proofErr w:type="spellEnd"/>
      <w:r>
        <w:rPr>
          <w:color w:val="000000" w:themeColor="text1"/>
          <w:sz w:val="20"/>
          <w:szCs w:val="20"/>
        </w:rPr>
        <w:t xml:space="preserve"> eds., 3d ed. 2008).</w:t>
      </w:r>
    </w:p>
  </w:footnote>
  <w:footnote w:id="352">
    <w:p w14:paraId="52561943" w14:textId="77777777" w:rsidR="00A405B1" w:rsidRPr="005B3E31" w:rsidRDefault="00A405B1" w:rsidP="00A405B1">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Matthew R. Christ, The Litigious Athenian: Legal Excess in Ancient Democracy</w:t>
      </w:r>
      <w:r>
        <w:rPr>
          <w:color w:val="000000" w:themeColor="text1"/>
          <w:sz w:val="20"/>
          <w:szCs w:val="20"/>
        </w:rPr>
        <w:t xml:space="preserve"> 51, 59–60 (1998) (quoting Isocrates 20.14).</w:t>
      </w:r>
    </w:p>
  </w:footnote>
  <w:footnote w:id="353">
    <w:p w14:paraId="4C13FC8D"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Brundage, supra note 31, at 15</w:t>
      </w:r>
      <w:r>
        <w:rPr>
          <w:color w:val="000000" w:themeColor="text1"/>
        </w:rPr>
        <w:t>6.</w:t>
      </w:r>
    </w:p>
  </w:footnote>
  <w:footnote w:id="354">
    <w:p w14:paraId="35CC859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Weixia</w:t>
      </w:r>
      <w:proofErr w:type="spellEnd"/>
      <w:r>
        <w:rPr>
          <w:color w:val="000000" w:themeColor="text1"/>
        </w:rPr>
        <w:t xml:space="preserve"> Gu, </w:t>
      </w:r>
      <w:r>
        <w:rPr>
          <w:i/>
          <w:iCs/>
          <w:color w:val="000000" w:themeColor="text1"/>
        </w:rPr>
        <w:t xml:space="preserve">The Delicate Art of Med-Arb and Its Future </w:t>
      </w:r>
      <w:proofErr w:type="spellStart"/>
      <w:r>
        <w:rPr>
          <w:i/>
          <w:iCs/>
          <w:color w:val="000000" w:themeColor="text1"/>
        </w:rPr>
        <w:t>Institutionalisation</w:t>
      </w:r>
      <w:proofErr w:type="spellEnd"/>
      <w:r>
        <w:rPr>
          <w:i/>
          <w:iCs/>
          <w:color w:val="000000" w:themeColor="text1"/>
        </w:rPr>
        <w:t xml:space="preserve"> in China</w:t>
      </w:r>
      <w:r>
        <w:rPr>
          <w:smallCaps/>
          <w:color w:val="000000" w:themeColor="text1"/>
        </w:rPr>
        <w:t xml:space="preserve">, 31 </w:t>
      </w:r>
      <w:proofErr w:type="spellStart"/>
      <w:r>
        <w:rPr>
          <w:smallCaps/>
          <w:color w:val="000000" w:themeColor="text1"/>
        </w:rPr>
        <w:t>Ucla</w:t>
      </w:r>
      <w:proofErr w:type="spellEnd"/>
      <w:r>
        <w:rPr>
          <w:smallCaps/>
          <w:color w:val="000000" w:themeColor="text1"/>
        </w:rPr>
        <w:t xml:space="preserve"> Pac. Basin</w:t>
      </w:r>
      <w:r>
        <w:rPr>
          <w:color w:val="000000" w:themeColor="text1"/>
        </w:rPr>
        <w:t xml:space="preserve"> </w:t>
      </w:r>
      <w:r>
        <w:rPr>
          <w:smallCaps/>
          <w:color w:val="000000" w:themeColor="text1"/>
        </w:rPr>
        <w:t>L.J.</w:t>
      </w:r>
      <w:r>
        <w:rPr>
          <w:color w:val="000000" w:themeColor="text1"/>
        </w:rPr>
        <w:t xml:space="preserve"> 97, 98, 102–03 (2014).</w:t>
      </w:r>
    </w:p>
  </w:footnote>
  <w:footnote w:id="355">
    <w:p w14:paraId="022CC513"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Carlos de Vera, </w:t>
      </w:r>
      <w:r>
        <w:rPr>
          <w:i/>
          <w:iCs/>
          <w:color w:val="000000" w:themeColor="text1"/>
        </w:rPr>
        <w:t>Arbitrating Harmony: ‘Med-Arb’ and the Confluence of Culture and Rule of Law in the Resolution of International Commercial Disputes in China</w:t>
      </w:r>
      <w:r>
        <w:rPr>
          <w:color w:val="000000" w:themeColor="text1"/>
        </w:rPr>
        <w:t xml:space="preserve">, 18 </w:t>
      </w:r>
      <w:r>
        <w:rPr>
          <w:smallCaps/>
          <w:color w:val="000000" w:themeColor="text1"/>
        </w:rPr>
        <w:t>Colum. J. Asian L</w:t>
      </w:r>
      <w:r>
        <w:rPr>
          <w:color w:val="000000" w:themeColor="text1"/>
        </w:rPr>
        <w:t>. 149, 184 (2004).</w:t>
      </w:r>
    </w:p>
  </w:footnote>
  <w:footnote w:id="356">
    <w:p w14:paraId="0A9122A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Shahla</w:t>
      </w:r>
      <w:proofErr w:type="spellEnd"/>
      <w:r>
        <w:rPr>
          <w:color w:val="000000" w:themeColor="text1"/>
        </w:rPr>
        <w:t xml:space="preserve"> F. Ali, </w:t>
      </w:r>
      <w:r>
        <w:rPr>
          <w:i/>
          <w:iCs/>
          <w:color w:val="000000" w:themeColor="text1"/>
        </w:rPr>
        <w:t>The Jurisprudence of Responsive Mediation: An Empirical Examination of Chinese People's Mediation in Action</w:t>
      </w:r>
      <w:r>
        <w:rPr>
          <w:color w:val="000000" w:themeColor="text1"/>
        </w:rPr>
        <w:t xml:space="preserve">, 45 J. </w:t>
      </w:r>
      <w:r>
        <w:rPr>
          <w:smallCaps/>
          <w:color w:val="000000" w:themeColor="text1"/>
        </w:rPr>
        <w:t>Legal Pluralism &amp; Unofficial L</w:t>
      </w:r>
      <w:r>
        <w:rPr>
          <w:color w:val="000000" w:themeColor="text1"/>
        </w:rPr>
        <w:t>. 227, 241 (2013).</w:t>
      </w:r>
    </w:p>
  </w:footnote>
  <w:footnote w:id="357">
    <w:p w14:paraId="7CEA1ADB"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J.H. Baker, </w:t>
      </w:r>
      <w:r>
        <w:rPr>
          <w:i/>
          <w:iCs/>
          <w:color w:val="000000" w:themeColor="text1"/>
        </w:rPr>
        <w:t>From Lovedays to Commercial Arbitration, in</w:t>
      </w:r>
      <w:r>
        <w:rPr>
          <w:color w:val="000000" w:themeColor="text1"/>
        </w:rPr>
        <w:t xml:space="preserve"> </w:t>
      </w:r>
      <w:r>
        <w:rPr>
          <w:smallCaps/>
          <w:color w:val="000000" w:themeColor="text1"/>
        </w:rPr>
        <w:t>1 Collected Papers on English Legal History</w:t>
      </w:r>
      <w:r>
        <w:rPr>
          <w:color w:val="000000" w:themeColor="text1"/>
        </w:rPr>
        <w:t xml:space="preserve"> 432, 436 (Cambridge Univ. Press 2013).</w:t>
      </w:r>
    </w:p>
  </w:footnote>
  <w:footnote w:id="358">
    <w:p w14:paraId="3C15466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Stavros </w:t>
      </w:r>
      <w:proofErr w:type="spellStart"/>
      <w:r>
        <w:rPr>
          <w:color w:val="000000" w:themeColor="text1"/>
        </w:rPr>
        <w:t>Brekoulakis</w:t>
      </w:r>
      <w:proofErr w:type="spellEnd"/>
      <w:r>
        <w:rPr>
          <w:color w:val="000000" w:themeColor="text1"/>
        </w:rPr>
        <w:t xml:space="preserve">, </w:t>
      </w:r>
      <w:r>
        <w:rPr>
          <w:i/>
          <w:iCs/>
          <w:color w:val="000000" w:themeColor="text1"/>
        </w:rPr>
        <w:t xml:space="preserve">The Historical Treatment of Arbitration Under English Law and the Development of the Policy </w:t>
      </w:r>
      <w:proofErr w:type="spellStart"/>
      <w:r>
        <w:rPr>
          <w:i/>
          <w:iCs/>
          <w:color w:val="000000" w:themeColor="text1"/>
        </w:rPr>
        <w:t>Favouring</w:t>
      </w:r>
      <w:proofErr w:type="spellEnd"/>
      <w:r>
        <w:rPr>
          <w:i/>
          <w:iCs/>
          <w:color w:val="000000" w:themeColor="text1"/>
        </w:rPr>
        <w:t xml:space="preserve"> Arbitration</w:t>
      </w:r>
      <w:r>
        <w:rPr>
          <w:color w:val="000000" w:themeColor="text1"/>
        </w:rPr>
        <w:t xml:space="preserve">, 39 </w:t>
      </w:r>
      <w:r>
        <w:rPr>
          <w:smallCaps/>
          <w:color w:val="000000" w:themeColor="text1"/>
        </w:rPr>
        <w:t>Oxford J. Legal Stud</w:t>
      </w:r>
      <w:r>
        <w:rPr>
          <w:color w:val="000000" w:themeColor="text1"/>
        </w:rPr>
        <w:t>. 124, 125, 135 (2019).</w:t>
      </w:r>
    </w:p>
  </w:footnote>
  <w:footnote w:id="359">
    <w:p w14:paraId="3A082800"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John L. </w:t>
      </w:r>
      <w:proofErr w:type="spellStart"/>
      <w:r>
        <w:rPr>
          <w:smallCaps/>
          <w:color w:val="000000" w:themeColor="text1"/>
        </w:rPr>
        <w:t>Comaroff</w:t>
      </w:r>
      <w:proofErr w:type="spellEnd"/>
      <w:r>
        <w:rPr>
          <w:smallCaps/>
          <w:color w:val="000000" w:themeColor="text1"/>
        </w:rPr>
        <w:t> &amp; Simon Roberts, Rules and processes: The Cultural Logic of Dispute in an African Context</w:t>
      </w:r>
      <w:r>
        <w:rPr>
          <w:color w:val="000000" w:themeColor="text1"/>
        </w:rPr>
        <w:t xml:space="preserve"> 107–09 (Univ. Chi. Press 1981); Amy J. Cohen, </w:t>
      </w:r>
      <w:r>
        <w:rPr>
          <w:i/>
          <w:iCs/>
          <w:color w:val="000000" w:themeColor="text1"/>
        </w:rPr>
        <w:t>The Rise and Fall and Rise Again of Informal Justice and the Death of ADR</w:t>
      </w:r>
      <w:r>
        <w:rPr>
          <w:color w:val="000000" w:themeColor="text1"/>
        </w:rPr>
        <w:t xml:space="preserve">, 54 </w:t>
      </w:r>
      <w:r>
        <w:rPr>
          <w:smallCaps/>
          <w:color w:val="000000" w:themeColor="text1"/>
        </w:rPr>
        <w:t>Conn. L. Rev.</w:t>
      </w:r>
      <w:r>
        <w:rPr>
          <w:color w:val="000000" w:themeColor="text1"/>
        </w:rPr>
        <w:t xml:space="preserve"> 197, 208–09 (2022).</w:t>
      </w:r>
    </w:p>
  </w:footnote>
  <w:footnote w:id="360">
    <w:p w14:paraId="65F35E3E" w14:textId="755EF905"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V; </w:t>
      </w:r>
      <w:r>
        <w:rPr>
          <w:i/>
          <w:iCs/>
          <w:color w:val="000000" w:themeColor="text1"/>
        </w:rPr>
        <w:t>see supra</w:t>
      </w:r>
      <w:r>
        <w:rPr>
          <w:color w:val="000000" w:themeColor="text1"/>
        </w:rPr>
        <w:t xml:space="preserve"> Section II.</w:t>
      </w:r>
    </w:p>
  </w:footnote>
  <w:footnote w:id="361">
    <w:p w14:paraId="3CA6A100" w14:textId="77777777" w:rsidR="00FD62BC" w:rsidRPr="005B3E31" w:rsidRDefault="00FD62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E. Nelson, Dispute and Conflict Resolution in Plymouth County, Massachusetts</w:t>
      </w:r>
      <w:r>
        <w:rPr>
          <w:color w:val="000000" w:themeColor="text1"/>
        </w:rPr>
        <w:t xml:space="preserve">, 1725–1825, at </w:t>
      </w:r>
      <w:proofErr w:type="spellStart"/>
      <w:r>
        <w:rPr>
          <w:color w:val="000000" w:themeColor="text1"/>
        </w:rPr>
        <w:t>ch.</w:t>
      </w:r>
      <w:proofErr w:type="spellEnd"/>
      <w:r>
        <w:rPr>
          <w:color w:val="000000" w:themeColor="text1"/>
        </w:rPr>
        <w:t xml:space="preserve"> 2 (1981); </w:t>
      </w:r>
      <w:r>
        <w:rPr>
          <w:smallCaps/>
          <w:color w:val="000000" w:themeColor="text1"/>
        </w:rPr>
        <w:t>Peter Charles Hoffer, Law and People in Colonial America</w:t>
      </w:r>
      <w:r>
        <w:rPr>
          <w:color w:val="000000" w:themeColor="text1"/>
        </w:rPr>
        <w:t xml:space="preserve"> 47–62 (1992); Michael McManus &amp; Brianna Silverstein, </w:t>
      </w:r>
      <w:r>
        <w:rPr>
          <w:i/>
          <w:iCs/>
          <w:color w:val="000000" w:themeColor="text1"/>
        </w:rPr>
        <w:t>Brief History of Alternative Dispute Resolution in the United States</w:t>
      </w:r>
      <w:r>
        <w:rPr>
          <w:color w:val="000000" w:themeColor="text1"/>
        </w:rPr>
        <w:t>, 1 </w:t>
      </w:r>
      <w:r>
        <w:rPr>
          <w:smallCaps/>
          <w:color w:val="000000" w:themeColor="text1"/>
        </w:rPr>
        <w:t>Cadmus</w:t>
      </w:r>
      <w:r>
        <w:rPr>
          <w:color w:val="000000" w:themeColor="text1"/>
        </w:rPr>
        <w:t xml:space="preserve"> 100, 101 (2011); </w:t>
      </w:r>
      <w:r>
        <w:rPr>
          <w:i/>
          <w:iCs/>
          <w:color w:val="000000" w:themeColor="text1"/>
        </w:rPr>
        <w:t>see generally</w:t>
      </w:r>
      <w:r>
        <w:rPr>
          <w:color w:val="000000" w:themeColor="text1"/>
        </w:rPr>
        <w:t> </w:t>
      </w:r>
      <w:r>
        <w:rPr>
          <w:smallCaps/>
          <w:color w:val="000000" w:themeColor="text1"/>
        </w:rPr>
        <w:t>Jerold S. Auerbach,</w:t>
      </w:r>
      <w:r>
        <w:rPr>
          <w:color w:val="000000" w:themeColor="text1"/>
        </w:rPr>
        <w:t xml:space="preserve"> </w:t>
      </w:r>
      <w:r>
        <w:rPr>
          <w:smallCaps/>
          <w:color w:val="000000" w:themeColor="text1"/>
        </w:rPr>
        <w:t>Justice Without Law?</w:t>
      </w:r>
      <w:r>
        <w:rPr>
          <w:color w:val="000000" w:themeColor="text1"/>
        </w:rPr>
        <w:t xml:space="preserve"> 19–46 (1983); </w:t>
      </w:r>
      <w:r>
        <w:rPr>
          <w:smallCaps/>
          <w:color w:val="000000" w:themeColor="text1"/>
        </w:rPr>
        <w:t>Jaap Jacobs,</w:t>
      </w:r>
      <w:r>
        <w:rPr>
          <w:color w:val="000000" w:themeColor="text1"/>
        </w:rPr>
        <w:t xml:space="preserve"> </w:t>
      </w:r>
      <w:r>
        <w:rPr>
          <w:smallCaps/>
          <w:color w:val="000000" w:themeColor="text1"/>
        </w:rPr>
        <w:t>New Netherland: A Dutch Colony in Seventeenth-Century America</w:t>
      </w:r>
      <w:r>
        <w:rPr>
          <w:color w:val="000000" w:themeColor="text1"/>
        </w:rPr>
        <w:t xml:space="preserve"> 143–44, 168–69 (Brill 2005).</w:t>
      </w:r>
    </w:p>
  </w:footnote>
  <w:footnote w:id="362">
    <w:p w14:paraId="5F7B472E"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23–31; </w:t>
      </w:r>
      <w:r>
        <w:rPr>
          <w:smallCaps/>
          <w:color w:val="000000" w:themeColor="text1"/>
        </w:rPr>
        <w:t>Sumner Chilton Powell, Puritan Village: The Formation of a New England Town</w:t>
      </w:r>
      <w:r>
        <w:rPr>
          <w:color w:val="000000" w:themeColor="text1"/>
        </w:rPr>
        <w:t xml:space="preserve"> 81 (1963); </w:t>
      </w:r>
      <w:r>
        <w:rPr>
          <w:smallCaps/>
          <w:color w:val="000000" w:themeColor="text1"/>
        </w:rPr>
        <w:t>Bruce H. Mann, Neighbors and Strangers: Law and Community in Early Connecticut</w:t>
      </w:r>
      <w:r>
        <w:rPr>
          <w:color w:val="000000" w:themeColor="text1"/>
        </w:rPr>
        <w:t xml:space="preserve"> 2–19 (1987); Mark </w:t>
      </w:r>
      <w:proofErr w:type="spellStart"/>
      <w:r>
        <w:rPr>
          <w:color w:val="000000" w:themeColor="text1"/>
        </w:rPr>
        <w:t>McGarvie</w:t>
      </w:r>
      <w:proofErr w:type="spellEnd"/>
      <w:r>
        <w:rPr>
          <w:color w:val="000000" w:themeColor="text1"/>
        </w:rPr>
        <w:t xml:space="preserve"> &amp; Elizabeth Mensch, </w:t>
      </w:r>
      <w:r>
        <w:rPr>
          <w:i/>
          <w:iCs/>
          <w:color w:val="000000" w:themeColor="text1"/>
        </w:rPr>
        <w:t>Law and Religion in Colonial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324, 334, 336 (Michael Grossberg &amp; Christopher Tomlins eds., 2008) (“Before the 1670s most disputes were arbitrated by clergy and resolved on principles </w:t>
      </w:r>
    </w:p>
    <w:p w14:paraId="176699D0" w14:textId="77777777" w:rsidR="00453149" w:rsidRPr="005B3E31" w:rsidRDefault="00453149" w:rsidP="003D74D8">
      <w:pPr>
        <w:pStyle w:val="FootnoteText"/>
        <w:spacing w:line="480" w:lineRule="auto"/>
        <w:rPr>
          <w:color w:val="000000" w:themeColor="text1"/>
        </w:rPr>
      </w:pPr>
      <w:r>
        <w:rPr>
          <w:color w:val="000000" w:themeColor="text1"/>
        </w:rPr>
        <w:t>of equity and community norms, with the goal of preserving the integrity of the community. Puritans did not think that this communitarianism compromised individual liberty. Rather, they defined liberty as the freedom necessary to conform one’s life to God’s teachings. . . . Salem ended its persecutions with grave doubts about the efficacy of spectral evidence (visions and spiritual forms), bringing into question the extent to which law could fully incorporate religious belief.”).</w:t>
      </w:r>
    </w:p>
  </w:footnote>
  <w:footnote w:id="363">
    <w:p w14:paraId="56277BD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 L. Bushman, From Puritan to Yankee: Character and the Social Order in Connecticut</w:t>
      </w:r>
      <w:r>
        <w:rPr>
          <w:color w:val="000000" w:themeColor="text1"/>
        </w:rPr>
        <w:t xml:space="preserve">, 1690–1765 4, 10, 14–15 (1970); </w:t>
      </w:r>
      <w:r>
        <w:rPr>
          <w:i/>
          <w:iCs/>
          <w:color w:val="000000" w:themeColor="text1"/>
        </w:rPr>
        <w:t>see also</w:t>
      </w:r>
      <w:r>
        <w:rPr>
          <w:color w:val="000000" w:themeColor="text1"/>
        </w:rPr>
        <w:t xml:space="preserve"> Richard J. Ross, </w:t>
      </w:r>
      <w:r>
        <w:rPr>
          <w:i/>
          <w:iCs/>
          <w:color w:val="000000" w:themeColor="text1"/>
        </w:rPr>
        <w:t>Legal Communications and Imperial Governance: British North America and Spanish America Compared</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104, 139 (Michael Grossberg &amp; Christopher Tomlins eds., 2008) (“New England Congregationalists, Quakers, Dutch Reformed congregants, and German Pietists particularly encouraged co-religionists to settle disputes under the auspices of the church rather than in the state’s courts”).</w:t>
      </w:r>
    </w:p>
  </w:footnote>
  <w:footnote w:id="364">
    <w:p w14:paraId="43C667D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34, 38, 41;</w:t>
      </w:r>
      <w:r>
        <w:rPr>
          <w:smallCaps/>
          <w:color w:val="000000" w:themeColor="text1"/>
        </w:rPr>
        <w:t xml:space="preserve">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110–34;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118, 145–46. </w:t>
      </w:r>
    </w:p>
  </w:footnote>
  <w:footnote w:id="365">
    <w:p w14:paraId="2D8B0F5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Thomas </w:t>
      </w:r>
      <w:proofErr w:type="spellStart"/>
      <w:r>
        <w:rPr>
          <w:color w:val="000000" w:themeColor="text1"/>
        </w:rPr>
        <w:t>Konig</w:t>
      </w:r>
      <w:proofErr w:type="spellEnd"/>
      <w:r>
        <w:rPr>
          <w:color w:val="000000" w:themeColor="text1"/>
        </w:rPr>
        <w:t xml:space="preserve">, </w:t>
      </w:r>
      <w:r>
        <w:rPr>
          <w:i/>
          <w:iCs/>
          <w:color w:val="000000" w:themeColor="text1"/>
        </w:rPr>
        <w:t>Regionalism in Early American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144, 158–61 (Michael Grossberg &amp; Christopher Tomlins eds., 2008).</w:t>
      </w:r>
    </w:p>
  </w:footnote>
  <w:footnote w:id="366">
    <w:p w14:paraId="4AD8E4E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38, 208.</w:t>
      </w:r>
    </w:p>
  </w:footnote>
  <w:footnote w:id="367">
    <w:p w14:paraId="7DD18F3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26, 35–36; </w:t>
      </w:r>
      <w:r>
        <w:rPr>
          <w:i/>
          <w:iCs/>
          <w:color w:val="000000" w:themeColor="text1"/>
        </w:rPr>
        <w:t>see also</w:t>
      </w:r>
      <w:r>
        <w:rPr>
          <w:color w:val="000000" w:themeColor="text1"/>
        </w:rPr>
        <w:t> </w:t>
      </w:r>
      <w:proofErr w:type="spellStart"/>
      <w:r>
        <w:rPr>
          <w:color w:val="000000" w:themeColor="text1"/>
        </w:rPr>
        <w:t>Honestus</w:t>
      </w:r>
      <w:proofErr w:type="spellEnd"/>
      <w:r>
        <w:rPr>
          <w:color w:val="000000" w:themeColor="text1"/>
        </w:rPr>
        <w:t xml:space="preserve"> (Benjamin Austin), </w:t>
      </w:r>
      <w:r>
        <w:rPr>
          <w:i/>
          <w:iCs/>
          <w:color w:val="000000" w:themeColor="text1"/>
        </w:rPr>
        <w:t>Observations on the Pernicious Practice of the Law</w:t>
      </w:r>
      <w:r>
        <w:rPr>
          <w:color w:val="000000" w:themeColor="text1"/>
        </w:rPr>
        <w:t> (1786), </w:t>
      </w:r>
      <w:r>
        <w:rPr>
          <w:i/>
          <w:iCs/>
          <w:color w:val="000000" w:themeColor="text1"/>
        </w:rPr>
        <w:t>reprinted in</w:t>
      </w:r>
      <w:r>
        <w:rPr>
          <w:color w:val="000000" w:themeColor="text1"/>
        </w:rPr>
        <w:t> </w:t>
      </w:r>
      <w:r>
        <w:rPr>
          <w:smallCaps/>
          <w:color w:val="000000" w:themeColor="text1"/>
        </w:rPr>
        <w:t>Observations on the Pernicious Practice of the Law</w:t>
      </w:r>
      <w:r>
        <w:rPr>
          <w:color w:val="000000" w:themeColor="text1"/>
        </w:rPr>
        <w:t xml:space="preserve"> 4, 4–10 (Joshua Belcher ed., 1814); </w:t>
      </w:r>
      <w:r>
        <w:rPr>
          <w:smallCaps/>
          <w:color w:val="000000" w:themeColor="text1"/>
        </w:rPr>
        <w:t>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35–36, 149–155;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108, 145–46. </w:t>
      </w:r>
    </w:p>
  </w:footnote>
  <w:footnote w:id="368">
    <w:p w14:paraId="6B70E88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Konig</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_Ref222229128 \h  \* MERGEFORMAT </w:instrText>
      </w:r>
      <w:r>
        <w:rPr>
          <w:color w:val="000000" w:themeColor="text1"/>
        </w:rPr>
      </w:r>
      <w:r>
        <w:rPr>
          <w:color w:val="000000" w:themeColor="text1"/>
        </w:rPr>
        <w:fldChar w:fldCharType="separate"/>
      </w:r>
      <w:r>
        <w:rPr>
          <w:color w:val="000000" w:themeColor="text1"/>
        </w:rPr>
        <w:t>390</w:t>
      </w:r>
      <w:r>
        <w:rPr>
          <w:color w:val="000000" w:themeColor="text1"/>
        </w:rPr>
        <w:fldChar w:fldCharType="end"/>
      </w:r>
      <w:r>
        <w:rPr>
          <w:color w:val="000000" w:themeColor="text1"/>
        </w:rPr>
        <w:t>, at 163–64.</w:t>
      </w:r>
    </w:p>
  </w:footnote>
  <w:footnote w:id="369">
    <w:p w14:paraId="65958D49"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w:t>
      </w:r>
      <w:proofErr w:type="spellStart"/>
      <w:r>
        <w:rPr>
          <w:color w:val="000000" w:themeColor="text1"/>
        </w:rPr>
        <w:t>ch.</w:t>
      </w:r>
      <w:proofErr w:type="spellEnd"/>
      <w:r>
        <w:rPr>
          <w:color w:val="000000" w:themeColor="text1"/>
        </w:rPr>
        <w:t xml:space="preserve"> 12 (counted pp. 276, 278, 280–81).</w:t>
      </w:r>
    </w:p>
  </w:footnote>
  <w:footnote w:id="370">
    <w:p w14:paraId="355A084E"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generally </w:t>
      </w:r>
      <w:r>
        <w:rPr>
          <w:smallCaps/>
          <w:color w:val="000000" w:themeColor="text1"/>
        </w:rPr>
        <w:t>Morton J. Horwitz, The Transformation of American Law</w:t>
      </w:r>
      <w:r>
        <w:rPr>
          <w:color w:val="000000" w:themeColor="text1"/>
        </w:rPr>
        <w:t xml:space="preserve">, 1780–1860, </w:t>
      </w:r>
      <w:proofErr w:type="spellStart"/>
      <w:r>
        <w:rPr>
          <w:color w:val="000000" w:themeColor="text1"/>
        </w:rPr>
        <w:t>ch.</w:t>
      </w:r>
      <w:proofErr w:type="spellEnd"/>
      <w:r>
        <w:rPr>
          <w:color w:val="000000" w:themeColor="text1"/>
        </w:rPr>
        <w:t xml:space="preserve"> 5, at 140, 144, 150–55, 159 (1977); </w:t>
      </w:r>
      <w:r>
        <w:rPr>
          <w:i/>
          <w:iCs/>
          <w:color w:val="000000" w:themeColor="text1"/>
        </w:rPr>
        <w:t>see also</w:t>
      </w:r>
      <w:r>
        <w:rPr>
          <w:color w:val="000000" w:themeColor="text1"/>
        </w:rPr>
        <w:t xml:space="preserve"> De Hart v. </w:t>
      </w:r>
      <w:proofErr w:type="spellStart"/>
      <w:r>
        <w:rPr>
          <w:color w:val="000000" w:themeColor="text1"/>
        </w:rPr>
        <w:t>Covenhoven</w:t>
      </w:r>
      <w:proofErr w:type="spellEnd"/>
      <w:r>
        <w:rPr>
          <w:smallCaps/>
          <w:color w:val="000000" w:themeColor="text1"/>
        </w:rPr>
        <w:t xml:space="preserve">, </w:t>
      </w:r>
      <w:r>
        <w:rPr>
          <w:color w:val="000000" w:themeColor="text1"/>
        </w:rPr>
        <w:t>2 Johns. Cas. 402 (N.Y. Sup. Ct. 1801)</w:t>
      </w:r>
      <w:r>
        <w:rPr>
          <w:smallCaps/>
          <w:color w:val="000000" w:themeColor="text1"/>
        </w:rPr>
        <w:t>;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163–67. </w:t>
      </w:r>
    </w:p>
  </w:footnote>
  <w:footnote w:id="371">
    <w:p w14:paraId="59FD698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Curtis J. Milhaupt &amp; Katharina </w:t>
      </w:r>
      <w:proofErr w:type="spellStart"/>
      <w:r>
        <w:rPr>
          <w:smallCaps/>
          <w:color w:val="000000" w:themeColor="text1"/>
        </w:rPr>
        <w:t>Pistor</w:t>
      </w:r>
      <w:proofErr w:type="spellEnd"/>
      <w:r>
        <w:rPr>
          <w:smallCaps/>
          <w:color w:val="000000" w:themeColor="text1"/>
        </w:rPr>
        <w:t>, Law and Capitalism</w:t>
      </w:r>
      <w:r>
        <w:rPr>
          <w:color w:val="000000" w:themeColor="text1"/>
        </w:rPr>
        <w:t xml:space="preserve"> 184 (2008) (“In no other country are lawyers so entrepreneurial in seeking out new kinds of business, so eager to challenge authority, or so quick to propose new liability-expanding legal theories.” (quoting </w:t>
      </w:r>
      <w:r>
        <w:rPr>
          <w:smallCaps/>
          <w:color w:val="000000" w:themeColor="text1"/>
        </w:rPr>
        <w:t>Robert A. Kagan, Adversarial Legalism: The American Way of Law</w:t>
      </w:r>
      <w:r>
        <w:rPr>
          <w:color w:val="000000" w:themeColor="text1"/>
        </w:rPr>
        <w:t xml:space="preserve"> 8–9 (2001))); </w:t>
      </w:r>
      <w:r>
        <w:rPr>
          <w:i/>
          <w:iCs/>
          <w:color w:val="000000" w:themeColor="text1"/>
        </w:rPr>
        <w:t>id.</w:t>
      </w:r>
      <w:r>
        <w:rPr>
          <w:color w:val="000000" w:themeColor="text1"/>
        </w:rPr>
        <w:t xml:space="preserve"> (“Under pressure from the private bar, which greatly expanded its powers after World War II, courts increasingly recognized private rights of action . . . .” (citation and footnote omitted)); Marc Galanter, </w:t>
      </w:r>
      <w:r>
        <w:rPr>
          <w:i/>
          <w:iCs/>
          <w:color w:val="000000" w:themeColor="text1"/>
        </w:rPr>
        <w:t>Reading the Landscape of Disputes: What We Know and Don’t Know (and Think We Know) about Our Allegedly Contentious and Litigious Society</w:t>
      </w:r>
      <w:r>
        <w:rPr>
          <w:color w:val="000000" w:themeColor="text1"/>
        </w:rPr>
        <w:t xml:space="preserve">, 31 </w:t>
      </w:r>
      <w:r>
        <w:rPr>
          <w:smallCaps/>
          <w:color w:val="000000" w:themeColor="text1"/>
        </w:rPr>
        <w:t>UCLA L. Rev.</w:t>
      </w:r>
      <w:r>
        <w:rPr>
          <w:color w:val="000000" w:themeColor="text1"/>
        </w:rPr>
        <w:t xml:space="preserve"> 4, 49–51 (1983).</w:t>
      </w:r>
    </w:p>
  </w:footnote>
  <w:footnote w:id="372">
    <w:p w14:paraId="69C768E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Bruce H. Mann, </w:t>
      </w:r>
      <w:r>
        <w:rPr>
          <w:i/>
          <w:iCs/>
          <w:color w:val="000000" w:themeColor="text1"/>
        </w:rPr>
        <w:t>The Transformation of Law and Economy in Early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365, 373, 378, 390–91 (Michael Grossberg &amp; Christopher Tomlins eds., 2008).</w:t>
      </w:r>
    </w:p>
  </w:footnote>
  <w:footnote w:id="373">
    <w:p w14:paraId="220FD9C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Fonts w:eastAsiaTheme="majorEastAsia"/>
          <w:color w:val="000000" w:themeColor="text1"/>
        </w:rPr>
        <w:t xml:space="preserve"> at 378, 380.</w:t>
      </w:r>
    </w:p>
  </w:footnote>
  <w:footnote w:id="374">
    <w:p w14:paraId="55229729"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Mark </w:t>
      </w:r>
      <w:proofErr w:type="spellStart"/>
      <w:r>
        <w:rPr>
          <w:rFonts w:eastAsiaTheme="majorEastAsia"/>
          <w:color w:val="000000" w:themeColor="text1"/>
        </w:rPr>
        <w:t>McGarvie</w:t>
      </w:r>
      <w:proofErr w:type="spellEnd"/>
      <w:r>
        <w:rPr>
          <w:rFonts w:eastAsiaTheme="majorEastAsia"/>
          <w:color w:val="000000" w:themeColor="text1"/>
        </w:rPr>
        <w:t xml:space="preserve"> &amp; Elizabeth Mensch, </w:t>
      </w:r>
      <w:r>
        <w:rPr>
          <w:i/>
          <w:iCs/>
          <w:color w:val="000000" w:themeColor="text1"/>
        </w:rPr>
        <w:t>Law and Religion in Colonial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324, 329, 363 (Michael Grossberg &amp; Christopher Tomlins eds., 2008).</w:t>
      </w:r>
    </w:p>
  </w:footnote>
  <w:footnote w:id="375">
    <w:p w14:paraId="2B0DE101"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Claire Priest, </w:t>
      </w:r>
      <w:r>
        <w:rPr>
          <w:i/>
          <w:iCs/>
          <w:color w:val="000000" w:themeColor="text1"/>
        </w:rPr>
        <w:t>Law and Commerce, 1580–1815</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400, 433–34 (Michael Grossberg &amp; Christopher Tomlins eds., 2008).</w:t>
      </w:r>
    </w:p>
  </w:footnote>
  <w:footnote w:id="376">
    <w:p w14:paraId="4E7DA66C" w14:textId="77777777" w:rsidR="001A6B9B" w:rsidRPr="005B3E31" w:rsidRDefault="001A6B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A. Kagan, Adversarial Legalism</w:t>
      </w:r>
      <w:r>
        <w:rPr>
          <w:color w:val="000000" w:themeColor="text1"/>
        </w:rPr>
        <w:t xml:space="preserve"> 18 (2d ed. 2019); Giulia </w:t>
      </w:r>
      <w:proofErr w:type="spellStart"/>
      <w:r>
        <w:rPr>
          <w:color w:val="000000" w:themeColor="text1"/>
        </w:rPr>
        <w:t>Oskian</w:t>
      </w:r>
      <w:proofErr w:type="spellEnd"/>
      <w:r>
        <w:rPr>
          <w:color w:val="000000" w:themeColor="text1"/>
        </w:rPr>
        <w:t xml:space="preserve">, </w:t>
      </w:r>
      <w:r>
        <w:rPr>
          <w:i/>
          <w:iCs/>
          <w:color w:val="000000" w:themeColor="text1"/>
        </w:rPr>
        <w:t>Tocqueville and the Legal Culture of Jacksonian America</w:t>
      </w:r>
      <w:r>
        <w:rPr>
          <w:color w:val="000000" w:themeColor="text1"/>
        </w:rPr>
        <w:t xml:space="preserve">, 39 J. </w:t>
      </w:r>
      <w:r>
        <w:rPr>
          <w:smallCaps/>
          <w:color w:val="000000" w:themeColor="text1"/>
        </w:rPr>
        <w:t>Early Republic</w:t>
      </w:r>
      <w:r>
        <w:rPr>
          <w:color w:val="000000" w:themeColor="text1"/>
        </w:rPr>
        <w:t xml:space="preserve"> 135, 138 (2019). </w:t>
      </w:r>
    </w:p>
  </w:footnote>
  <w:footnote w:id="377">
    <w:p w14:paraId="45666CE1" w14:textId="77777777" w:rsidR="006D1A52" w:rsidRPr="005B3E31" w:rsidRDefault="006D1A52" w:rsidP="003D74D8">
      <w:pPr>
        <w:pStyle w:val="FootnoteText"/>
        <w:spacing w:line="480" w:lineRule="auto"/>
      </w:pPr>
      <w:r>
        <w:rPr>
          <w:rStyle w:val="FootnoteReference"/>
        </w:rPr>
        <w:footnoteRef/>
      </w:r>
      <w:r>
        <w:t xml:space="preserve"> </w:t>
      </w:r>
      <w:r>
        <w:rPr>
          <w:smallCaps/>
        </w:rPr>
        <w:t>Lawrence M. Friedman, A History of American Law</w:t>
      </w:r>
      <w:r>
        <w:rPr>
          <w:rStyle w:val="FootnoteReference"/>
        </w:rPr>
        <w:t xml:space="preserve"> 370</w:t>
      </w:r>
      <w:r>
        <w:t xml:space="preserve"> (4th ed. 2019) (“The history of American courts is thus also a history of events that passed them by. . . . The economy—industry and commerce—was exploding. A vast army of middle-class consumers used the law—used contracts, mortgages, deeds, sales on time, and other devices. The courts—slow, expensive, and relatively technical—could not meet the needs of economy and society.”). </w:t>
      </w:r>
    </w:p>
  </w:footnote>
  <w:footnote w:id="378">
    <w:p w14:paraId="056BBFF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409–12 and accompanying text. </w:t>
      </w:r>
    </w:p>
  </w:footnote>
  <w:footnote w:id="379">
    <w:p w14:paraId="11AF4FFA"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Griffiths, </w:t>
      </w:r>
      <w:r>
        <w:rPr>
          <w:i/>
          <w:iCs/>
          <w:color w:val="000000" w:themeColor="text1"/>
        </w:rPr>
        <w:t>What Is Legal Pluralism</w:t>
      </w:r>
      <w:r>
        <w:rPr>
          <w:color w:val="000000" w:themeColor="text1"/>
        </w:rPr>
        <w:t xml:space="preserve">, 24 J. </w:t>
      </w:r>
      <w:r>
        <w:rPr>
          <w:smallCaps/>
          <w:color w:val="000000" w:themeColor="text1"/>
        </w:rPr>
        <w:t>Legal Pluralism &amp; Unofficial L</w:t>
      </w:r>
      <w:r>
        <w:rPr>
          <w:color w:val="000000" w:themeColor="text1"/>
        </w:rPr>
        <w:t>. 1, 4 (1986).</w:t>
      </w:r>
    </w:p>
  </w:footnote>
  <w:footnote w:id="380">
    <w:p w14:paraId="0D9BF1F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w:t>
      </w:r>
      <w:r>
        <w:rPr>
          <w:smallCaps/>
          <w:color w:val="000000" w:themeColor="text1"/>
        </w:rPr>
        <w:t xml:space="preserve">Robert C. </w:t>
      </w:r>
      <w:proofErr w:type="spellStart"/>
      <w:r>
        <w:rPr>
          <w:smallCaps/>
          <w:color w:val="000000" w:themeColor="text1"/>
        </w:rPr>
        <w:t>Ellickson</w:t>
      </w:r>
      <w:proofErr w:type="spellEnd"/>
      <w:r>
        <w:rPr>
          <w:smallCaps/>
          <w:color w:val="000000" w:themeColor="text1"/>
        </w:rPr>
        <w:t>, Order Without Law: How Neighbors Settle Disputes</w:t>
      </w:r>
      <w:r>
        <w:rPr>
          <w:color w:val="000000" w:themeColor="text1"/>
        </w:rPr>
        <w:t xml:space="preserve"> </w:t>
      </w:r>
      <w:proofErr w:type="spellStart"/>
      <w:r>
        <w:rPr>
          <w:color w:val="000000" w:themeColor="text1"/>
        </w:rPr>
        <w:t>chs</w:t>
      </w:r>
      <w:proofErr w:type="spellEnd"/>
      <w:r>
        <w:rPr>
          <w:color w:val="000000" w:themeColor="text1"/>
        </w:rPr>
        <w:t>. 7–8 (1991).</w:t>
      </w:r>
    </w:p>
  </w:footnote>
  <w:footnote w:id="381">
    <w:p w14:paraId="329EDA97" w14:textId="77777777" w:rsidR="005324C4" w:rsidRPr="005B3E31" w:rsidRDefault="005324C4" w:rsidP="003D74D8">
      <w:pPr>
        <w:pStyle w:val="FootnoteText"/>
        <w:spacing w:line="480" w:lineRule="auto"/>
      </w:pPr>
      <w:r>
        <w:rPr>
          <w:rStyle w:val="FootnoteReference"/>
        </w:rPr>
        <w:footnoteRef/>
      </w:r>
      <w:r>
        <w:t xml:space="preserve"> Jerold S. Auerbach, Justice Without Law? 15 (1983).</w:t>
      </w:r>
    </w:p>
  </w:footnote>
  <w:footnote w:id="382">
    <w:p w14:paraId="1334935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Sally Falk Moore, </w:t>
      </w:r>
      <w:r>
        <w:rPr>
          <w:i/>
          <w:iCs/>
          <w:color w:val="000000" w:themeColor="text1"/>
        </w:rPr>
        <w:t>Law and Social Change: The Semi-Autonomous Social Field as an Appropriate Subject of Study</w:t>
      </w:r>
      <w:r>
        <w:rPr>
          <w:color w:val="000000" w:themeColor="text1"/>
        </w:rPr>
        <w:t xml:space="preserve">, 7 </w:t>
      </w:r>
      <w:r>
        <w:rPr>
          <w:smallCaps/>
          <w:color w:val="000000" w:themeColor="text1"/>
        </w:rPr>
        <w:t>L. &amp; Soc’y Rev</w:t>
      </w:r>
      <w:r>
        <w:rPr>
          <w:color w:val="000000" w:themeColor="text1"/>
        </w:rPr>
        <w:t xml:space="preserve">. 719, 720 (1973) (defining semi-autonomous social fields as possessing rule-making capacities and means to induce compliance while simultaneously existing within larger social matrices that can affect and invade them). </w:t>
      </w:r>
    </w:p>
  </w:footnote>
  <w:footnote w:id="383">
    <w:p w14:paraId="6306660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Ellickson</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_Ref214120963 \h  \* MERGEFORMAT </w:instrText>
      </w:r>
      <w:r>
        <w:rPr>
          <w:color w:val="000000" w:themeColor="text1"/>
        </w:rPr>
      </w:r>
      <w:r>
        <w:rPr>
          <w:color w:val="000000" w:themeColor="text1"/>
        </w:rPr>
        <w:fldChar w:fldCharType="separate"/>
      </w:r>
      <w:r>
        <w:rPr>
          <w:color w:val="000000" w:themeColor="text1"/>
        </w:rPr>
        <w:t>405</w:t>
      </w:r>
      <w:r>
        <w:rPr>
          <w:color w:val="000000" w:themeColor="text1"/>
        </w:rPr>
        <w:fldChar w:fldCharType="end"/>
      </w:r>
      <w:r>
        <w:rPr>
          <w:color w:val="000000" w:themeColor="text1"/>
        </w:rPr>
        <w:t xml:space="preserve">, at 251 (“[T]he reluctance to use law is not limited to remote rural areas.”);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22; Griffiths,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_Ref217240807 \h  \* MERGEFORMAT </w:instrText>
      </w:r>
      <w:r>
        <w:rPr>
          <w:color w:val="000000" w:themeColor="text1"/>
        </w:rPr>
      </w:r>
      <w:r>
        <w:rPr>
          <w:color w:val="000000" w:themeColor="text1"/>
        </w:rPr>
        <w:fldChar w:fldCharType="separate"/>
      </w:r>
      <w:r>
        <w:rPr>
          <w:color w:val="000000" w:themeColor="text1"/>
        </w:rPr>
        <w:t>404</w:t>
      </w:r>
      <w:r>
        <w:rPr>
          <w:color w:val="000000" w:themeColor="text1"/>
        </w:rPr>
        <w:fldChar w:fldCharType="end"/>
      </w:r>
      <w:r>
        <w:rPr>
          <w:color w:val="000000" w:themeColor="text1"/>
        </w:rPr>
        <w:t xml:space="preserve">, at 29; Nils Christie, </w:t>
      </w:r>
      <w:r>
        <w:rPr>
          <w:i/>
          <w:iCs/>
          <w:color w:val="000000" w:themeColor="text1"/>
        </w:rPr>
        <w:t>Conflicts as Property</w:t>
      </w:r>
      <w:r>
        <w:rPr>
          <w:color w:val="000000" w:themeColor="text1"/>
        </w:rPr>
        <w:t xml:space="preserve">, 17 </w:t>
      </w:r>
      <w:r>
        <w:rPr>
          <w:smallCaps/>
          <w:color w:val="000000" w:themeColor="text1"/>
        </w:rPr>
        <w:t>Brit. J. Criminology</w:t>
      </w:r>
      <w:r>
        <w:rPr>
          <w:color w:val="000000" w:themeColor="text1"/>
        </w:rPr>
        <w:t xml:space="preserve"> 1, 4 (1977); </w:t>
      </w:r>
      <w:r>
        <w:rPr>
          <w:i/>
          <w:iCs/>
          <w:color w:val="000000" w:themeColor="text1"/>
        </w:rPr>
        <w:t>see also</w:t>
      </w:r>
      <w:r>
        <w:rPr>
          <w:color w:val="000000" w:themeColor="text1"/>
        </w:rPr>
        <w:t xml:space="preserve"> Stewart Macaulay, </w:t>
      </w:r>
      <w:r>
        <w:rPr>
          <w:i/>
          <w:iCs/>
          <w:color w:val="000000" w:themeColor="text1"/>
        </w:rPr>
        <w:t>Non-Contractual Relations in Business: A Preliminary Study</w:t>
      </w:r>
      <w:r>
        <w:rPr>
          <w:color w:val="000000" w:themeColor="text1"/>
        </w:rPr>
        <w:t xml:space="preserve">, 28 </w:t>
      </w:r>
      <w:r>
        <w:rPr>
          <w:smallCaps/>
          <w:color w:val="000000" w:themeColor="text1"/>
        </w:rPr>
        <w:t>Am. Soc. Rev.</w:t>
      </w:r>
      <w:r>
        <w:rPr>
          <w:color w:val="000000" w:themeColor="text1"/>
        </w:rPr>
        <w:t xml:space="preserve"> 55, 58–63 (1963).</w:t>
      </w:r>
    </w:p>
  </w:footnote>
  <w:footnote w:id="384">
    <w:p w14:paraId="0785BF9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w:t>
      </w:r>
      <w:r>
        <w:rPr>
          <w:i/>
          <w:iCs/>
          <w:color w:val="000000" w:themeColor="text1"/>
        </w:rPr>
        <w:t>Justice in Many Rooms: Courts, Private Ordering, and Indigenous Law</w:t>
      </w:r>
      <w:r>
        <w:rPr>
          <w:color w:val="000000" w:themeColor="text1"/>
        </w:rPr>
        <w:t xml:space="preserve">, 19 J. </w:t>
      </w:r>
      <w:r>
        <w:rPr>
          <w:smallCaps/>
          <w:color w:val="000000" w:themeColor="text1"/>
        </w:rPr>
        <w:t>Legal Pluralism</w:t>
      </w:r>
      <w:r>
        <w:rPr>
          <w:color w:val="000000" w:themeColor="text1"/>
        </w:rPr>
        <w:t xml:space="preserve"> 1, 17–18 (1981) (“By indigenous law I refer not to some diffuse folk consciousness, but to concrete patterns of social ordering to be found in a variety of institutional settings—in universities, sports leagues, housing developments, hospitals, etc.”).</w:t>
      </w:r>
    </w:p>
  </w:footnote>
  <w:footnote w:id="385">
    <w:p w14:paraId="3113C68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334 (counted).</w:t>
      </w:r>
    </w:p>
  </w:footnote>
  <w:footnote w:id="386">
    <w:p w14:paraId="5EB48F4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6 (explaining how participants often devise more satisfactory solutions than professionals constrained by general rules due to variability of preferences and situations and the loss of meaning in transforming disputes into professional categories); </w:t>
      </w:r>
      <w:r>
        <w:rPr>
          <w:i/>
          <w:iCs/>
          <w:color w:val="000000" w:themeColor="text1"/>
        </w:rPr>
        <w:t>id.</w:t>
      </w:r>
      <w:r>
        <w:rPr>
          <w:color w:val="000000" w:themeColor="text1"/>
        </w:rPr>
        <w:t xml:space="preserve"> at 10 (describing how expense, remoteness, and overload of Courts transform their incapacity into regulatory authority exercised by other institutions through legal alchemy</w:t>
      </w:r>
      <w:proofErr w:type="gramStart"/>
      <w:r>
        <w:rPr>
          <w:color w:val="000000" w:themeColor="text1"/>
        </w:rPr>
        <w:t>);</w:t>
      </w:r>
      <w:proofErr w:type="gramEnd"/>
      <w:r>
        <w:rPr>
          <w:color w:val="000000" w:themeColor="text1"/>
        </w:rPr>
        <w:t xml:space="preserve"> </w:t>
      </w:r>
      <w:r>
        <w:rPr>
          <w:i/>
          <w:iCs/>
          <w:color w:val="000000" w:themeColor="text1"/>
        </w:rPr>
        <w:t>id.</w:t>
      </w:r>
      <w:r>
        <w:rPr>
          <w:color w:val="000000" w:themeColor="text1"/>
        </w:rPr>
        <w:t xml:space="preserve"> at 33–34 (explaining how chronic overcommitment of legal agencies results in massive covert delegation of power to decide which commitments to fulfill); Moore,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4–6 (describing how internally generated rules within semi-autonomous social fields often prove effectively stronger than new laws thrust upon existing social arrangements); Sally Engle Merry, </w:t>
      </w:r>
      <w:r>
        <w:rPr>
          <w:i/>
          <w:iCs/>
          <w:color w:val="000000" w:themeColor="text1"/>
        </w:rPr>
        <w:t>Legal Pluralism</w:t>
      </w:r>
      <w:r>
        <w:rPr>
          <w:color w:val="000000" w:themeColor="text1"/>
        </w:rPr>
        <w:t xml:space="preserve">, 22 L. &amp; </w:t>
      </w:r>
      <w:r>
        <w:rPr>
          <w:smallCaps/>
          <w:color w:val="000000" w:themeColor="text1"/>
        </w:rPr>
        <w:t>Soc’y Rev</w:t>
      </w:r>
      <w:r>
        <w:rPr>
          <w:color w:val="000000" w:themeColor="text1"/>
        </w:rPr>
        <w:t>. 869, 872–74 (1988) (analyzing the “new legal pluralism” and its application to “noncolonized societies, particularly to the advanced industrial countries of Europe and the United States”); Moore,</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725–29 (For instance, in the New York garment industry, despite formal contracts and extensive state regulation, jobbers, contractors, union agents, and workers maintain a dense web of reciprocal “fictive friendships,” gift exchanges, and moral obligations that effectively govern behavior and resolve conflicts outside the formal legal system); Bernstein,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412</w:t>
      </w:r>
      <w:r>
        <w:rPr>
          <w:color w:val="000000" w:themeColor="text1"/>
        </w:rPr>
        <w:fldChar w:fldCharType="end"/>
      </w:r>
      <w:r>
        <w:rPr>
          <w:color w:val="000000" w:themeColor="text1"/>
        </w:rPr>
        <w:t xml:space="preserve">, at 140;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347–48 (counted).</w:t>
      </w:r>
    </w:p>
  </w:footnote>
  <w:footnote w:id="387">
    <w:p w14:paraId="4FEA376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349–51 (counted); Lisa Bernstein, </w:t>
      </w:r>
      <w:r>
        <w:rPr>
          <w:i/>
          <w:iCs/>
          <w:color w:val="000000" w:themeColor="text1"/>
        </w:rPr>
        <w:t>Opting out of the Legal System: Extralegal Contractual Relations in the Diamond Industry</w:t>
      </w:r>
      <w:r>
        <w:rPr>
          <w:color w:val="000000" w:themeColor="text1"/>
        </w:rPr>
        <w:t xml:space="preserve">, 21 </w:t>
      </w:r>
      <w:r>
        <w:rPr>
          <w:smallCaps/>
          <w:color w:val="000000" w:themeColor="text1"/>
        </w:rPr>
        <w:t>J. Legal Stud</w:t>
      </w:r>
      <w:r>
        <w:rPr>
          <w:color w:val="000000" w:themeColor="text1"/>
        </w:rPr>
        <w:t>. 115, 117–19 (1992).</w:t>
      </w:r>
    </w:p>
  </w:footnote>
  <w:footnote w:id="388">
    <w:p w14:paraId="675CD16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Bernstein, </w:t>
      </w:r>
      <w:r>
        <w:rPr>
          <w:i/>
          <w:iCs/>
          <w:color w:val="000000" w:themeColor="text1"/>
        </w:rPr>
        <w:t>supra</w:t>
      </w:r>
      <w:r>
        <w:rPr>
          <w:color w:val="000000" w:themeColor="text1"/>
        </w:rPr>
        <w:t xml:space="preserve"> note 412, at 140, 156;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351 (counted).</w:t>
      </w:r>
    </w:p>
  </w:footnote>
  <w:footnote w:id="389">
    <w:p w14:paraId="6EDAF5F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Barak D. Richman, An Autopsy of Cooperation: Diamond Dealers and the Limits of Trust-Based Exchange, Journal of Legal Analysis, Volume 9, Issue 2</w:t>
      </w:r>
      <w:r>
        <w:rPr>
          <w:color w:val="000000" w:themeColor="text1"/>
        </w:rPr>
        <w:t xml:space="preserve"> 247–283 (2018); Barak D. Richman, </w:t>
      </w:r>
      <w:r>
        <w:rPr>
          <w:i/>
          <w:iCs/>
          <w:color w:val="000000" w:themeColor="text1"/>
        </w:rPr>
        <w:t>The Antitrust of Reputation Mechanisms: Institutional Economics and Concerted Refusals to Deal</w:t>
      </w:r>
      <w:r>
        <w:rPr>
          <w:color w:val="000000" w:themeColor="text1"/>
        </w:rPr>
        <w:t>, 95 </w:t>
      </w:r>
      <w:r>
        <w:rPr>
          <w:smallCaps/>
          <w:color w:val="000000" w:themeColor="text1"/>
        </w:rPr>
        <w:t>Va. L. Rev</w:t>
      </w:r>
      <w:r>
        <w:rPr>
          <w:i/>
          <w:iCs/>
          <w:smallCaps/>
          <w:color w:val="000000" w:themeColor="text1"/>
        </w:rPr>
        <w:t>.</w:t>
      </w:r>
      <w:r>
        <w:rPr>
          <w:color w:val="000000" w:themeColor="text1"/>
        </w:rPr>
        <w:t> 325–87 (2009).</w:t>
      </w:r>
    </w:p>
  </w:footnote>
  <w:footnote w:id="390">
    <w:p w14:paraId="611C28B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6–7 (1948).</w:t>
      </w:r>
    </w:p>
  </w:footnote>
  <w:footnote w:id="391">
    <w:p w14:paraId="10525EF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r>
        <w:rPr>
          <w:i/>
          <w:iCs/>
          <w:color w:val="000000" w:themeColor="text1"/>
        </w:rPr>
        <w:t>see also</w:t>
      </w:r>
      <w:r>
        <w:rPr>
          <w:color w:val="000000" w:themeColor="text1"/>
        </w:rPr>
        <w:t xml:space="preserve"> Alexander A. Reinert, </w:t>
      </w:r>
      <w:r>
        <w:rPr>
          <w:i/>
          <w:iCs/>
          <w:color w:val="000000" w:themeColor="text1"/>
        </w:rPr>
        <w:t>Screening Out Innovation: The Merits of Meritless Litigation</w:t>
      </w:r>
      <w:r>
        <w:rPr>
          <w:color w:val="000000" w:themeColor="text1"/>
        </w:rPr>
        <w:t xml:space="preserve">, 89 </w:t>
      </w:r>
      <w:r>
        <w:rPr>
          <w:smallCaps/>
          <w:color w:val="000000" w:themeColor="text1"/>
        </w:rPr>
        <w:t>Ind. L.J.</w:t>
      </w:r>
      <w:r>
        <w:rPr>
          <w:color w:val="000000" w:themeColor="text1"/>
        </w:rPr>
        <w:t xml:space="preserve"> 1191, 1191 (2014) (arguing that meritless, as distinct from frivolous, litigation “has a distinct and identifiable value”).</w:t>
      </w:r>
    </w:p>
  </w:footnote>
  <w:footnote w:id="392">
    <w:p w14:paraId="431271A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8.</w:t>
      </w:r>
    </w:p>
  </w:footnote>
  <w:footnote w:id="393">
    <w:p w14:paraId="359E6BBB" w14:textId="77777777" w:rsidR="00C30081" w:rsidRPr="005B3E31" w:rsidRDefault="00C30081" w:rsidP="003D74D8">
      <w:pPr>
        <w:pStyle w:val="FootnoteText"/>
        <w:spacing w:line="480" w:lineRule="auto"/>
      </w:pPr>
      <w:r>
        <w:rPr>
          <w:rStyle w:val="FootnoteReference"/>
        </w:rPr>
        <w:footnoteRef/>
      </w:r>
      <w:r>
        <w:t xml:space="preserve"> </w:t>
      </w:r>
      <w:r>
        <w:rPr>
          <w:smallCaps/>
        </w:rPr>
        <w:t>Hoffer</w:t>
      </w:r>
      <w:r>
        <w:t xml:space="preserve">, </w:t>
      </w:r>
      <w:r>
        <w:rPr>
          <w:i/>
          <w:iCs/>
        </w:rPr>
        <w:t>supra</w:t>
      </w:r>
      <w:r>
        <w:t xml:space="preserve"> note 386, at 64.</w:t>
      </w:r>
    </w:p>
  </w:footnote>
  <w:footnote w:id="394">
    <w:p w14:paraId="1997C5E5"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21.</w:t>
      </w:r>
    </w:p>
  </w:footnote>
  <w:footnote w:id="395">
    <w:p w14:paraId="6E8F9750"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 </w:t>
      </w:r>
      <w:r>
        <w:rPr>
          <w:i/>
          <w:iCs/>
          <w:color w:val="000000" w:themeColor="text1"/>
        </w:rPr>
        <w:t>see also</w:t>
      </w:r>
      <w:r>
        <w:rPr>
          <w:color w:val="000000" w:themeColor="text1"/>
        </w:rPr>
        <w:t xml:space="preserve"> Alfred S. </w:t>
      </w:r>
      <w:proofErr w:type="spellStart"/>
      <w:r>
        <w:rPr>
          <w:color w:val="000000" w:themeColor="text1"/>
        </w:rPr>
        <w:t>Konefsky</w:t>
      </w:r>
      <w:proofErr w:type="spellEnd"/>
      <w:r>
        <w:rPr>
          <w:color w:val="000000" w:themeColor="text1"/>
        </w:rPr>
        <w:t xml:space="preserve">, </w:t>
      </w:r>
      <w:r>
        <w:rPr>
          <w:i/>
          <w:iCs/>
          <w:color w:val="000000" w:themeColor="text1"/>
        </w:rPr>
        <w:t>The Legal Profession: From the Revolution to the Civil War</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Cambridge History of Law in America</w:t>
      </w:r>
      <w:r>
        <w:rPr>
          <w:color w:val="000000" w:themeColor="text1"/>
        </w:rPr>
        <w:t xml:space="preserve"> 68, 74 (Michael Grossberg &amp; Christopher Tomlins eds., 2008) (“Given that a lawyer’s job was to represent interests, the new republicanism dovetailed neatly with a professional norm that insisted on pursuing the best interests of clients in an adversarial environment. If the Constitution and the common law created a framework within which private interest had to be recognized, who better than lawyers to mediate between these interests by getting everyone to play by the rules, by laws, and by procedures so that social order and not chaos would ensue? The problem, of course, was that lawyers could be accused of fomenting private disputes for their own personal gain and of tearing at the fiber of society, rather than preserving it. The lawyers’ response was that they were only representing the interests that the country’s constitutions recognized and that they would be shirking their republican responsibilities if they did not participate in the system of resolving disputes that helped preserve the rule of law. There was public virtue in representing the interests of others.”).</w:t>
      </w:r>
    </w:p>
  </w:footnote>
  <w:footnote w:id="396">
    <w:p w14:paraId="15ACCFF3"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James A. </w:t>
      </w:r>
      <w:proofErr w:type="spellStart"/>
      <w:r>
        <w:rPr>
          <w:i/>
          <w:iCs/>
          <w:color w:val="000000" w:themeColor="text1"/>
        </w:rPr>
        <w:t>Henretta</w:t>
      </w:r>
      <w:proofErr w:type="spellEnd"/>
      <w:r>
        <w:rPr>
          <w:i/>
          <w:iCs/>
          <w:color w:val="000000" w:themeColor="text1"/>
        </w:rPr>
        <w:t>,</w:t>
      </w:r>
      <w:r>
        <w:rPr>
          <w:color w:val="000000" w:themeColor="text1"/>
        </w:rPr>
        <w:t xml:space="preserve"> </w:t>
      </w:r>
      <w:r>
        <w:rPr>
          <w:i/>
          <w:iCs/>
          <w:color w:val="000000" w:themeColor="text1"/>
        </w:rPr>
        <w:t>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563, 570 (Michael Grossberg &amp; Christopher Tomlins eds., 2008).</w:t>
      </w:r>
    </w:p>
  </w:footnote>
  <w:footnote w:id="397">
    <w:p w14:paraId="21B268B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Mark R. Wilson, </w:t>
      </w:r>
      <w:r>
        <w:rPr>
          <w:i/>
          <w:iCs/>
          <w:color w:val="000000" w:themeColor="text1"/>
        </w:rPr>
        <w:t>Law and the American State,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 18–19, 29–30 (Michael Grossberg &amp; Christopher Tomlins eds., 2008).</w:t>
      </w:r>
    </w:p>
  </w:footnote>
  <w:footnote w:id="398">
    <w:p w14:paraId="5468A466"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Kermit L. Hall, </w:t>
      </w:r>
      <w:r>
        <w:rPr>
          <w:i/>
          <w:iCs/>
          <w:color w:val="000000" w:themeColor="text1"/>
        </w:rPr>
        <w:t>The Courts, 1790–1920</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106, 107–08 (Michael Grossberg &amp; Christopher Tomlins eds., 2008); </w:t>
      </w:r>
      <w:r>
        <w:rPr>
          <w:rStyle w:val="ng-star-inserted"/>
          <w:rFonts w:eastAsiaTheme="majorEastAsia"/>
          <w:smallCaps/>
          <w:color w:val="000000" w:themeColor="text1"/>
        </w:rPr>
        <w:t>Auerbach</w:t>
      </w:r>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386, at 41.</w:t>
      </w:r>
    </w:p>
  </w:footnote>
  <w:footnote w:id="399">
    <w:p w14:paraId="4D77CE6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color w:val="000000" w:themeColor="text1"/>
        </w:rPr>
        <w:t>T</w:t>
      </w:r>
      <w:r>
        <w:rPr>
          <w:rStyle w:val="ng-star-inserted"/>
          <w:rFonts w:eastAsiaTheme="majorEastAsia"/>
          <w:color w:val="000000" w:themeColor="text1"/>
        </w:rPr>
        <w:t xml:space="preserve">ony A.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Legal Innovation and Market Capitalism,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449, 459–60 (Michael Grossberg &amp; Christopher Tomlins eds., 2008).</w:t>
      </w:r>
    </w:p>
  </w:footnote>
  <w:footnote w:id="400">
    <w:p w14:paraId="0836D842" w14:textId="77777777" w:rsidR="00453149" w:rsidRPr="005B3E31" w:rsidRDefault="00453149" w:rsidP="003D74D8">
      <w:pPr>
        <w:pStyle w:val="FootnoteText"/>
        <w:tabs>
          <w:tab w:val="left" w:pos="8460"/>
        </w:tabs>
        <w:spacing w:line="480" w:lineRule="auto"/>
        <w:rPr>
          <w:color w:val="000000" w:themeColor="text1"/>
        </w:rPr>
      </w:pPr>
      <w:r>
        <w:rPr>
          <w:rStyle w:val="FootnoteReference"/>
          <w:color w:val="000000" w:themeColor="text1"/>
        </w:rPr>
        <w:footnoteRef/>
      </w:r>
      <w:r>
        <w:rPr>
          <w:color w:val="000000" w:themeColor="text1"/>
        </w:rPr>
        <w:t xml:space="preserve"> Geoffrey Swenson, </w:t>
      </w:r>
      <w:r>
        <w:rPr>
          <w:i/>
          <w:iCs/>
          <w:color w:val="000000" w:themeColor="text1"/>
        </w:rPr>
        <w:t>Legal Pluralism in Theory and Practice</w:t>
      </w:r>
      <w:r>
        <w:rPr>
          <w:color w:val="000000" w:themeColor="text1"/>
        </w:rPr>
        <w:t xml:space="preserve">, 20 </w:t>
      </w:r>
      <w:r>
        <w:rPr>
          <w:smallCaps/>
          <w:color w:val="000000" w:themeColor="text1"/>
        </w:rPr>
        <w:t xml:space="preserve">Int’l </w:t>
      </w:r>
      <w:proofErr w:type="gramStart"/>
      <w:r>
        <w:rPr>
          <w:smallCaps/>
          <w:color w:val="000000" w:themeColor="text1"/>
        </w:rPr>
        <w:t>Stud</w:t>
      </w:r>
      <w:proofErr w:type="gramEnd"/>
      <w:r>
        <w:rPr>
          <w:smallCaps/>
          <w:color w:val="000000" w:themeColor="text1"/>
        </w:rPr>
        <w:t>. Rev</w:t>
      </w:r>
      <w:r>
        <w:rPr>
          <w:color w:val="000000" w:themeColor="text1"/>
        </w:rPr>
        <w:t xml:space="preserve">. 438, 445 (2018) (“Legal pluralism does not disappear in a state with a high-capacity, effective legal system, but it is complementary.”); </w:t>
      </w:r>
      <w:proofErr w:type="spellStart"/>
      <w:r>
        <w:rPr>
          <w:color w:val="000000" w:themeColor="text1"/>
        </w:rPr>
        <w:t>Henretta</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_Ref222230254 \h  \* MERGEFORMAT </w:instrText>
      </w:r>
      <w:r>
        <w:rPr>
          <w:color w:val="000000" w:themeColor="text1"/>
        </w:rPr>
      </w:r>
      <w:r>
        <w:rPr>
          <w:color w:val="000000" w:themeColor="text1"/>
        </w:rPr>
        <w:fldChar w:fldCharType="separate"/>
      </w:r>
      <w:r>
        <w:rPr>
          <w:color w:val="000000" w:themeColor="text1"/>
        </w:rPr>
        <w:t>421</w:t>
      </w:r>
      <w:r>
        <w:rPr>
          <w:color w:val="000000" w:themeColor="text1"/>
        </w:rPr>
        <w:fldChar w:fldCharType="end"/>
      </w:r>
      <w:r>
        <w:rPr>
          <w:color w:val="000000" w:themeColor="text1"/>
        </w:rPr>
        <w:t xml:space="preserve">, at 555, 563; </w:t>
      </w:r>
      <w:r>
        <w:rPr>
          <w:smallCaps/>
          <w:color w:val="000000" w:themeColor="text1"/>
        </w:rPr>
        <w:t>David Sehat, This Earthly Frame: The Making of American Secularism</w:t>
      </w:r>
      <w:r>
        <w:rPr>
          <w:color w:val="000000" w:themeColor="text1"/>
        </w:rPr>
        <w:t xml:space="preserve"> 25 (2022).</w:t>
      </w:r>
    </w:p>
  </w:footnote>
  <w:footnote w:id="401">
    <w:p w14:paraId="3B13195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Hugh C. </w:t>
      </w:r>
      <w:proofErr w:type="spellStart"/>
      <w:r>
        <w:rPr>
          <w:rStyle w:val="ng-star-inserted"/>
          <w:rFonts w:eastAsiaTheme="majorEastAsia"/>
          <w:color w:val="000000" w:themeColor="text1"/>
        </w:rPr>
        <w:t>MacGill</w:t>
      </w:r>
      <w:proofErr w:type="spellEnd"/>
      <w:r>
        <w:rPr>
          <w:rStyle w:val="ng-star-inserted"/>
          <w:rFonts w:eastAsiaTheme="majorEastAsia"/>
          <w:color w:val="000000" w:themeColor="text1"/>
        </w:rPr>
        <w:t xml:space="preserve"> &amp; R. Kent </w:t>
      </w:r>
      <w:proofErr w:type="spellStart"/>
      <w:r>
        <w:rPr>
          <w:rStyle w:val="ng-star-inserted"/>
          <w:rFonts w:eastAsiaTheme="majorEastAsia"/>
          <w:color w:val="000000" w:themeColor="text1"/>
        </w:rPr>
        <w:t>Newmyer</w:t>
      </w:r>
      <w:proofErr w:type="spellEnd"/>
      <w:r>
        <w:rPr>
          <w:rStyle w:val="ng-star-inserted"/>
          <w:rFonts w:eastAsiaTheme="majorEastAsia"/>
          <w:color w:val="000000" w:themeColor="text1"/>
        </w:rPr>
        <w:t xml:space="preserve">, </w:t>
      </w:r>
      <w:r>
        <w:rPr>
          <w:i/>
          <w:iCs/>
          <w:color w:val="000000" w:themeColor="text1"/>
        </w:rPr>
        <w:t>Legal Education and Legal Thought,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36, 43–44 (Michael Grossberg &amp; Christopher Tomlins eds., 2008)</w:t>
      </w:r>
    </w:p>
  </w:footnote>
  <w:footnote w:id="402">
    <w:p w14:paraId="66C015B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41; Alfred S.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The Legal Profession: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68, 82 (Michael Grossberg &amp; Christopher Tomlins eds., 2008)</w:t>
      </w:r>
    </w:p>
  </w:footnote>
  <w:footnote w:id="403">
    <w:p w14:paraId="720EEC8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75–76;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at 450.</w:t>
      </w:r>
    </w:p>
  </w:footnote>
  <w:footnote w:id="404">
    <w:p w14:paraId="419483A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at 76, 96.</w:t>
      </w:r>
    </w:p>
  </w:footnote>
  <w:footnote w:id="405">
    <w:p w14:paraId="798AA51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rStyle w:val="ng-star-inserted"/>
          <w:rFonts w:eastAsiaTheme="majorEastAsia"/>
          <w:color w:val="000000" w:themeColor="text1"/>
        </w:rPr>
        <w:t xml:space="preserve"> </w:t>
      </w:r>
      <w:r>
        <w:rPr>
          <w:rStyle w:val="ng-star-inserted"/>
          <w:rFonts w:eastAsiaTheme="majorEastAsia"/>
          <w:smallCaps/>
          <w:color w:val="000000" w:themeColor="text1"/>
        </w:rPr>
        <w:t xml:space="preserve">Frances Kellor, </w:t>
      </w:r>
      <w:r>
        <w:rPr>
          <w:smallCaps/>
          <w:color w:val="000000" w:themeColor="text1"/>
        </w:rPr>
        <w:t>American Arbitration: Its History, Functions and Achievements</w:t>
      </w:r>
      <w:r>
        <w:rPr>
          <w:rStyle w:val="ng-star-inserted"/>
          <w:rFonts w:eastAsiaTheme="majorEastAsia"/>
          <w:color w:val="000000" w:themeColor="text1"/>
        </w:rPr>
        <w:t xml:space="preserve"> </w:t>
      </w:r>
      <w:r>
        <w:rPr>
          <w:rStyle w:val="ng-star-inserted"/>
          <w:color w:val="000000" w:themeColor="text1"/>
        </w:rPr>
        <w:t>5, 8</w:t>
      </w:r>
      <w:r>
        <w:rPr>
          <w:rStyle w:val="ng-star-inserted"/>
          <w:rFonts w:eastAsiaTheme="majorEastAsia"/>
          <w:color w:val="000000" w:themeColor="text1"/>
        </w:rPr>
        <w:t xml:space="preserve"> (1948</w:t>
      </w:r>
      <w:r>
        <w:rPr>
          <w:rStyle w:val="ng-star-inserted"/>
          <w:color w:val="000000" w:themeColor="text1"/>
        </w:rPr>
        <w:t>).</w:t>
      </w:r>
    </w:p>
  </w:footnote>
  <w:footnote w:id="406">
    <w:p w14:paraId="56ECF30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 Stone, </w:t>
      </w:r>
      <w:r>
        <w:rPr>
          <w:i/>
          <w:iCs/>
          <w:color w:val="000000" w:themeColor="text1"/>
        </w:rPr>
        <w:t>infra</w:t>
      </w:r>
      <w:r>
        <w:rPr>
          <w:rStyle w:val="ng-star-inserted"/>
          <w:rFonts w:eastAsiaTheme="majorEastAsia"/>
          <w:color w:val="000000" w:themeColor="text1"/>
        </w:rPr>
        <w:t xml:space="preserve"> note 463, at 971 (New York Chamber of Commerce arbitration system, 1768).</w:t>
      </w:r>
    </w:p>
  </w:footnote>
  <w:footnote w:id="407">
    <w:p w14:paraId="5B34DEF6"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75, 82, 97.</w:t>
      </w:r>
    </w:p>
  </w:footnote>
  <w:footnote w:id="408">
    <w:p w14:paraId="165A67C6"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49–52; </w:t>
      </w:r>
      <w:r>
        <w:rPr>
          <w:smallCaps/>
          <w:color w:val="000000" w:themeColor="text1"/>
        </w:rPr>
        <w:t>Amalia D. Kessler, Inventing American Exceptionalism: The Origins of American Adversarial Legal Culture, 1800–1877</w:t>
      </w:r>
      <w:r>
        <w:rPr>
          <w:color w:val="000000" w:themeColor="text1"/>
        </w:rPr>
        <w:t xml:space="preserve"> at 271–75 (2017); </w:t>
      </w:r>
      <w:r>
        <w:rPr>
          <w:smallCaps/>
          <w:color w:val="000000" w:themeColor="text1"/>
        </w:rPr>
        <w:t xml:space="preserve">Edwin Brown </w:t>
      </w:r>
      <w:proofErr w:type="spellStart"/>
      <w:r>
        <w:rPr>
          <w:smallCaps/>
          <w:color w:val="000000" w:themeColor="text1"/>
        </w:rPr>
        <w:t>Firmage</w:t>
      </w:r>
      <w:proofErr w:type="spellEnd"/>
      <w:r>
        <w:rPr>
          <w:smallCaps/>
          <w:color w:val="000000" w:themeColor="text1"/>
        </w:rPr>
        <w:t xml:space="preserve"> &amp; Richard Collin Mangrum, Zion in the Courts: A Legal History of the Church of Jesus Christ of Latter-day Saints</w:t>
      </w:r>
      <w:r>
        <w:rPr>
          <w:i/>
          <w:iCs/>
          <w:smallCaps/>
          <w:color w:val="000000" w:themeColor="text1"/>
        </w:rPr>
        <w:t xml:space="preserve">, </w:t>
      </w:r>
      <w:r>
        <w:rPr>
          <w:smallCaps/>
          <w:color w:val="000000" w:themeColor="text1"/>
        </w:rPr>
        <w:t>1830–1900</w:t>
      </w:r>
      <w:r>
        <w:rPr>
          <w:color w:val="000000" w:themeColor="text1"/>
        </w:rPr>
        <w:t xml:space="preserve"> at 13 (1988).</w:t>
      </w:r>
    </w:p>
  </w:footnote>
  <w:footnote w:id="409">
    <w:p w14:paraId="254BD9B1"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 53–54; </w:t>
      </w:r>
      <w:r>
        <w:rPr>
          <w:smallCaps/>
          <w:color w:val="000000" w:themeColor="text1"/>
        </w:rPr>
        <w:t>Laura F. Edwards, The People and Their Peace: Legal Culture and the Transformation of Inequality in the Post-Revolutionary South</w:t>
      </w:r>
      <w:r>
        <w:rPr>
          <w:i/>
          <w:iCs/>
          <w:color w:val="000000" w:themeColor="text1"/>
        </w:rPr>
        <w:t xml:space="preserve"> </w:t>
      </w:r>
      <w:r>
        <w:rPr>
          <w:color w:val="000000" w:themeColor="text1"/>
        </w:rPr>
        <w:t>67–69 (2009).</w:t>
      </w:r>
    </w:p>
  </w:footnote>
  <w:footnote w:id="410">
    <w:p w14:paraId="69EB2F12" w14:textId="77777777"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Barringer Gordon, </w:t>
      </w:r>
      <w:r>
        <w:rPr>
          <w:i/>
          <w:iCs/>
          <w:color w:val="000000" w:themeColor="text1"/>
        </w:rPr>
        <w:t>Law and Religion</w:t>
      </w:r>
      <w:r>
        <w:rPr>
          <w:color w:val="000000" w:themeColor="text1"/>
        </w:rPr>
        <w:t xml:space="preserve">, 1790–1920, in 2 </w:t>
      </w:r>
      <w:r>
        <w:rPr>
          <w:smallCaps/>
          <w:color w:val="000000" w:themeColor="text1"/>
        </w:rPr>
        <w:t>The Cambridge History of Law in America</w:t>
      </w:r>
      <w:r>
        <w:rPr>
          <w:color w:val="000000" w:themeColor="text1"/>
        </w:rPr>
        <w:t xml:space="preserve"> 417, 421–22, 437–38 (Michael Grossberg &amp; Christopher Tomlins eds., 2008).</w:t>
      </w:r>
    </w:p>
  </w:footnote>
  <w:footnote w:id="411">
    <w:p w14:paraId="7E79A239" w14:textId="77777777"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449, 463.</w:t>
      </w:r>
    </w:p>
  </w:footnote>
  <w:footnote w:id="412">
    <w:p w14:paraId="1B515900"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82, 100–01.</w:t>
      </w:r>
    </w:p>
  </w:footnote>
  <w:footnote w:id="413">
    <w:p w14:paraId="1AD004E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101–02.</w:t>
      </w:r>
    </w:p>
  </w:footnote>
  <w:footnote w:id="414">
    <w:p w14:paraId="39580833"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L. Shaffer, </w:t>
      </w:r>
      <w:r>
        <w:rPr>
          <w:i/>
          <w:iCs/>
          <w:color w:val="000000" w:themeColor="text1"/>
        </w:rPr>
        <w:t>David Hoffman’s Law School Lectures, 1822–1833</w:t>
      </w:r>
      <w:r>
        <w:rPr>
          <w:color w:val="000000" w:themeColor="text1"/>
        </w:rPr>
        <w:t xml:space="preserve">, 32 </w:t>
      </w:r>
      <w:r>
        <w:rPr>
          <w:smallCaps/>
          <w:color w:val="000000" w:themeColor="text1"/>
        </w:rPr>
        <w:t>J. Legal Educ</w:t>
      </w:r>
      <w:r>
        <w:rPr>
          <w:color w:val="000000" w:themeColor="text1"/>
        </w:rPr>
        <w:t>. 127, 127 (1982).</w:t>
      </w:r>
    </w:p>
  </w:footnote>
  <w:footnote w:id="415">
    <w:p w14:paraId="013F6BEA"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 xml:space="preserve">100–01; </w:t>
      </w:r>
      <w:r>
        <w:rPr>
          <w:smallCaps/>
          <w:color w:val="000000" w:themeColor="text1"/>
        </w:rPr>
        <w:t xml:space="preserve">David </w:t>
      </w:r>
      <w:proofErr w:type="spellStart"/>
      <w:r>
        <w:rPr>
          <w:smallCaps/>
          <w:color w:val="000000" w:themeColor="text1"/>
        </w:rPr>
        <w:t>Luban</w:t>
      </w:r>
      <w:proofErr w:type="spellEnd"/>
      <w:r>
        <w:rPr>
          <w:smallCaps/>
          <w:color w:val="000000" w:themeColor="text1"/>
        </w:rPr>
        <w:t>, Lawyers and Justice: An Ethical Study</w:t>
      </w:r>
      <w:r>
        <w:rPr>
          <w:color w:val="000000" w:themeColor="text1"/>
        </w:rPr>
        <w:t xml:space="preserve"> 54 (1988) (quoting Lord Henry Brougham).</w:t>
      </w:r>
    </w:p>
  </w:footnote>
  <w:footnote w:id="416">
    <w:p w14:paraId="791BAC3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Hoffman, A Course of Legal Study</w:t>
      </w:r>
      <w:r>
        <w:rPr>
          <w:color w:val="000000" w:themeColor="text1"/>
        </w:rPr>
        <w:t xml:space="preserve"> 754–55 (2d ed. 1836).</w:t>
      </w:r>
    </w:p>
  </w:footnote>
  <w:footnote w:id="417">
    <w:p w14:paraId="35ABEE9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101–02.</w:t>
      </w:r>
    </w:p>
  </w:footnote>
  <w:footnote w:id="418">
    <w:p w14:paraId="1FECE5E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id.</w:t>
      </w:r>
      <w:r>
        <w:rPr>
          <w:color w:val="000000" w:themeColor="text1"/>
        </w:rPr>
        <w:t xml:space="preserve"> at 86, 101.</w:t>
      </w:r>
    </w:p>
  </w:footnote>
  <w:footnote w:id="419">
    <w:p w14:paraId="5E3CC0F5" w14:textId="77777777" w:rsidR="0065012F" w:rsidRPr="005B3E31" w:rsidRDefault="006501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Lawrence M. Friedman, </w:t>
      </w:r>
      <w:r>
        <w:rPr>
          <w:i/>
          <w:iCs/>
          <w:color w:val="000000" w:themeColor="text1"/>
        </w:rPr>
        <w:t>A History of American Law</w:t>
      </w:r>
      <w:r>
        <w:rPr>
          <w:rStyle w:val="FootnoteReference"/>
          <w:color w:val="000000" w:themeColor="text1"/>
        </w:rPr>
        <w:t xml:space="preserve"> 303 (4th ed. 2019)</w:t>
      </w:r>
      <w:r>
        <w:t>.</w:t>
      </w:r>
    </w:p>
  </w:footnote>
  <w:footnote w:id="420">
    <w:p w14:paraId="5BC36260"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Konefsky</w:t>
      </w:r>
      <w:proofErr w:type="spellEnd"/>
      <w:r>
        <w:rPr>
          <w:color w:val="000000" w:themeColor="text1"/>
        </w:rPr>
        <w:t xml:space="preserve">, </w:t>
      </w:r>
      <w:r>
        <w:rPr>
          <w:i/>
          <w:iCs/>
          <w:color w:val="000000" w:themeColor="text1"/>
        </w:rPr>
        <w:t>supra</w:t>
      </w:r>
      <w:r>
        <w:rPr>
          <w:color w:val="000000" w:themeColor="text1"/>
        </w:rPr>
        <w:t xml:space="preserve"> note 420, at 76 (lawyers were “embedded like everyone else in the marketplace”); </w:t>
      </w:r>
      <w:r>
        <w:rPr>
          <w:smallCaps/>
          <w:color w:val="000000" w:themeColor="text1"/>
        </w:rPr>
        <w:t>P.W. Grayson, Vice Unmasked</w:t>
      </w:r>
      <w:r>
        <w:rPr>
          <w:color w:val="000000" w:themeColor="text1"/>
        </w:rPr>
        <w:t xml:space="preserve"> 93 (1830).</w:t>
      </w:r>
    </w:p>
  </w:footnote>
  <w:footnote w:id="421">
    <w:p w14:paraId="71A1E1E0"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George </w:t>
      </w:r>
      <w:proofErr w:type="spellStart"/>
      <w:r>
        <w:rPr>
          <w:smallCaps/>
          <w:color w:val="000000" w:themeColor="text1"/>
        </w:rPr>
        <w:t>Sharswood</w:t>
      </w:r>
      <w:proofErr w:type="spellEnd"/>
      <w:r>
        <w:rPr>
          <w:smallCaps/>
          <w:color w:val="000000" w:themeColor="text1"/>
        </w:rPr>
        <w:t>, An Essay on Professional Ethics</w:t>
      </w:r>
      <w:r>
        <w:rPr>
          <w:color w:val="000000" w:themeColor="text1"/>
        </w:rPr>
        <w:t xml:space="preserve"> 138 (2d ed. 1860).</w:t>
      </w:r>
    </w:p>
  </w:footnote>
  <w:footnote w:id="422">
    <w:p w14:paraId="6A6348E1" w14:textId="77777777" w:rsidR="005E758E" w:rsidRPr="005B3E31" w:rsidRDefault="005E758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192.</w:t>
      </w:r>
    </w:p>
  </w:footnote>
  <w:footnote w:id="423">
    <w:p w14:paraId="7DEFDF56"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Konefsky</w:t>
      </w:r>
      <w:proofErr w:type="spellEnd"/>
      <w:r>
        <w:rPr>
          <w:color w:val="000000" w:themeColor="text1"/>
        </w:rPr>
        <w:t xml:space="preserve">, </w:t>
      </w:r>
      <w:r>
        <w:rPr>
          <w:i/>
          <w:iCs/>
          <w:color w:val="000000" w:themeColor="text1"/>
        </w:rPr>
        <w:t>supra</w:t>
      </w:r>
      <w:r>
        <w:rPr>
          <w:color w:val="000000" w:themeColor="text1"/>
        </w:rPr>
        <w:t xml:space="preserve"> note 420, at 101.</w:t>
      </w:r>
    </w:p>
  </w:footnote>
  <w:footnote w:id="424">
    <w:p w14:paraId="7657F341" w14:textId="77777777" w:rsidR="00D70590" w:rsidRPr="005B3E31" w:rsidRDefault="00D70590"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248 (1992).</w:t>
      </w:r>
    </w:p>
  </w:footnote>
  <w:footnote w:id="425">
    <w:p w14:paraId="271BFEF9" w14:textId="77777777" w:rsidR="00B663C8" w:rsidRPr="005B3E31" w:rsidRDefault="00B663C8" w:rsidP="003D74D8">
      <w:pPr>
        <w:pStyle w:val="FootnoteText"/>
        <w:spacing w:line="480" w:lineRule="auto"/>
      </w:pPr>
      <w:r>
        <w:rPr>
          <w:rStyle w:val="FootnoteReference"/>
        </w:rPr>
        <w:footnoteRef/>
      </w:r>
      <w:r>
        <w:t xml:space="preserve"> Keith A. Findley &amp; Michael S. Scott, </w:t>
      </w:r>
      <w:r>
        <w:rPr>
          <w:i/>
          <w:iCs/>
        </w:rPr>
        <w:t>The Multiple Dimensions of Tunnel Vision in Criminal Cases</w:t>
      </w:r>
      <w:r>
        <w:t xml:space="preserve">, 2006 </w:t>
      </w:r>
      <w:r>
        <w:rPr>
          <w:smallCaps/>
        </w:rPr>
        <w:t>Wis. L. Rev.</w:t>
      </w:r>
      <w:r>
        <w:t xml:space="preserve"> 291, 322–23 (2006).</w:t>
      </w:r>
    </w:p>
  </w:footnote>
  <w:footnote w:id="426">
    <w:p w14:paraId="781161C2" w14:textId="77777777" w:rsidR="00094246" w:rsidRPr="005B3E31" w:rsidRDefault="00094246"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269 (1992) (quoting </w:t>
      </w:r>
      <w:r>
        <w:rPr>
          <w:smallCaps/>
        </w:rPr>
        <w:t>ABA Canons of Ethics</w:t>
      </w:r>
      <w:r>
        <w:t xml:space="preserve"> Canon 31 (1908))</w:t>
      </w:r>
    </w:p>
  </w:footnote>
  <w:footnote w:id="427">
    <w:p w14:paraId="4DE03E5F" w14:textId="77777777" w:rsidR="00094246" w:rsidRPr="005B3E31" w:rsidRDefault="00094246" w:rsidP="003D74D8">
      <w:pPr>
        <w:pStyle w:val="FootnoteText"/>
        <w:spacing w:line="480" w:lineRule="auto"/>
      </w:pPr>
      <w:r>
        <w:rPr>
          <w:rStyle w:val="FootnoteReference"/>
        </w:rPr>
        <w:footnoteRef/>
      </w:r>
      <w:r>
        <w:t xml:space="preserve"> Michael Ariens, </w:t>
      </w:r>
      <w:r>
        <w:rPr>
          <w:i/>
          <w:iCs/>
        </w:rPr>
        <w:t>Lost and Found: David Hoffman and the History of American Legal Ethics</w:t>
      </w:r>
      <w:r>
        <w:t xml:space="preserve">, 67 </w:t>
      </w:r>
      <w:r>
        <w:rPr>
          <w:smallCaps/>
        </w:rPr>
        <w:t>Ark. L. Rev</w:t>
      </w:r>
      <w:r>
        <w:t>. 571, 573, 602 (2014).</w:t>
      </w:r>
    </w:p>
  </w:footnote>
  <w:footnote w:id="428">
    <w:p w14:paraId="2EC595C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Amber Murphy Parris, </w:t>
      </w:r>
      <w:r>
        <w:rPr>
          <w:i/>
          <w:iCs/>
          <w:color w:val="000000" w:themeColor="text1"/>
        </w:rPr>
        <w:t>Alternative Dispute Resolution: The Final Frontier of the Legal Profession</w:t>
      </w:r>
      <w:r>
        <w:rPr>
          <w:color w:val="000000" w:themeColor="text1"/>
        </w:rPr>
        <w:t xml:space="preserve">, 37 J. </w:t>
      </w:r>
      <w:r>
        <w:rPr>
          <w:smallCaps/>
          <w:color w:val="000000" w:themeColor="text1"/>
        </w:rPr>
        <w:t>Legal Prof.</w:t>
      </w:r>
      <w:r>
        <w:rPr>
          <w:color w:val="000000" w:themeColor="text1"/>
        </w:rPr>
        <w:t xml:space="preserve"> 295, 301 (2013);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57–68; </w:t>
      </w:r>
      <w:proofErr w:type="spellStart"/>
      <w:r>
        <w:rPr>
          <w:smallCaps/>
          <w:color w:val="000000" w:themeColor="text1"/>
        </w:rPr>
        <w:t>Firmage</w:t>
      </w:r>
      <w:proofErr w:type="spellEnd"/>
      <w:r>
        <w:rPr>
          <w:smallCaps/>
          <w:color w:val="000000" w:themeColor="text1"/>
        </w:rPr>
        <w:t xml:space="preserve"> &amp; Mangrum</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xml:space="preserve">, at 139; </w:t>
      </w:r>
      <w:r>
        <w:rPr>
          <w:smallCaps/>
          <w:color w:val="000000" w:themeColor="text1"/>
        </w:rPr>
        <w:t xml:space="preserve">Ian R. </w:t>
      </w:r>
      <w:proofErr w:type="spellStart"/>
      <w:r>
        <w:rPr>
          <w:smallCaps/>
          <w:color w:val="000000" w:themeColor="text1"/>
        </w:rPr>
        <w:t>Macneil</w:t>
      </w:r>
      <w:proofErr w:type="spellEnd"/>
      <w:r>
        <w:rPr>
          <w:smallCaps/>
          <w:color w:val="000000" w:themeColor="text1"/>
        </w:rPr>
        <w:t>, American Arbitration Law: Reformation, Nationalization, Internationalization</w:t>
      </w:r>
      <w:r>
        <w:rPr>
          <w:color w:val="000000" w:themeColor="text1"/>
        </w:rPr>
        <w:t xml:space="preserve"> 26 (1992).</w:t>
      </w:r>
    </w:p>
  </w:footnote>
  <w:footnote w:id="429">
    <w:p w14:paraId="6D0F05B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bookmarkStart w:id="51" w:name="OLE_LINK11"/>
      <w:bookmarkStart w:id="52" w:name="OLE_LINK12"/>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bookmarkEnd w:id="51"/>
      <w:bookmarkEnd w:id="52"/>
      <w:r>
        <w:rPr>
          <w:color w:val="000000" w:themeColor="text1"/>
        </w:rPr>
        <w:t xml:space="preserve">, at 66; </w:t>
      </w:r>
      <w:r>
        <w:rPr>
          <w:i/>
          <w:iCs/>
          <w:color w:val="000000" w:themeColor="text1"/>
        </w:rPr>
        <w:t>but see</w:t>
      </w:r>
      <w:r>
        <w:rPr>
          <w:color w:val="000000" w:themeColor="text1"/>
        </w:rPr>
        <w:t xml:space="preserve"> </w:t>
      </w:r>
      <w:r>
        <w:rPr>
          <w:smallCaps/>
          <w:color w:val="000000" w:themeColor="text1"/>
        </w:rPr>
        <w:t>Kessler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at 345 (describing the Freedmen’s Bureau courts’ goal as “quite simply remedial—to do justice, where no other institution would”).</w:t>
      </w:r>
    </w:p>
  </w:footnote>
  <w:footnote w:id="430">
    <w:p w14:paraId="745C5B2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62; </w:t>
      </w:r>
      <w:r>
        <w:rPr>
          <w:smallCaps/>
          <w:color w:val="000000" w:themeColor="text1"/>
        </w:rPr>
        <w:t>Donald G. Nieman, To Set the Law in Motion: The Freedmen’s Bureau and the Legal Rights of Blacks, 1865–1868</w:t>
      </w:r>
      <w:r>
        <w:rPr>
          <w:color w:val="000000" w:themeColor="text1"/>
        </w:rPr>
        <w:t xml:space="preserve"> at 10 (1979); </w:t>
      </w:r>
      <w:r>
        <w:rPr>
          <w:smallCaps/>
          <w:color w:val="000000" w:themeColor="text1"/>
        </w:rPr>
        <w:t>William E. Forbath, Law and the Shaping of the American Labor Movement</w:t>
      </w:r>
      <w:r>
        <w:rPr>
          <w:color w:val="000000" w:themeColor="text1"/>
        </w:rPr>
        <w:t xml:space="preserve"> 43 (1991).</w:t>
      </w:r>
    </w:p>
  </w:footnote>
  <w:footnote w:id="431">
    <w:p w14:paraId="1622079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William E. Forbath, </w:t>
      </w:r>
      <w:r>
        <w:rPr>
          <w:i/>
          <w:iCs/>
          <w:color w:val="000000" w:themeColor="text1"/>
        </w:rPr>
        <w:t>Politics, State-Building, and the Courts, 1870–1920, in</w:t>
      </w:r>
      <w:r>
        <w:rPr>
          <w:color w:val="000000" w:themeColor="text1"/>
        </w:rPr>
        <w:t xml:space="preserve"> 2 </w:t>
      </w:r>
      <w:r>
        <w:rPr>
          <w:smallCaps/>
          <w:color w:val="000000" w:themeColor="text1"/>
        </w:rPr>
        <w:t>The Cambridge History of Law in America</w:t>
      </w:r>
      <w:r>
        <w:rPr>
          <w:color w:val="000000" w:themeColor="text1"/>
        </w:rPr>
        <w:t xml:space="preserve"> 643, 648–49 (Michael Grossberg &amp; Christopher Tomlins eds., 2008).</w:t>
      </w:r>
    </w:p>
  </w:footnote>
  <w:footnote w:id="432">
    <w:p w14:paraId="328A01A6"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Karen </w:t>
      </w:r>
      <w:proofErr w:type="spellStart"/>
      <w:r>
        <w:rPr>
          <w:color w:val="000000" w:themeColor="text1"/>
        </w:rPr>
        <w:t>Orren</w:t>
      </w:r>
      <w:proofErr w:type="spellEnd"/>
      <w:r>
        <w:rPr>
          <w:color w:val="000000" w:themeColor="text1"/>
        </w:rPr>
        <w:t xml:space="preserve">, </w:t>
      </w:r>
      <w:r>
        <w:rPr>
          <w:i/>
          <w:iCs/>
          <w:color w:val="000000" w:themeColor="text1"/>
        </w:rPr>
        <w:t>The Laws of Industrial Organization, 1870–1920, in</w:t>
      </w:r>
      <w:r>
        <w:rPr>
          <w:color w:val="000000" w:themeColor="text1"/>
        </w:rPr>
        <w:t xml:space="preserve"> 2 </w:t>
      </w:r>
      <w:r>
        <w:rPr>
          <w:smallCaps/>
          <w:color w:val="000000" w:themeColor="text1"/>
        </w:rPr>
        <w:t>The Cambridge History of Law in America</w:t>
      </w:r>
      <w:r>
        <w:rPr>
          <w:color w:val="000000" w:themeColor="text1"/>
        </w:rPr>
        <w:t xml:space="preserve"> 531, 533, 564 (Michael Grossberg &amp; Christopher Tomlins eds., 2008); Forbath, </w:t>
      </w:r>
      <w:r>
        <w:rPr>
          <w:i/>
          <w:iCs/>
          <w:color w:val="000000" w:themeColor="text1"/>
        </w:rPr>
        <w:t>supra</w:t>
      </w:r>
      <w:r>
        <w:rPr>
          <w:color w:val="000000" w:themeColor="text1"/>
        </w:rPr>
        <w:t xml:space="preserve"> note 452, at 655 (quoting John R. Commons); Tony A. </w:t>
      </w:r>
      <w:proofErr w:type="spellStart"/>
      <w:r>
        <w:rPr>
          <w:color w:val="000000" w:themeColor="text1"/>
        </w:rPr>
        <w:t>Freyer</w:t>
      </w:r>
      <w:proofErr w:type="spellEnd"/>
      <w:r>
        <w:rPr>
          <w:color w:val="000000" w:themeColor="text1"/>
        </w:rPr>
        <w:t xml:space="preserve">,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471, 480 (Michael Grossberg &amp; Christopher Tomlins eds., 2008).</w:t>
      </w:r>
    </w:p>
  </w:footnote>
  <w:footnote w:id="433">
    <w:p w14:paraId="736E1651"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Hugh C. </w:t>
      </w:r>
      <w:proofErr w:type="spellStart"/>
      <w:r>
        <w:rPr>
          <w:color w:val="000000" w:themeColor="text1"/>
        </w:rPr>
        <w:t>MacGill</w:t>
      </w:r>
      <w:proofErr w:type="spellEnd"/>
      <w:r>
        <w:rPr>
          <w:color w:val="000000" w:themeColor="text1"/>
        </w:rPr>
        <w:t xml:space="preserve"> &amp; R. Kent </w:t>
      </w:r>
      <w:proofErr w:type="spellStart"/>
      <w:r>
        <w:rPr>
          <w:color w:val="000000" w:themeColor="text1"/>
        </w:rPr>
        <w:t>Newmyer</w:t>
      </w:r>
      <w:proofErr w:type="spellEnd"/>
      <w:r>
        <w:rPr>
          <w:color w:val="000000" w:themeColor="text1"/>
        </w:rPr>
        <w:t xml:space="preserve">,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37 (Michael Grossberg &amp; Christopher Tomlins eds., 2008).</w:t>
      </w:r>
    </w:p>
  </w:footnote>
  <w:footnote w:id="434">
    <w:p w14:paraId="615B1989"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Jud Campbell, </w:t>
      </w:r>
      <w:r>
        <w:rPr>
          <w:i/>
          <w:iCs/>
          <w:color w:val="000000" w:themeColor="text1"/>
        </w:rPr>
        <w:t>Testimonial Exclusions and Religious Freedom in Early America</w:t>
      </w:r>
      <w:r>
        <w:rPr>
          <w:color w:val="000000" w:themeColor="text1"/>
        </w:rPr>
        <w:t xml:space="preserve">, 37 </w:t>
      </w:r>
      <w:r>
        <w:rPr>
          <w:smallCaps/>
          <w:color w:val="000000" w:themeColor="text1"/>
        </w:rPr>
        <w:t>L. &amp; Hist. Rev</w:t>
      </w:r>
      <w:r>
        <w:rPr>
          <w:color w:val="000000" w:themeColor="text1"/>
        </w:rPr>
        <w:t xml:space="preserve">. 431, 432 (2019) (quoting Perry v. Commonwealth, 44 Va. (3 </w:t>
      </w:r>
      <w:proofErr w:type="spellStart"/>
      <w:r>
        <w:rPr>
          <w:color w:val="000000" w:themeColor="text1"/>
        </w:rPr>
        <w:t>Gratt</w:t>
      </w:r>
      <w:proofErr w:type="spellEnd"/>
      <w:r>
        <w:rPr>
          <w:color w:val="000000" w:themeColor="text1"/>
        </w:rPr>
        <w:t>.) 645, 646 (1846)).</w:t>
      </w:r>
    </w:p>
  </w:footnote>
  <w:footnote w:id="435">
    <w:p w14:paraId="7EEF7D33"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 </w:t>
      </w:r>
      <w:r>
        <w:rPr>
          <w:i/>
          <w:iCs/>
          <w:color w:val="000000" w:themeColor="text1"/>
        </w:rPr>
        <w:t>supra</w:t>
      </w:r>
      <w:r>
        <w:rPr>
          <w:color w:val="000000" w:themeColor="text1"/>
        </w:rPr>
        <w:t xml:space="preserve"> note 452, at 655–56; Hugh C. </w:t>
      </w:r>
      <w:proofErr w:type="spellStart"/>
      <w:r>
        <w:rPr>
          <w:color w:val="000000" w:themeColor="text1"/>
        </w:rPr>
        <w:t>MacGill</w:t>
      </w:r>
      <w:proofErr w:type="spellEnd"/>
      <w:r>
        <w:rPr>
          <w:color w:val="000000" w:themeColor="text1"/>
        </w:rPr>
        <w:t xml:space="preserve"> &amp; R. Kent </w:t>
      </w:r>
      <w:proofErr w:type="spellStart"/>
      <w:r>
        <w:rPr>
          <w:color w:val="000000" w:themeColor="text1"/>
        </w:rPr>
        <w:t>Newmyer</w:t>
      </w:r>
      <w:proofErr w:type="spellEnd"/>
      <w:r>
        <w:rPr>
          <w:color w:val="000000" w:themeColor="text1"/>
        </w:rPr>
        <w:t xml:space="preserve">,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51 (Michael Grossberg &amp; Christopher Tomlins eds., 2008);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460–81.</w:t>
      </w:r>
    </w:p>
  </w:footnote>
  <w:footnote w:id="436">
    <w:p w14:paraId="44A304F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_Ref222242702 \h  \* MERGEFORMAT </w:instrText>
      </w:r>
      <w:r>
        <w:rPr>
          <w:color w:val="000000" w:themeColor="text1"/>
        </w:rPr>
      </w:r>
      <w:r>
        <w:rPr>
          <w:color w:val="000000" w:themeColor="text1"/>
        </w:rPr>
        <w:fldChar w:fldCharType="separate"/>
      </w:r>
      <w:r>
        <w:rPr>
          <w:color w:val="000000" w:themeColor="text1"/>
        </w:rPr>
        <w:t>451</w:t>
      </w:r>
      <w:r>
        <w:rPr>
          <w:color w:val="000000" w:themeColor="text1"/>
        </w:rPr>
        <w:fldChar w:fldCharType="end"/>
      </w:r>
      <w:r>
        <w:rPr>
          <w:color w:val="000000" w:themeColor="text1"/>
        </w:rPr>
        <w:t>, at 669–70.</w:t>
      </w:r>
    </w:p>
  </w:footnote>
  <w:footnote w:id="437">
    <w:p w14:paraId="3D023FB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677.</w:t>
      </w:r>
    </w:p>
  </w:footnote>
  <w:footnote w:id="438">
    <w:p w14:paraId="1A53FE7E"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8 (1948).</w:t>
      </w:r>
    </w:p>
  </w:footnote>
  <w:footnote w:id="439">
    <w:p w14:paraId="2356F088"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Leonard S. Goodman, </w:t>
      </w:r>
      <w:r>
        <w:rPr>
          <w:i/>
          <w:iCs/>
          <w:color w:val="000000" w:themeColor="text1"/>
        </w:rPr>
        <w:t>The Historic Role of the Oath of Admission</w:t>
      </w:r>
      <w:r>
        <w:rPr>
          <w:color w:val="000000" w:themeColor="text1"/>
        </w:rPr>
        <w:t xml:space="preserve">, 11 </w:t>
      </w:r>
      <w:r>
        <w:rPr>
          <w:smallCaps/>
          <w:color w:val="000000" w:themeColor="text1"/>
        </w:rPr>
        <w:t>Am. J. Legal Hist</w:t>
      </w:r>
      <w:r>
        <w:rPr>
          <w:color w:val="000000" w:themeColor="text1"/>
        </w:rPr>
        <w:t>. 404, 409, 411 (1967).</w:t>
      </w:r>
    </w:p>
  </w:footnote>
  <w:footnote w:id="440">
    <w:p w14:paraId="59565331"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w:t>
      </w:r>
      <w:proofErr w:type="gramEnd"/>
      <w:r>
        <w:rPr>
          <w:color w:val="000000" w:themeColor="text1"/>
        </w:rPr>
        <w:t xml:space="preserve"> V.</w:t>
      </w:r>
    </w:p>
  </w:footnote>
  <w:footnote w:id="441">
    <w:p w14:paraId="5FC26B1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69–73.</w:t>
      </w:r>
    </w:p>
  </w:footnote>
  <w:footnote w:id="442">
    <w:p w14:paraId="40927D70"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81; Robert W. Gordon, </w:t>
      </w:r>
      <w:r>
        <w:rPr>
          <w:i/>
          <w:iCs/>
          <w:color w:val="000000" w:themeColor="text1"/>
        </w:rPr>
        <w:t>The American Legal Profession</w:t>
      </w:r>
      <w:r>
        <w:rPr>
          <w:color w:val="000000" w:themeColor="text1"/>
        </w:rPr>
        <w:t xml:space="preserve">, 1870–2000, </w:t>
      </w:r>
      <w:r>
        <w:rPr>
          <w:i/>
          <w:iCs/>
          <w:color w:val="000000" w:themeColor="text1"/>
        </w:rPr>
        <w:t>in</w:t>
      </w:r>
      <w:r>
        <w:rPr>
          <w:color w:val="000000" w:themeColor="text1"/>
        </w:rPr>
        <w:t xml:space="preserve"> 3 </w:t>
      </w:r>
      <w:r>
        <w:rPr>
          <w:smallCaps/>
          <w:color w:val="000000" w:themeColor="text1"/>
        </w:rPr>
        <w:t>The Cambridge History of Law in America</w:t>
      </w:r>
      <w:r>
        <w:rPr>
          <w:color w:val="000000" w:themeColor="text1"/>
        </w:rPr>
        <w:t xml:space="preserve"> 73, 86 (Michael Grossberg &amp; Christopher Tomlins eds., 2008).</w:t>
      </w:r>
    </w:p>
  </w:footnote>
  <w:footnote w:id="443">
    <w:p w14:paraId="4EE2FABE"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Tony A. </w:t>
      </w:r>
      <w:proofErr w:type="spellStart"/>
      <w:r>
        <w:rPr>
          <w:color w:val="000000" w:themeColor="text1"/>
        </w:rPr>
        <w:t>Freyer</w:t>
      </w:r>
      <w:proofErr w:type="spellEnd"/>
      <w:r>
        <w:rPr>
          <w:color w:val="000000" w:themeColor="text1"/>
        </w:rPr>
        <w:t xml:space="preserve">,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477 (Michael Grossberg &amp; Christopher Tomlins eds., 2008);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90.</w:t>
      </w:r>
    </w:p>
  </w:footnote>
  <w:footnote w:id="444">
    <w:p w14:paraId="74BA28AE" w14:textId="77777777" w:rsidR="00DC61DB" w:rsidRPr="005B3E31" w:rsidRDefault="00DC61DB" w:rsidP="003D74D8">
      <w:pPr>
        <w:pStyle w:val="FootnoteText"/>
        <w:spacing w:line="480" w:lineRule="auto"/>
      </w:pPr>
      <w:r>
        <w:rPr>
          <w:rStyle w:val="FootnoteReference"/>
        </w:rPr>
        <w:footnoteRef/>
      </w:r>
      <w:r>
        <w:t xml:space="preserve"> Katherine Van </w:t>
      </w:r>
      <w:proofErr w:type="spellStart"/>
      <w:r>
        <w:t>Wezel</w:t>
      </w:r>
      <w:proofErr w:type="spellEnd"/>
      <w:r>
        <w:t xml:space="preserve"> Stone, </w:t>
      </w:r>
      <w:r>
        <w:rPr>
          <w:i/>
          <w:iCs/>
        </w:rPr>
        <w:t>Rustic Justice: Community and Coercion Under the Federal Arbitration Act,</w:t>
      </w:r>
      <w:r>
        <w:t xml:space="preserve"> </w:t>
      </w:r>
      <w:r>
        <w:rPr>
          <w:rStyle w:val="FootnoteReference"/>
        </w:rPr>
        <w:t xml:space="preserve">77 </w:t>
      </w:r>
      <w:r>
        <w:rPr>
          <w:smallCaps/>
        </w:rPr>
        <w:t>N.C. L. Rev.</w:t>
      </w:r>
      <w:r>
        <w:rPr>
          <w:rStyle w:val="FootnoteReference"/>
        </w:rPr>
        <w:t xml:space="preserve"> 931, 970–71 (1999) (“Early forms of arbitration were dispute resolution procedures created and administered by trade groups—merchant or producer communities. . . . In the arbitration, community elders were expected to resolve the dispute by drawing on the formal and informal norms of the community. . . . The merchant guilds established arbitration tribunals because they felt that the courts were not sufficiently knowledgeable about commercial customs and were excessively slow and cumbersome.”); </w:t>
      </w:r>
      <w:r>
        <w:rPr>
          <w:i/>
          <w:iCs/>
        </w:rPr>
        <w:t>id.</w:t>
      </w:r>
      <w:r>
        <w:rPr>
          <w:rStyle w:val="FootnoteReference"/>
        </w:rPr>
        <w:t xml:space="preserve"> at 980 (quoting Julius Henry Cohen, in turn quoting Samuel Rosenbaum’s 1917 American Judicature Society report) (“What was true in 1891 is even more true in 1916, and every business has its expert arbitrators, generally older and seasoned veterans who were in the thick of the fight for years and retired to make way for the younger men.”)</w:t>
      </w:r>
      <w:r>
        <w:t xml:space="preserve">; </w:t>
      </w:r>
      <w:r>
        <w:rPr>
          <w:i/>
          <w:iCs/>
        </w:rPr>
        <w:t>id.</w:t>
      </w:r>
      <w:r>
        <w:t xml:space="preserve"> at 988–91 (describing Herbert Hoover, “a spokesman of the new </w:t>
      </w:r>
      <w:proofErr w:type="spellStart"/>
      <w:r>
        <w:t>associationalism</w:t>
      </w:r>
      <w:proofErr w:type="spellEnd"/>
      <w:r>
        <w:t>,” as “a principal advocate of the FAA”)</w:t>
      </w:r>
      <w:r>
        <w:rPr>
          <w:rStyle w:val="FootnoteReference"/>
        </w:rPr>
        <w:t>.</w:t>
      </w:r>
    </w:p>
  </w:footnote>
  <w:footnote w:id="445">
    <w:p w14:paraId="24B79D5D"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Henry Schlegel, </w:t>
      </w:r>
      <w:r>
        <w:rPr>
          <w:i/>
          <w:iCs/>
          <w:color w:val="000000" w:themeColor="text1"/>
        </w:rPr>
        <w:t>Law and Economic Change During the Short Twentieth Century, in</w:t>
      </w:r>
      <w:r>
        <w:rPr>
          <w:color w:val="000000" w:themeColor="text1"/>
        </w:rPr>
        <w:t xml:space="preserve"> 3 </w:t>
      </w:r>
      <w:r>
        <w:rPr>
          <w:smallCaps/>
          <w:color w:val="000000" w:themeColor="text1"/>
        </w:rPr>
        <w:t>The Cambridge History of Law in America</w:t>
      </w:r>
      <w:r>
        <w:rPr>
          <w:color w:val="000000" w:themeColor="text1"/>
        </w:rPr>
        <w:t xml:space="preserve"> 563, 568–69 (Michael Grossberg &amp; Christopher Tomlins eds., 2008); Lawrence M. Friedman, </w:t>
      </w:r>
      <w:r>
        <w:rPr>
          <w:i/>
          <w:iCs/>
          <w:color w:val="000000" w:themeColor="text1"/>
        </w:rPr>
        <w:t>The Litigation Revolution</w:t>
      </w:r>
      <w:r>
        <w:rPr>
          <w:color w:val="000000" w:themeColor="text1"/>
        </w:rPr>
        <w:t xml:space="preserve">, in 3 </w:t>
      </w:r>
      <w:r>
        <w:rPr>
          <w:smallCaps/>
          <w:color w:val="000000" w:themeColor="text1"/>
        </w:rPr>
        <w:t>The Cambridge History of Law in America</w:t>
      </w:r>
      <w:r>
        <w:rPr>
          <w:color w:val="000000" w:themeColor="text1"/>
        </w:rPr>
        <w:t xml:space="preserve"> 175, 193 (Michael Grossberg &amp; Christopher Tomlins eds., 2008).</w:t>
      </w:r>
    </w:p>
  </w:footnote>
  <w:footnote w:id="446">
    <w:p w14:paraId="331CBFE5"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104–08; </w:t>
      </w:r>
      <w:r>
        <w:rPr>
          <w:smallCaps/>
          <w:color w:val="000000" w:themeColor="text1"/>
        </w:rPr>
        <w:t>Edward Brunet et al., Alternative Dispute Resolution: The Advocate’s Perspective: Cases and Materials 453–54</w:t>
      </w:r>
      <w:r>
        <w:rPr>
          <w:color w:val="000000" w:themeColor="text1"/>
        </w:rPr>
        <w:t xml:space="preserve"> (5th ed. 2016);</w:t>
      </w:r>
      <w:r>
        <w:rPr>
          <w:smallCaps/>
          <w:color w:val="000000" w:themeColor="text1"/>
        </w:rPr>
        <w:t xml:space="preserve"> </w:t>
      </w:r>
      <w:proofErr w:type="spellStart"/>
      <w:r>
        <w:rPr>
          <w:smallCaps/>
          <w:color w:val="000000" w:themeColor="text1"/>
        </w:rPr>
        <w:t>Macneil</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28; Judith Resnik, </w:t>
      </w:r>
      <w:r>
        <w:rPr>
          <w:i/>
          <w:iCs/>
          <w:color w:val="000000" w:themeColor="text1"/>
        </w:rPr>
        <w:t>Diffusing Disputes: The Public in the Private of Arbitration, the Private in Courts, and the Erasure of Rights</w:t>
      </w:r>
      <w:r>
        <w:rPr>
          <w:color w:val="000000" w:themeColor="text1"/>
        </w:rPr>
        <w:t xml:space="preserve">, 124 </w:t>
      </w:r>
      <w:r>
        <w:rPr>
          <w:smallCaps/>
          <w:color w:val="000000" w:themeColor="text1"/>
        </w:rPr>
        <w:t>Yale L.J.</w:t>
      </w:r>
      <w:r>
        <w:rPr>
          <w:color w:val="000000" w:themeColor="text1"/>
        </w:rPr>
        <w:t xml:space="preserve"> 2804, 2860 (2015); </w:t>
      </w:r>
      <w:proofErr w:type="spellStart"/>
      <w:r>
        <w:rPr>
          <w:color w:val="000000" w:themeColor="text1"/>
        </w:rPr>
        <w:t>Szalai</w:t>
      </w:r>
      <w:proofErr w:type="spellEnd"/>
      <w:r>
        <w:rPr>
          <w:color w:val="000000" w:themeColor="text1"/>
        </w:rPr>
        <w:t xml:space="preserve">, </w:t>
      </w:r>
      <w:r>
        <w:rPr>
          <w:i/>
          <w:iCs/>
          <w:color w:val="000000" w:themeColor="text1"/>
        </w:rPr>
        <w:t>supra</w:t>
      </w:r>
      <w:r>
        <w:rPr>
          <w:color w:val="000000" w:themeColor="text1"/>
        </w:rPr>
        <w:t xml:space="preserve"> note 72, at 135, 138.</w:t>
      </w:r>
    </w:p>
  </w:footnote>
  <w:footnote w:id="447">
    <w:p w14:paraId="70FA7620" w14:textId="77777777"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Brittany L. Pushkin, </w:t>
      </w:r>
      <w:r>
        <w:rPr>
          <w:i/>
          <w:iCs/>
          <w:color w:val="000000" w:themeColor="text1"/>
          <w:sz w:val="20"/>
          <w:szCs w:val="20"/>
        </w:rPr>
        <w:t>A Means to an End: How the Expansion of the Federal Arbitration Act of 1925 by the Supreme Court Created a Loophole for Corporations to Avoid Claims by Consumers and Workers Alike</w:t>
      </w:r>
      <w:r>
        <w:rPr>
          <w:color w:val="000000" w:themeColor="text1"/>
          <w:sz w:val="20"/>
          <w:szCs w:val="20"/>
        </w:rPr>
        <w:t xml:space="preserve">, 29 </w:t>
      </w:r>
      <w:r>
        <w:rPr>
          <w:smallCaps/>
          <w:color w:val="000000" w:themeColor="text1"/>
          <w:sz w:val="20"/>
          <w:szCs w:val="20"/>
        </w:rPr>
        <w:t>U. Mia. Bus. L. Rev.</w:t>
      </w:r>
      <w:r>
        <w:rPr>
          <w:color w:val="000000" w:themeColor="text1"/>
          <w:sz w:val="20"/>
          <w:szCs w:val="20"/>
        </w:rPr>
        <w:t xml:space="preserve"> 142, 146–48 (2021); Brief of Arbitration Scholar Imre S. </w:t>
      </w:r>
      <w:proofErr w:type="spellStart"/>
      <w:r>
        <w:rPr>
          <w:color w:val="000000" w:themeColor="text1"/>
          <w:sz w:val="20"/>
          <w:szCs w:val="20"/>
        </w:rPr>
        <w:t>Szalai</w:t>
      </w:r>
      <w:proofErr w:type="spellEnd"/>
      <w:r>
        <w:rPr>
          <w:color w:val="000000" w:themeColor="text1"/>
          <w:sz w:val="20"/>
          <w:szCs w:val="20"/>
        </w:rPr>
        <w:t xml:space="preserve"> as Amicus Curiae in Support of Respondents at 10, Kindred Nursing </w:t>
      </w:r>
      <w:proofErr w:type="spellStart"/>
      <w:r>
        <w:rPr>
          <w:color w:val="000000" w:themeColor="text1"/>
          <w:sz w:val="20"/>
          <w:szCs w:val="20"/>
        </w:rPr>
        <w:t>Ctrs</w:t>
      </w:r>
      <w:proofErr w:type="spellEnd"/>
      <w:r>
        <w:rPr>
          <w:color w:val="000000" w:themeColor="text1"/>
          <w:sz w:val="20"/>
          <w:szCs w:val="20"/>
        </w:rPr>
        <w:t xml:space="preserve">. Ltd. </w:t>
      </w:r>
      <w:proofErr w:type="spellStart"/>
      <w:r>
        <w:rPr>
          <w:color w:val="000000" w:themeColor="text1"/>
          <w:sz w:val="20"/>
          <w:szCs w:val="20"/>
        </w:rPr>
        <w:t>P’ship</w:t>
      </w:r>
      <w:proofErr w:type="spellEnd"/>
      <w:r>
        <w:rPr>
          <w:color w:val="000000" w:themeColor="text1"/>
          <w:sz w:val="20"/>
          <w:szCs w:val="20"/>
        </w:rPr>
        <w:t xml:space="preserve"> v. Clark, 137 S. Ct. 1421 (2017) (No. 16-32).</w:t>
      </w:r>
    </w:p>
  </w:footnote>
  <w:footnote w:id="448">
    <w:p w14:paraId="5392A3D5"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w:t>
      </w:r>
      <w:r>
        <w:rPr>
          <w:i/>
          <w:iCs/>
          <w:color w:val="000000" w:themeColor="text1"/>
        </w:rPr>
        <w:t>Arbitration—From Sacred Cow to Golden Calf: Three Phases in the History of the Federal Arbitration Act</w:t>
      </w:r>
      <w:r>
        <w:rPr>
          <w:color w:val="000000" w:themeColor="text1"/>
        </w:rPr>
        <w:t xml:space="preserve">, 23 </w:t>
      </w:r>
      <w:proofErr w:type="spellStart"/>
      <w:r>
        <w:rPr>
          <w:smallCaps/>
          <w:color w:val="000000" w:themeColor="text1"/>
        </w:rPr>
        <w:t>Pepp</w:t>
      </w:r>
      <w:proofErr w:type="spellEnd"/>
      <w:r>
        <w:rPr>
          <w:smallCaps/>
          <w:color w:val="000000" w:themeColor="text1"/>
        </w:rPr>
        <w:t xml:space="preserve">. Disp. </w:t>
      </w:r>
      <w:proofErr w:type="spellStart"/>
      <w:r>
        <w:rPr>
          <w:smallCaps/>
          <w:color w:val="000000" w:themeColor="text1"/>
        </w:rPr>
        <w:t>Resol</w:t>
      </w:r>
      <w:proofErr w:type="spellEnd"/>
      <w:r>
        <w:rPr>
          <w:smallCaps/>
          <w:color w:val="000000" w:themeColor="text1"/>
        </w:rPr>
        <w:t>. L.J.</w:t>
      </w:r>
      <w:r>
        <w:rPr>
          <w:color w:val="000000" w:themeColor="text1"/>
        </w:rPr>
        <w:t xml:space="preserve"> 113, 117 (2023).</w:t>
      </w:r>
    </w:p>
  </w:footnote>
  <w:footnote w:id="449">
    <w:p w14:paraId="3BA4061C" w14:textId="77777777"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Auerbach</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_Ref214125879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386</w:t>
      </w:r>
      <w:r>
        <w:rPr>
          <w:color w:val="000000" w:themeColor="text1"/>
          <w:sz w:val="20"/>
          <w:szCs w:val="20"/>
        </w:rPr>
        <w:fldChar w:fldCharType="end"/>
      </w:r>
      <w:r>
        <w:rPr>
          <w:color w:val="000000" w:themeColor="text1"/>
          <w:sz w:val="20"/>
          <w:szCs w:val="20"/>
        </w:rPr>
        <w:t xml:space="preserve">, at 95; </w:t>
      </w:r>
      <w:r>
        <w:rPr>
          <w:smallCaps/>
          <w:color w:val="000000" w:themeColor="text1"/>
          <w:sz w:val="20"/>
          <w:szCs w:val="20"/>
        </w:rPr>
        <w:t xml:space="preserve">Carrie J. </w:t>
      </w:r>
      <w:proofErr w:type="spellStart"/>
      <w:r>
        <w:rPr>
          <w:smallCaps/>
          <w:color w:val="000000" w:themeColor="text1"/>
          <w:sz w:val="20"/>
          <w:szCs w:val="20"/>
        </w:rPr>
        <w:t>Menkel</w:t>
      </w:r>
      <w:proofErr w:type="spellEnd"/>
      <w:r>
        <w:rPr>
          <w:smallCaps/>
          <w:color w:val="000000" w:themeColor="text1"/>
          <w:sz w:val="20"/>
          <w:szCs w:val="20"/>
        </w:rPr>
        <w:t>-Meadow et al., Dispute Resolution: Beyond the Adversarial Model</w:t>
      </w:r>
      <w:r>
        <w:rPr>
          <w:color w:val="000000" w:themeColor="text1"/>
          <w:sz w:val="20"/>
          <w:szCs w:val="20"/>
        </w:rPr>
        <w:t xml:space="preserve"> 397 (2d ed. 2011); </w:t>
      </w:r>
      <w:r>
        <w:rPr>
          <w:smallCaps/>
          <w:color w:val="000000" w:themeColor="text1"/>
          <w:sz w:val="20"/>
          <w:szCs w:val="20"/>
        </w:rPr>
        <w:t>Jacqueline M. Nolan-Haley, Alternative Dispute Resolution in a Nutshell</w:t>
      </w:r>
      <w:r>
        <w:rPr>
          <w:color w:val="000000" w:themeColor="text1"/>
          <w:sz w:val="20"/>
          <w:szCs w:val="20"/>
        </w:rPr>
        <w:t xml:space="preserve"> 161 (4th ed. 2013); Marine Transit Corp. v. Dreyfus, 284 U.S. 263, 272–73 (1932); </w:t>
      </w:r>
      <w:proofErr w:type="spellStart"/>
      <w:r>
        <w:rPr>
          <w:color w:val="000000" w:themeColor="text1"/>
          <w:sz w:val="20"/>
          <w:szCs w:val="20"/>
        </w:rPr>
        <w:t>Szalai</w:t>
      </w:r>
      <w:proofErr w:type="spellEnd"/>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_Ref217242120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72</w:t>
      </w:r>
      <w:r>
        <w:rPr>
          <w:color w:val="000000" w:themeColor="text1"/>
          <w:sz w:val="20"/>
          <w:szCs w:val="20"/>
        </w:rPr>
        <w:fldChar w:fldCharType="end"/>
      </w:r>
      <w:r>
        <w:rPr>
          <w:color w:val="000000" w:themeColor="text1"/>
          <w:sz w:val="20"/>
          <w:szCs w:val="20"/>
        </w:rPr>
        <w:t>, at 128, 137.</w:t>
      </w:r>
    </w:p>
  </w:footnote>
  <w:footnote w:id="450">
    <w:p w14:paraId="1E8B30F2"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James A. </w:t>
      </w:r>
      <w:proofErr w:type="spellStart"/>
      <w:r>
        <w:rPr>
          <w:i/>
          <w:iCs/>
          <w:color w:val="000000" w:themeColor="text1"/>
        </w:rPr>
        <w:t>Henretta</w:t>
      </w:r>
      <w:proofErr w:type="spellEnd"/>
      <w:r>
        <w:rPr>
          <w:i/>
          <w:iCs/>
          <w:color w:val="000000" w:themeColor="text1"/>
        </w:rPr>
        <w:t>, 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561 (Michael Grossberg &amp; Christopher Tomlins eds., 2008).</w:t>
      </w:r>
    </w:p>
  </w:footnote>
  <w:footnote w:id="451">
    <w:p w14:paraId="5CE18669" w14:textId="77777777"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Allied-Bruce Terminix Cos. v. Dobson, 513 U.S. 265, 283 (1995) (O’Connor, J., concurring); </w:t>
      </w:r>
      <w:r>
        <w:rPr>
          <w:i/>
          <w:iCs/>
          <w:color w:val="000000" w:themeColor="text1"/>
          <w:sz w:val="20"/>
          <w:szCs w:val="20"/>
        </w:rPr>
        <w:t>see</w:t>
      </w:r>
      <w:r>
        <w:rPr>
          <w:color w:val="000000" w:themeColor="text1"/>
          <w:sz w:val="20"/>
          <w:szCs w:val="20"/>
        </w:rPr>
        <w:t xml:space="preserve"> </w:t>
      </w:r>
      <w:proofErr w:type="spellStart"/>
      <w:r>
        <w:rPr>
          <w:color w:val="000000" w:themeColor="text1"/>
          <w:sz w:val="20"/>
          <w:szCs w:val="20"/>
        </w:rPr>
        <w:t>Szalai</w:t>
      </w:r>
      <w:proofErr w:type="spellEnd"/>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72, at 118–22; </w:t>
      </w:r>
      <w:proofErr w:type="spellStart"/>
      <w:r>
        <w:rPr>
          <w:smallCaps/>
          <w:color w:val="000000" w:themeColor="text1"/>
          <w:sz w:val="20"/>
          <w:szCs w:val="20"/>
        </w:rPr>
        <w:t>Macneil</w:t>
      </w:r>
      <w:proofErr w:type="spellEnd"/>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449, at 90–91.</w:t>
      </w:r>
    </w:p>
  </w:footnote>
  <w:footnote w:id="452">
    <w:p w14:paraId="52EE4375"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108–11; </w:t>
      </w:r>
      <w:proofErr w:type="spellStart"/>
      <w:r>
        <w:rPr>
          <w:color w:val="000000" w:themeColor="text1"/>
        </w:rPr>
        <w:t>Szalai</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_Ref217242120 \h  \* MERGEFORMAT </w:instrText>
      </w:r>
      <w:r>
        <w:rPr>
          <w:color w:val="000000" w:themeColor="text1"/>
        </w:rPr>
      </w:r>
      <w:r>
        <w:rPr>
          <w:color w:val="000000" w:themeColor="text1"/>
        </w:rPr>
        <w:fldChar w:fldCharType="separate"/>
      </w:r>
      <w:r>
        <w:rPr>
          <w:color w:val="000000" w:themeColor="text1"/>
        </w:rPr>
        <w:t>72</w:t>
      </w:r>
      <w:r>
        <w:rPr>
          <w:color w:val="000000" w:themeColor="text1"/>
        </w:rPr>
        <w:fldChar w:fldCharType="end"/>
      </w:r>
      <w:r>
        <w:rPr>
          <w:color w:val="000000" w:themeColor="text1"/>
        </w:rPr>
        <w:t xml:space="preserve">; Philip G. Phillips, </w:t>
      </w:r>
      <w:r>
        <w:rPr>
          <w:i/>
          <w:iCs/>
          <w:color w:val="000000" w:themeColor="text1"/>
        </w:rPr>
        <w:t>The Paradox in Arbitration Law: Compulsion as Applied to a Voluntary Proceeding</w:t>
      </w:r>
      <w:r>
        <w:rPr>
          <w:color w:val="000000" w:themeColor="text1"/>
        </w:rPr>
        <w:t xml:space="preserve">, 46 </w:t>
      </w:r>
      <w:r>
        <w:rPr>
          <w:smallCaps/>
          <w:color w:val="000000" w:themeColor="text1"/>
        </w:rPr>
        <w:t>Harv. L. Rev.</w:t>
      </w:r>
      <w:r>
        <w:rPr>
          <w:color w:val="000000" w:themeColor="text1"/>
        </w:rPr>
        <w:t xml:space="preserve"> 1258, 1264 (1933).</w:t>
      </w:r>
    </w:p>
  </w:footnote>
  <w:footnote w:id="453">
    <w:p w14:paraId="199ECD20"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Stone, </w:t>
      </w:r>
      <w:r>
        <w:rPr>
          <w:i/>
          <w:iCs/>
          <w:color w:val="000000" w:themeColor="text1"/>
        </w:rPr>
        <w:t>supra</w:t>
      </w:r>
      <w:r>
        <w:rPr>
          <w:color w:val="000000" w:themeColor="text1"/>
        </w:rPr>
        <w:t xml:space="preserve"> note 463, at 995, 1017.</w:t>
      </w:r>
    </w:p>
  </w:footnote>
  <w:footnote w:id="454">
    <w:p w14:paraId="7C30147F"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Phillips, </w:t>
      </w:r>
      <w:r>
        <w:rPr>
          <w:i/>
          <w:iCs/>
          <w:color w:val="000000" w:themeColor="text1"/>
        </w:rPr>
        <w:t>supra</w:t>
      </w:r>
      <w:r>
        <w:rPr>
          <w:color w:val="000000" w:themeColor="text1"/>
        </w:rPr>
        <w:t xml:space="preserve"> note 471, at 1267 (“The commencement of an arbitration proceeding by court compulsion means a vanishing of its voluntary nature, and a spirit of litigation prevails.”);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109–10; </w:t>
      </w:r>
      <w:r>
        <w:rPr>
          <w:smallCaps/>
          <w:color w:val="000000" w:themeColor="text1"/>
        </w:rPr>
        <w:t>Abel Vol 1</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235–40; </w:t>
      </w:r>
      <w:r>
        <w:rPr>
          <w:smallCaps/>
          <w:color w:val="000000" w:themeColor="text1"/>
        </w:rPr>
        <w:t>Abel Vol 2</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_Ref217243451 \h  \* MERGEFORMAT </w:instrText>
      </w:r>
      <w:r>
        <w:rPr>
          <w:color w:val="000000" w:themeColor="text1"/>
        </w:rPr>
      </w:r>
      <w:r>
        <w:rPr>
          <w:color w:val="000000" w:themeColor="text1"/>
        </w:rPr>
        <w:fldChar w:fldCharType="separate"/>
      </w:r>
      <w:r>
        <w:rPr>
          <w:color w:val="000000" w:themeColor="text1"/>
        </w:rPr>
        <w:t>527</w:t>
      </w:r>
      <w:r>
        <w:rPr>
          <w:color w:val="000000" w:themeColor="text1"/>
        </w:rPr>
        <w:fldChar w:fldCharType="end"/>
      </w:r>
      <w:r>
        <w:rPr>
          <w:color w:val="000000" w:themeColor="text1"/>
        </w:rPr>
        <w:t xml:space="preserve">, at 37–41;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xml:space="preserve">, at 182; </w:t>
      </w:r>
      <w:r>
        <w:rPr>
          <w:smallCaps/>
          <w:color w:val="000000" w:themeColor="text1"/>
        </w:rPr>
        <w:t>Harrington</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171.</w:t>
      </w:r>
    </w:p>
  </w:footnote>
  <w:footnote w:id="455">
    <w:p w14:paraId="5B8F3E1A"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111.</w:t>
      </w:r>
    </w:p>
  </w:footnote>
  <w:footnote w:id="456">
    <w:p w14:paraId="214E4FED"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 xml:space="preserve">at 112–13; </w:t>
      </w:r>
      <w:proofErr w:type="spellStart"/>
      <w:r>
        <w:rPr>
          <w:smallCaps/>
          <w:color w:val="000000" w:themeColor="text1"/>
        </w:rPr>
        <w:t>Macneil</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61–63. </w:t>
      </w:r>
    </w:p>
  </w:footnote>
  <w:footnote w:id="457">
    <w:p w14:paraId="545D00D4" w14:textId="77777777" w:rsidR="00DC61DB" w:rsidRPr="005B3E31" w:rsidRDefault="00DC61DB" w:rsidP="003D74D8">
      <w:pPr>
        <w:spacing w:line="480" w:lineRule="auto"/>
        <w:ind w:left="-15" w:right="17"/>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Carrie </w:t>
      </w:r>
      <w:proofErr w:type="spellStart"/>
      <w:r>
        <w:rPr>
          <w:color w:val="000000" w:themeColor="text1"/>
          <w:sz w:val="20"/>
          <w:szCs w:val="20"/>
        </w:rPr>
        <w:t>Menkel</w:t>
      </w:r>
      <w:proofErr w:type="spellEnd"/>
      <w:r>
        <w:rPr>
          <w:color w:val="000000" w:themeColor="text1"/>
          <w:sz w:val="20"/>
          <w:szCs w:val="20"/>
        </w:rPr>
        <w:t xml:space="preserve">-Meadow, </w:t>
      </w:r>
      <w:r>
        <w:rPr>
          <w:i/>
          <w:iCs/>
          <w:color w:val="000000" w:themeColor="text1"/>
          <w:sz w:val="20"/>
          <w:szCs w:val="20"/>
        </w:rPr>
        <w:t>Toward Another View of Legal Negotiation: The Structure of Problem Solving</w:t>
      </w:r>
      <w:r>
        <w:rPr>
          <w:color w:val="000000" w:themeColor="text1"/>
          <w:sz w:val="20"/>
          <w:szCs w:val="20"/>
        </w:rPr>
        <w:t xml:space="preserve">, 31 </w:t>
      </w:r>
      <w:r>
        <w:rPr>
          <w:smallCaps/>
          <w:color w:val="000000" w:themeColor="text1"/>
          <w:sz w:val="20"/>
          <w:szCs w:val="20"/>
        </w:rPr>
        <w:t>UCLA L. Rev</w:t>
      </w:r>
      <w:r>
        <w:rPr>
          <w:color w:val="000000" w:themeColor="text1"/>
          <w:sz w:val="20"/>
          <w:szCs w:val="20"/>
        </w:rPr>
        <w:t>. 754 (1984)</w:t>
      </w:r>
      <w:r>
        <w:rPr>
          <w:i/>
          <w:color w:val="000000" w:themeColor="text1"/>
          <w:sz w:val="20"/>
          <w:szCs w:val="20"/>
        </w:rPr>
        <w:t xml:space="preserve">; </w:t>
      </w:r>
      <w:r>
        <w:rPr>
          <w:iCs/>
          <w:color w:val="000000" w:themeColor="text1"/>
          <w:sz w:val="20"/>
          <w:szCs w:val="20"/>
        </w:rPr>
        <w:t xml:space="preserve">William L. F. </w:t>
      </w:r>
      <w:proofErr w:type="spellStart"/>
      <w:r>
        <w:rPr>
          <w:iCs/>
          <w:color w:val="000000" w:themeColor="text1"/>
          <w:sz w:val="20"/>
          <w:szCs w:val="20"/>
        </w:rPr>
        <w:t>Felstiner</w:t>
      </w:r>
      <w:proofErr w:type="spellEnd"/>
      <w:r>
        <w:rPr>
          <w:iCs/>
          <w:color w:val="000000" w:themeColor="text1"/>
          <w:sz w:val="20"/>
          <w:szCs w:val="20"/>
        </w:rPr>
        <w:t xml:space="preserve"> et al., </w:t>
      </w:r>
      <w:r>
        <w:rPr>
          <w:i/>
          <w:color w:val="000000" w:themeColor="text1"/>
          <w:sz w:val="20"/>
          <w:szCs w:val="20"/>
        </w:rPr>
        <w:t>The Emergence and Transformation of Disputes: Naming, Blaming, Claiming</w:t>
      </w:r>
      <w:r>
        <w:rPr>
          <w:iCs/>
          <w:color w:val="000000" w:themeColor="text1"/>
          <w:sz w:val="20"/>
          <w:szCs w:val="20"/>
        </w:rPr>
        <w:t xml:space="preserve">, 15 </w:t>
      </w:r>
      <w:r>
        <w:rPr>
          <w:iCs/>
          <w:smallCaps/>
          <w:color w:val="000000" w:themeColor="text1"/>
          <w:sz w:val="20"/>
          <w:szCs w:val="20"/>
        </w:rPr>
        <w:t>Law &amp; Soc’y Rev</w:t>
      </w:r>
      <w:r>
        <w:rPr>
          <w:iCs/>
          <w:color w:val="000000" w:themeColor="text1"/>
          <w:sz w:val="20"/>
          <w:szCs w:val="20"/>
        </w:rPr>
        <w:t>. 631, 647–49 (1980–81).</w:t>
      </w:r>
      <w:r>
        <w:rPr>
          <w:color w:val="000000" w:themeColor="text1"/>
          <w:sz w:val="20"/>
          <w:szCs w:val="20"/>
        </w:rPr>
        <w:t xml:space="preserve"> </w:t>
      </w:r>
    </w:p>
  </w:footnote>
  <w:footnote w:id="458">
    <w:p w14:paraId="0EF594AB"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Roman Arbitration</w:t>
      </w:r>
      <w:r>
        <w:rPr>
          <w:color w:val="000000" w:themeColor="text1"/>
        </w:rPr>
        <w:t xml:space="preserve"> 94, 103, 171, 196 (2004).</w:t>
      </w:r>
    </w:p>
  </w:footnote>
  <w:footnote w:id="459">
    <w:p w14:paraId="7E551AD1"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Fredric L. Cheyette, </w:t>
      </w:r>
      <w:proofErr w:type="spellStart"/>
      <w:r>
        <w:rPr>
          <w:i/>
          <w:iCs/>
          <w:color w:val="000000" w:themeColor="text1"/>
          <w:lang w:val="en"/>
        </w:rPr>
        <w:t>Suum</w:t>
      </w:r>
      <w:proofErr w:type="spellEnd"/>
      <w:r>
        <w:rPr>
          <w:i/>
          <w:iCs/>
          <w:color w:val="000000" w:themeColor="text1"/>
          <w:lang w:val="en"/>
        </w:rPr>
        <w:t xml:space="preserve"> Cuique </w:t>
      </w:r>
      <w:proofErr w:type="spellStart"/>
      <w:r>
        <w:rPr>
          <w:i/>
          <w:iCs/>
          <w:color w:val="000000" w:themeColor="text1"/>
          <w:lang w:val="en"/>
        </w:rPr>
        <w:t>Tribuere</w:t>
      </w:r>
      <w:proofErr w:type="spellEnd"/>
      <w:r>
        <w:rPr>
          <w:color w:val="000000" w:themeColor="text1"/>
          <w:lang w:val="en"/>
        </w:rPr>
        <w:t xml:space="preserve">, 6 </w:t>
      </w:r>
      <w:r>
        <w:rPr>
          <w:smallCaps/>
          <w:color w:val="000000" w:themeColor="text1"/>
          <w:lang w:val="en"/>
        </w:rPr>
        <w:t>French Hist. Stud</w:t>
      </w:r>
      <w:r>
        <w:rPr>
          <w:color w:val="000000" w:themeColor="text1"/>
          <w:lang w:val="en"/>
        </w:rPr>
        <w:t>. 287, 296–97 (1970).</w:t>
      </w:r>
    </w:p>
  </w:footnote>
  <w:footnote w:id="460">
    <w:p w14:paraId="21F2B4B2"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Bruce H. Mann, </w:t>
      </w:r>
      <w:r>
        <w:rPr>
          <w:i/>
          <w:iCs/>
          <w:color w:val="000000" w:themeColor="text1"/>
        </w:rPr>
        <w:t>The Formalization of Informal Law: Arbitration Before the American Revolution</w:t>
      </w:r>
      <w:r>
        <w:rPr>
          <w:color w:val="000000" w:themeColor="text1"/>
          <w:lang w:val="en"/>
        </w:rPr>
        <w:t xml:space="preserve">, 59 </w:t>
      </w:r>
      <w:r>
        <w:rPr>
          <w:smallCaps/>
          <w:color w:val="000000" w:themeColor="text1"/>
          <w:lang w:val="en"/>
        </w:rPr>
        <w:t>N.Y.U. L. Rev</w:t>
      </w:r>
      <w:r>
        <w:rPr>
          <w:color w:val="000000" w:themeColor="text1"/>
          <w:lang w:val="en"/>
        </w:rPr>
        <w:t>. 443, 477 &amp; n.139 (1984).</w:t>
      </w:r>
    </w:p>
  </w:footnote>
  <w:footnote w:id="461">
    <w:p w14:paraId="770AD260"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84–85.</w:t>
      </w:r>
    </w:p>
  </w:footnote>
  <w:footnote w:id="462">
    <w:p w14:paraId="7535922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Kermit L. Hall, </w:t>
      </w:r>
      <w:r>
        <w:rPr>
          <w:i/>
          <w:iCs/>
          <w:color w:val="000000" w:themeColor="text1"/>
        </w:rPr>
        <w:t>The Courts, 1790–1920</w:t>
      </w:r>
      <w:r>
        <w:rPr>
          <w:color w:val="000000" w:themeColor="text1"/>
        </w:rPr>
        <w:t xml:space="preserve">, in 2 </w:t>
      </w:r>
      <w:r>
        <w:rPr>
          <w:smallCaps/>
          <w:color w:val="000000" w:themeColor="text1"/>
        </w:rPr>
        <w:t>The Cambridge History of Law in America</w:t>
      </w:r>
      <w:r>
        <w:rPr>
          <w:color w:val="000000" w:themeColor="text1"/>
        </w:rPr>
        <w:t xml:space="preserve"> 106, 118 (Michael Grossberg &amp; Christopher Tomlins eds., 2008);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97, 125.</w:t>
      </w:r>
    </w:p>
  </w:footnote>
  <w:footnote w:id="463">
    <w:p w14:paraId="2335B85E"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Daniel R. Ernst, Law and the State, 1920–2000: Institutional Growth and Structural Change, in 3 The Cambridge History of Law in America 1, 6–7, 13–15 (Michael Grossberg &amp; Christopher Tomlins eds., 2008).</w:t>
      </w:r>
    </w:p>
  </w:footnote>
  <w:footnote w:id="464">
    <w:p w14:paraId="5EEEB6E7" w14:textId="77777777" w:rsidR="006E4097" w:rsidRPr="005B3E31" w:rsidRDefault="006E409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Christine B. Harrington, </w:t>
      </w:r>
      <w:proofErr w:type="spellStart"/>
      <w:r>
        <w:rPr>
          <w:i/>
          <w:iCs/>
          <w:color w:val="000000" w:themeColor="text1"/>
        </w:rPr>
        <w:t>Delegalization</w:t>
      </w:r>
      <w:proofErr w:type="spellEnd"/>
      <w:r>
        <w:rPr>
          <w:i/>
          <w:iCs/>
          <w:color w:val="000000" w:themeColor="text1"/>
        </w:rPr>
        <w:t xml:space="preserve"> Reform Movements: A Historical Analysis</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35, 41–45 (Richard L. Abel ed., 1982).</w:t>
      </w:r>
    </w:p>
  </w:footnote>
  <w:footnote w:id="465">
    <w:p w14:paraId="06EBA41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Amalia D. Kessler, </w:t>
      </w:r>
      <w:r>
        <w:rPr>
          <w:i/>
          <w:iCs/>
          <w:color w:val="000000" w:themeColor="text1"/>
          <w:lang w:val="en"/>
        </w:rPr>
        <w:t>Arbitration and Americanization: The Paternalism of Progressive Procedural Reform</w:t>
      </w:r>
      <w:r>
        <w:rPr>
          <w:color w:val="000000" w:themeColor="text1"/>
          <w:lang w:val="en"/>
        </w:rPr>
        <w:t xml:space="preserve">, 124 </w:t>
      </w:r>
      <w:r>
        <w:rPr>
          <w:smallCaps/>
          <w:color w:val="000000" w:themeColor="text1"/>
          <w:lang w:val="en"/>
        </w:rPr>
        <w:t>Yale L.J.</w:t>
      </w:r>
      <w:r>
        <w:rPr>
          <w:color w:val="000000" w:themeColor="text1"/>
          <w:lang w:val="en"/>
        </w:rPr>
        <w:t xml:space="preserve"> 2940, 2951–56 (2015).</w:t>
      </w:r>
    </w:p>
  </w:footnote>
  <w:footnote w:id="466">
    <w:p w14:paraId="19020C73"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Mann, </w:t>
      </w:r>
      <w:r>
        <w:rPr>
          <w:i/>
          <w:iCs/>
          <w:color w:val="000000" w:themeColor="text1"/>
          <w:lang w:val="en"/>
        </w:rPr>
        <w:t>supra</w:t>
      </w:r>
      <w:r>
        <w:rPr>
          <w:color w:val="000000" w:themeColor="text1"/>
          <w:lang w:val="en"/>
        </w:rPr>
        <w:t xml:space="preserve"> note </w:t>
      </w:r>
      <w:r>
        <w:rPr>
          <w:color w:val="000000" w:themeColor="text1"/>
          <w:lang w:val="en"/>
        </w:rPr>
        <w:fldChar w:fldCharType="begin"/>
      </w:r>
      <w:r>
        <w:rPr>
          <w:color w:val="000000" w:themeColor="text1"/>
          <w:lang w:val="en"/>
        </w:rPr>
        <w:instrText xml:space="preserve"> NOTEREF _Ref218970328 \h  \* MERGEFORMAT </w:instrText>
      </w:r>
      <w:r>
        <w:rPr>
          <w:color w:val="000000" w:themeColor="text1"/>
          <w:lang w:val="en"/>
        </w:rPr>
      </w:r>
      <w:r>
        <w:rPr>
          <w:color w:val="000000" w:themeColor="text1"/>
          <w:lang w:val="en"/>
        </w:rPr>
        <w:fldChar w:fldCharType="separate"/>
      </w:r>
      <w:r>
        <w:rPr>
          <w:color w:val="000000" w:themeColor="text1"/>
          <w:lang w:val="en"/>
        </w:rPr>
        <w:t>387</w:t>
      </w:r>
      <w:r>
        <w:rPr>
          <w:color w:val="000000" w:themeColor="text1"/>
          <w:lang w:val="en"/>
        </w:rPr>
        <w:fldChar w:fldCharType="end"/>
      </w:r>
      <w:r>
        <w:rPr>
          <w:color w:val="000000" w:themeColor="text1"/>
          <w:lang w:val="en"/>
        </w:rPr>
        <w:t xml:space="preserve">, </w:t>
      </w:r>
      <w:r>
        <w:rPr>
          <w:color w:val="000000" w:themeColor="text1"/>
        </w:rPr>
        <w:t xml:space="preserve">at 444 &amp; n.4; Richard L. Abel, </w:t>
      </w:r>
      <w:r>
        <w:rPr>
          <w:i/>
          <w:iCs/>
          <w:color w:val="000000" w:themeColor="text1"/>
          <w:lang w:val="en"/>
        </w:rPr>
        <w:t>The Contradictions of Informal Justice</w:t>
      </w:r>
      <w:r>
        <w:rPr>
          <w:color w:val="000000" w:themeColor="text1"/>
        </w:rPr>
        <w:t xml:space="preserve">, </w:t>
      </w:r>
      <w:r>
        <w:rPr>
          <w:i/>
          <w:iCs/>
          <w:color w:val="000000" w:themeColor="text1"/>
          <w:lang w:val="en"/>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267, 270–79 (Richard L. Abel ed., 1982).</w:t>
      </w:r>
    </w:p>
  </w:footnote>
  <w:footnote w:id="467">
    <w:p w14:paraId="7EA45D4F"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Abel,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267–69, 275–76; Harrington, </w:t>
      </w:r>
      <w:r>
        <w:rPr>
          <w:i/>
          <w:iCs/>
          <w:color w:val="000000" w:themeColor="text1"/>
        </w:rPr>
        <w:t>supra</w:t>
      </w:r>
      <w:r>
        <w:rPr>
          <w:color w:val="000000" w:themeColor="text1"/>
        </w:rPr>
        <w:t xml:space="preserve"> note 483, at 41–42; </w:t>
      </w:r>
      <w:proofErr w:type="spellStart"/>
      <w:r>
        <w:rPr>
          <w:color w:val="000000" w:themeColor="text1"/>
        </w:rPr>
        <w:t>Menkel</w:t>
      </w:r>
      <w:proofErr w:type="spellEnd"/>
      <w:r>
        <w:rPr>
          <w:color w:val="000000" w:themeColor="text1"/>
        </w:rPr>
        <w:t>-Meadow,</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_Ref218974499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at 13–25.</w:t>
      </w:r>
    </w:p>
  </w:footnote>
  <w:footnote w:id="468">
    <w:p w14:paraId="029C8F1F"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Edward Powell, </w:t>
      </w:r>
      <w:r>
        <w:rPr>
          <w:i/>
          <w:iCs/>
          <w:color w:val="000000" w:themeColor="text1"/>
          <w:lang w:val="en"/>
        </w:rPr>
        <w:t>Settlement of Disputes by Arbitration in Fifteenth-Century England</w:t>
      </w:r>
      <w:r>
        <w:rPr>
          <w:color w:val="000000" w:themeColor="text1"/>
          <w:lang w:val="en"/>
        </w:rPr>
        <w:t xml:space="preserve">, 2 </w:t>
      </w:r>
      <w:r>
        <w:rPr>
          <w:smallCaps/>
          <w:color w:val="000000" w:themeColor="text1"/>
          <w:lang w:val="en"/>
        </w:rPr>
        <w:t>Law &amp; Hist. Rev</w:t>
      </w:r>
      <w:r>
        <w:rPr>
          <w:color w:val="000000" w:themeColor="text1"/>
          <w:lang w:val="en"/>
        </w:rPr>
        <w:t>. 21, 21 (1984).</w:t>
      </w:r>
    </w:p>
  </w:footnote>
  <w:footnote w:id="469">
    <w:p w14:paraId="4B2B4FA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w:t>
      </w:r>
      <w:r>
        <w:rPr>
          <w:color w:val="000000" w:themeColor="text1"/>
          <w:lang w:val="en"/>
        </w:rPr>
        <w:t>24.</w:t>
      </w:r>
    </w:p>
  </w:footnote>
  <w:footnote w:id="470">
    <w:p w14:paraId="579ADC9C" w14:textId="77777777" w:rsidR="00A46F96" w:rsidRPr="005B3E31" w:rsidRDefault="00A46F96" w:rsidP="003D74D8">
      <w:pPr>
        <w:pStyle w:val="FootnoteText"/>
        <w:spacing w:line="480" w:lineRule="auto"/>
        <w:rPr>
          <w:color w:val="000000" w:themeColor="text1"/>
        </w:rPr>
      </w:pPr>
      <w:r>
        <w:rPr>
          <w:rStyle w:val="FootnoteReference"/>
          <w:color w:val="000000" w:themeColor="text1"/>
        </w:rPr>
        <w:footnoteRef/>
      </w:r>
      <w:proofErr w:type="spellStart"/>
      <w:r>
        <w:rPr>
          <w:smallCaps/>
          <w:color w:val="000000" w:themeColor="text1"/>
        </w:rPr>
        <w:t>Sharswood</w:t>
      </w:r>
      <w:proofErr w:type="spellEnd"/>
      <w:r>
        <w:rPr>
          <w:color w:val="000000" w:themeColor="text1"/>
        </w:rPr>
        <w:t xml:space="preserve">, </w:t>
      </w:r>
      <w:r>
        <w:rPr>
          <w:i/>
          <w:iCs/>
          <w:color w:val="000000" w:themeColor="text1"/>
        </w:rPr>
        <w:t>supra</w:t>
      </w:r>
      <w:r>
        <w:rPr>
          <w:color w:val="000000" w:themeColor="text1"/>
        </w:rPr>
        <w:t xml:space="preserve"> note 446, at 192; Robert A. Kagan, </w:t>
      </w:r>
      <w:r>
        <w:rPr>
          <w:i/>
          <w:iCs/>
          <w:color w:val="000000" w:themeColor="text1"/>
        </w:rPr>
        <w:t xml:space="preserve">Do Lawyers Cause Adversarial </w:t>
      </w:r>
      <w:proofErr w:type="gramStart"/>
      <w:r>
        <w:rPr>
          <w:i/>
          <w:iCs/>
          <w:color w:val="000000" w:themeColor="text1"/>
        </w:rPr>
        <w:t>Legalism?</w:t>
      </w:r>
      <w:r>
        <w:rPr>
          <w:color w:val="000000" w:themeColor="text1"/>
        </w:rPr>
        <w:t>,</w:t>
      </w:r>
      <w:proofErr w:type="gramEnd"/>
      <w:r>
        <w:rPr>
          <w:color w:val="000000" w:themeColor="text1"/>
        </w:rPr>
        <w:t xml:space="preserve"> 19 </w:t>
      </w:r>
      <w:r>
        <w:rPr>
          <w:smallCaps/>
          <w:color w:val="000000" w:themeColor="text1"/>
        </w:rPr>
        <w:t>Law &amp; Soc. Inquiry</w:t>
      </w:r>
      <w:r>
        <w:rPr>
          <w:color w:val="000000" w:themeColor="text1"/>
        </w:rPr>
        <w:t xml:space="preserve"> 1, 34–38 (1994); Brian A. Pappas, </w:t>
      </w:r>
      <w:r>
        <w:rPr>
          <w:i/>
          <w:iCs/>
          <w:color w:val="000000" w:themeColor="text1"/>
        </w:rPr>
        <w:t>Med-Arb and the Legalization of Alternative Dispute Resolution</w:t>
      </w:r>
      <w:r>
        <w:rPr>
          <w:color w:val="000000" w:themeColor="text1"/>
        </w:rPr>
        <w:t xml:space="preserve">, 20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157, 163–64 (2015). </w:t>
      </w:r>
    </w:p>
  </w:footnote>
  <w:footnote w:id="471">
    <w:p w14:paraId="6B0E2695"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Kristen Blankley, </w:t>
      </w:r>
      <w:r>
        <w:rPr>
          <w:i/>
          <w:iCs/>
          <w:color w:val="000000" w:themeColor="text1"/>
        </w:rPr>
        <w:t>The New Federal Arbitration Law: A Call to Ethical Practice Not Yet Realized, in</w:t>
      </w:r>
      <w:r>
        <w:rPr>
          <w:color w:val="000000" w:themeColor="text1"/>
        </w:rPr>
        <w:t xml:space="preserve"> </w:t>
      </w:r>
      <w:r>
        <w:rPr>
          <w:smallCaps/>
          <w:color w:val="000000" w:themeColor="text1"/>
        </w:rPr>
        <w:t>Discussions in Dispute Resolution: The Foundational Articles</w:t>
      </w:r>
      <w:r>
        <w:rPr>
          <w:color w:val="000000" w:themeColor="text1"/>
        </w:rPr>
        <w:t xml:space="preserve"> 216, 219 (Art Hinshaw et al. eds., 2021).</w:t>
      </w:r>
    </w:p>
  </w:footnote>
  <w:footnote w:id="472">
    <w:p w14:paraId="18EB2123"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142.</w:t>
      </w:r>
    </w:p>
  </w:footnote>
  <w:footnote w:id="473">
    <w:p w14:paraId="0F62EAB3" w14:textId="77777777" w:rsidR="00690999" w:rsidRPr="005B3E31" w:rsidRDefault="006909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Lisa Bernstein, </w:t>
      </w:r>
      <w:r>
        <w:rPr>
          <w:i/>
          <w:iCs/>
          <w:color w:val="000000" w:themeColor="text1"/>
        </w:rPr>
        <w:t>Understanding the Limits of Court-Connected ADR: A Critique of Federal Court-Annexed Arbitration Programs</w:t>
      </w:r>
      <w:r>
        <w:rPr>
          <w:color w:val="000000" w:themeColor="text1"/>
        </w:rPr>
        <w:t xml:space="preserve">, 141 </w:t>
      </w:r>
      <w:r>
        <w:rPr>
          <w:smallCaps/>
          <w:color w:val="000000" w:themeColor="text1"/>
        </w:rPr>
        <w:t>U. Pa. L. Rev.</w:t>
      </w:r>
      <w:r>
        <w:rPr>
          <w:color w:val="000000" w:themeColor="text1"/>
        </w:rPr>
        <w:t xml:space="preserve"> 2169, 2181–87 (1993);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1659 (2023).</w:t>
      </w:r>
    </w:p>
  </w:footnote>
  <w:footnote w:id="474">
    <w:p w14:paraId="60D2843B" w14:textId="77777777" w:rsidR="00573FFD" w:rsidRPr="005B3E31" w:rsidRDefault="00573FFD" w:rsidP="003D74D8">
      <w:pPr>
        <w:pStyle w:val="FootnoteText"/>
        <w:spacing w:line="480" w:lineRule="auto"/>
        <w:rPr>
          <w:i/>
          <w:iCs/>
          <w:color w:val="000000" w:themeColor="text1"/>
        </w:rPr>
      </w:pPr>
      <w:r>
        <w:rPr>
          <w:rStyle w:val="FootnoteReference"/>
          <w:color w:val="000000" w:themeColor="text1"/>
        </w:rPr>
        <w:footnoteRef/>
      </w:r>
      <w:r>
        <w:rPr>
          <w:color w:val="000000" w:themeColor="text1"/>
        </w:rPr>
        <w:t xml:space="preserve"> D. Michael </w:t>
      </w:r>
      <w:proofErr w:type="spellStart"/>
      <w:r>
        <w:rPr>
          <w:color w:val="000000" w:themeColor="text1"/>
        </w:rPr>
        <w:t>Risinger</w:t>
      </w:r>
      <w:proofErr w:type="spellEnd"/>
      <w:r>
        <w:rPr>
          <w:color w:val="000000" w:themeColor="text1"/>
        </w:rPr>
        <w:t xml:space="preserve">, </w:t>
      </w:r>
      <w:r>
        <w:rPr>
          <w:i/>
          <w:iCs/>
          <w:color w:val="000000" w:themeColor="text1"/>
        </w:rPr>
        <w:t>Honesty in Pleading and Its Enforcement: Some “Striking” Problems with Federal Rule of Civil Procedure 11</w:t>
      </w:r>
      <w:r>
        <w:rPr>
          <w:color w:val="000000" w:themeColor="text1"/>
        </w:rPr>
        <w:t xml:space="preserve">, 61 </w:t>
      </w:r>
      <w:r>
        <w:rPr>
          <w:smallCaps/>
          <w:color w:val="000000" w:themeColor="text1"/>
        </w:rPr>
        <w:t>Minn. L. Rev</w:t>
      </w:r>
      <w:r>
        <w:rPr>
          <w:color w:val="000000" w:themeColor="text1"/>
        </w:rPr>
        <w:t>. 1, 34–36 (1976)</w:t>
      </w:r>
    </w:p>
    <w:p w14:paraId="0727B5E9" w14:textId="77777777" w:rsidR="00573FFD" w:rsidRPr="005B3E31" w:rsidRDefault="00573FFD" w:rsidP="003D74D8">
      <w:pPr>
        <w:pStyle w:val="FootnoteText"/>
        <w:spacing w:line="480" w:lineRule="auto"/>
        <w:rPr>
          <w:color w:val="000000" w:themeColor="text1"/>
        </w:rPr>
      </w:pPr>
      <w:r>
        <w:rPr>
          <w:color w:val="000000" w:themeColor="text1"/>
        </w:rPr>
        <w:t>.</w:t>
      </w:r>
    </w:p>
  </w:footnote>
  <w:footnote w:id="475">
    <w:p w14:paraId="197A6365" w14:textId="77777777" w:rsidR="00573FFD" w:rsidRPr="005B3E31" w:rsidRDefault="00573FFD" w:rsidP="003D74D8">
      <w:pPr>
        <w:spacing w:line="480" w:lineRule="auto"/>
        <w:ind w:right="17"/>
        <w:rPr>
          <w:smallCap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Sally Engle Merry, Getting Justice and Getting Even: Legal Consciousness Among Working-Class Americans</w:t>
      </w:r>
      <w:r>
        <w:rPr>
          <w:color w:val="000000" w:themeColor="text1"/>
          <w:sz w:val="20"/>
          <w:szCs w:val="20"/>
        </w:rPr>
        <w:t xml:space="preserve"> 98–108 (1990); </w:t>
      </w:r>
      <w:r>
        <w:rPr>
          <w:smallCaps/>
          <w:color w:val="000000" w:themeColor="text1"/>
          <w:sz w:val="20"/>
          <w:szCs w:val="20"/>
        </w:rPr>
        <w:t>Pirie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_Ref218971611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w:t>
      </w:r>
      <w:r>
        <w:rPr>
          <w:color w:val="000000" w:themeColor="text1"/>
          <w:sz w:val="20"/>
          <w:szCs w:val="20"/>
        </w:rPr>
        <w:fldChar w:fldCharType="end"/>
      </w:r>
      <w:r>
        <w:rPr>
          <w:color w:val="000000" w:themeColor="text1"/>
          <w:sz w:val="20"/>
          <w:szCs w:val="20"/>
        </w:rPr>
        <w:t>, at 53–56;</w:t>
      </w:r>
      <w:r>
        <w:rPr>
          <w:i/>
          <w:color w:val="000000" w:themeColor="text1"/>
          <w:sz w:val="20"/>
          <w:szCs w:val="20"/>
        </w:rPr>
        <w:t xml:space="preserve"> </w:t>
      </w:r>
      <w:r>
        <w:rPr>
          <w:color w:val="000000" w:themeColor="text1"/>
          <w:sz w:val="20"/>
          <w:szCs w:val="20"/>
        </w:rPr>
        <w:t xml:space="preserve"> Lynn Mather &amp; Barbara </w:t>
      </w:r>
      <w:proofErr w:type="spellStart"/>
      <w:r>
        <w:rPr>
          <w:color w:val="000000" w:themeColor="text1"/>
          <w:sz w:val="20"/>
          <w:szCs w:val="20"/>
        </w:rPr>
        <w:t>Yngvesson</w:t>
      </w:r>
      <w:proofErr w:type="spellEnd"/>
      <w:r>
        <w:rPr>
          <w:color w:val="000000" w:themeColor="text1"/>
          <w:sz w:val="20"/>
          <w:szCs w:val="20"/>
        </w:rPr>
        <w:t xml:space="preserve">, </w:t>
      </w:r>
      <w:r>
        <w:rPr>
          <w:i/>
          <w:iCs/>
          <w:color w:val="000000" w:themeColor="text1"/>
          <w:sz w:val="20"/>
          <w:szCs w:val="20"/>
        </w:rPr>
        <w:t>Language, Audience, and the Transformation of Disputes</w:t>
      </w:r>
      <w:r>
        <w:rPr>
          <w:color w:val="000000" w:themeColor="text1"/>
          <w:sz w:val="20"/>
          <w:szCs w:val="20"/>
        </w:rPr>
        <w:t xml:space="preserve">, 15 </w:t>
      </w:r>
      <w:r>
        <w:rPr>
          <w:smallCaps/>
          <w:color w:val="000000" w:themeColor="text1"/>
          <w:sz w:val="20"/>
          <w:szCs w:val="20"/>
        </w:rPr>
        <w:t>Law &amp; Soc’y Rev</w:t>
      </w:r>
      <w:r>
        <w:rPr>
          <w:color w:val="000000" w:themeColor="text1"/>
          <w:sz w:val="20"/>
          <w:szCs w:val="20"/>
        </w:rPr>
        <w:t>. 775, 776–78 (1980–81).</w:t>
      </w:r>
    </w:p>
  </w:footnote>
  <w:footnote w:id="476">
    <w:p w14:paraId="0743D291" w14:textId="77777777"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Stephen J. Ware, Principles of Alternative Dispute Resolution</w:t>
      </w:r>
      <w:r>
        <w:rPr>
          <w:color w:val="000000" w:themeColor="text1"/>
          <w:sz w:val="20"/>
          <w:szCs w:val="20"/>
        </w:rPr>
        <w:t xml:space="preserve"> 290–91 (4th ed. 2023); </w:t>
      </w:r>
      <w:r>
        <w:rPr>
          <w:smallCaps/>
          <w:color w:val="000000" w:themeColor="text1"/>
          <w:sz w:val="20"/>
          <w:szCs w:val="20"/>
        </w:rPr>
        <w:t>Lieberman</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178; </w:t>
      </w:r>
      <w:r>
        <w:rPr>
          <w:smallCaps/>
          <w:color w:val="000000" w:themeColor="text1"/>
          <w:sz w:val="20"/>
          <w:szCs w:val="20"/>
        </w:rPr>
        <w:t>Abel Vol 2</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_Ref217243451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527</w:t>
      </w:r>
      <w:r>
        <w:rPr>
          <w:color w:val="000000" w:themeColor="text1"/>
          <w:sz w:val="20"/>
          <w:szCs w:val="20"/>
        </w:rPr>
        <w:fldChar w:fldCharType="end"/>
      </w:r>
      <w:r>
        <w:rPr>
          <w:color w:val="000000" w:themeColor="text1"/>
          <w:sz w:val="20"/>
          <w:szCs w:val="20"/>
        </w:rPr>
        <w:t xml:space="preserve">, at 192; Derek C. Bok, </w:t>
      </w:r>
      <w:r>
        <w:rPr>
          <w:i/>
          <w:iCs/>
          <w:color w:val="000000" w:themeColor="text1"/>
          <w:sz w:val="20"/>
          <w:szCs w:val="20"/>
        </w:rPr>
        <w:t>A Flawed System of Law Practice and Training</w:t>
      </w:r>
      <w:r>
        <w:rPr>
          <w:color w:val="000000" w:themeColor="text1"/>
          <w:sz w:val="20"/>
          <w:szCs w:val="20"/>
        </w:rPr>
        <w:t xml:space="preserve">, 33 </w:t>
      </w:r>
      <w:r>
        <w:rPr>
          <w:smallCaps/>
          <w:color w:val="000000" w:themeColor="text1"/>
          <w:sz w:val="20"/>
          <w:szCs w:val="20"/>
        </w:rPr>
        <w:t>J. Legal Educ.</w:t>
      </w:r>
      <w:r>
        <w:rPr>
          <w:color w:val="000000" w:themeColor="text1"/>
          <w:sz w:val="20"/>
          <w:szCs w:val="20"/>
        </w:rPr>
        <w:t xml:space="preserve"> 570, 582 (1983) (“Law </w:t>
      </w:r>
      <w:proofErr w:type="spellStart"/>
      <w:r>
        <w:rPr>
          <w:color w:val="000000" w:themeColor="text1"/>
          <w:sz w:val="20"/>
          <w:szCs w:val="20"/>
        </w:rPr>
        <w:t>schools</w:t>
      </w:r>
      <w:proofErr w:type="spellEnd"/>
      <w:r>
        <w:rPr>
          <w:color w:val="000000" w:themeColor="text1"/>
          <w:sz w:val="20"/>
          <w:szCs w:val="20"/>
        </w:rPr>
        <w:t xml:space="preserve"> celebrate this effort by constantly telling students that they are being taught ‘to think like a lawyer.’ . . . [T]he capacity to think like a lawyer has produced many triumphs, but it has also helped to produce a legal system that is among the most expensive and least efficient in the world”); Deborah R. </w:t>
      </w:r>
      <w:proofErr w:type="spellStart"/>
      <w:r>
        <w:rPr>
          <w:color w:val="000000" w:themeColor="text1"/>
          <w:sz w:val="20"/>
          <w:szCs w:val="20"/>
        </w:rPr>
        <w:t>Hensler</w:t>
      </w:r>
      <w:proofErr w:type="spellEnd"/>
      <w:r>
        <w:rPr>
          <w:color w:val="000000" w:themeColor="text1"/>
          <w:sz w:val="20"/>
          <w:szCs w:val="20"/>
        </w:rPr>
        <w:t xml:space="preserve">, </w:t>
      </w:r>
      <w:r>
        <w:rPr>
          <w:i/>
          <w:iCs/>
          <w:color w:val="000000" w:themeColor="text1"/>
          <w:sz w:val="20"/>
          <w:szCs w:val="20"/>
        </w:rPr>
        <w:t>Suppose It's Not True: Challenging Mediation Ideology</w:t>
      </w:r>
      <w:r>
        <w:rPr>
          <w:color w:val="000000" w:themeColor="text1"/>
          <w:sz w:val="20"/>
          <w:szCs w:val="20"/>
        </w:rPr>
        <w:t xml:space="preserve">, 2002 </w:t>
      </w:r>
      <w:r>
        <w:rPr>
          <w:smallCaps/>
          <w:color w:val="000000" w:themeColor="text1"/>
          <w:sz w:val="20"/>
          <w:szCs w:val="20"/>
        </w:rPr>
        <w:t xml:space="preserve">J. Disp. </w:t>
      </w:r>
      <w:proofErr w:type="spellStart"/>
      <w:r>
        <w:rPr>
          <w:smallCaps/>
          <w:color w:val="000000" w:themeColor="text1"/>
          <w:sz w:val="20"/>
          <w:szCs w:val="20"/>
        </w:rPr>
        <w:t>Resol</w:t>
      </w:r>
      <w:proofErr w:type="spellEnd"/>
      <w:r>
        <w:rPr>
          <w:smallCaps/>
          <w:color w:val="000000" w:themeColor="text1"/>
          <w:sz w:val="20"/>
          <w:szCs w:val="20"/>
        </w:rPr>
        <w:t>.</w:t>
      </w:r>
      <w:r>
        <w:rPr>
          <w:color w:val="000000" w:themeColor="text1"/>
          <w:sz w:val="20"/>
          <w:szCs w:val="20"/>
        </w:rPr>
        <w:t xml:space="preserve"> 81, 97 (“The measure of success of dispute resolution training in law school would be that more lawyers could more effectively advise their clients on when litigation is and is not appropriate, and when they chose litigation, that more of these lawyers could negotiate effectively resolution of legal disputes in the shadow of the law”).</w:t>
      </w:r>
    </w:p>
  </w:footnote>
  <w:footnote w:id="477">
    <w:p w14:paraId="4FF1B2FB"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w:t>
      </w:r>
      <w:proofErr w:type="spellStart"/>
      <w:r>
        <w:rPr>
          <w:color w:val="000000" w:themeColor="text1"/>
        </w:rPr>
        <w:t>Luban</w:t>
      </w:r>
      <w:proofErr w:type="spellEnd"/>
      <w:r>
        <w:rPr>
          <w:color w:val="000000" w:themeColor="text1"/>
        </w:rPr>
        <w:t xml:space="preserve">, </w:t>
      </w:r>
      <w:r>
        <w:rPr>
          <w:i/>
          <w:iCs/>
          <w:color w:val="000000" w:themeColor="text1"/>
        </w:rPr>
        <w:t>Settlements and the Erosion of the Public Realm</w:t>
      </w:r>
      <w:r>
        <w:rPr>
          <w:color w:val="000000" w:themeColor="text1"/>
        </w:rPr>
        <w:t xml:space="preserve">, 83 </w:t>
      </w:r>
      <w:r>
        <w:rPr>
          <w:smallCaps/>
          <w:color w:val="000000" w:themeColor="text1"/>
        </w:rPr>
        <w:t>Geo. L.J.</w:t>
      </w:r>
      <w:r>
        <w:rPr>
          <w:color w:val="000000" w:themeColor="text1"/>
        </w:rPr>
        <w:t xml:space="preserve"> 2619, 2626–39 (1995); </w:t>
      </w:r>
      <w:r>
        <w:rPr>
          <w:i/>
          <w:iCs/>
          <w:color w:val="000000" w:themeColor="text1"/>
        </w:rPr>
        <w:t>see also</w:t>
      </w:r>
      <w:r>
        <w:rPr>
          <w:color w:val="000000" w:themeColor="text1"/>
        </w:rPr>
        <w:t xml:space="preserve"> </w:t>
      </w:r>
      <w:proofErr w:type="spellStart"/>
      <w:r>
        <w:rPr>
          <w:color w:val="000000" w:themeColor="text1"/>
        </w:rPr>
        <w:t>Felstiner</w:t>
      </w:r>
      <w:proofErr w:type="spellEnd"/>
      <w:r>
        <w:rPr>
          <w:color w:val="000000" w:themeColor="text1"/>
        </w:rPr>
        <w:t xml:space="preserve">, Abel &amp; Sarat, </w:t>
      </w:r>
      <w:r>
        <w:rPr>
          <w:i/>
          <w:iCs/>
          <w:color w:val="000000" w:themeColor="text1"/>
        </w:rPr>
        <w:t>supra</w:t>
      </w:r>
      <w:r>
        <w:rPr>
          <w:color w:val="000000" w:themeColor="text1"/>
        </w:rPr>
        <w:t xml:space="preserve"> note 476, at 648 (describing a transformation “from a collective good (safety) into individual enrichment, a transformation greatly encouraged by the lawyer’s interest in creating a fund out of which his fee can be paid”).</w:t>
      </w:r>
    </w:p>
  </w:footnote>
  <w:footnote w:id="478">
    <w:p w14:paraId="066C2AC4"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Felstiner</w:t>
      </w:r>
      <w:proofErr w:type="spellEnd"/>
      <w:r>
        <w:rPr>
          <w:color w:val="000000" w:themeColor="text1"/>
        </w:rPr>
        <w:t xml:space="preserve">, Abel &amp; Sarat, </w:t>
      </w:r>
      <w:r>
        <w:rPr>
          <w:i/>
          <w:iCs/>
          <w:color w:val="000000" w:themeColor="text1"/>
        </w:rPr>
        <w:t>supra</w:t>
      </w:r>
      <w:r>
        <w:rPr>
          <w:color w:val="000000" w:themeColor="text1"/>
        </w:rPr>
        <w:t xml:space="preserve"> note 476, at 645–47.</w:t>
      </w:r>
    </w:p>
  </w:footnote>
  <w:footnote w:id="479">
    <w:p w14:paraId="7EB16409"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w:t>
      </w:r>
      <w:proofErr w:type="spellStart"/>
      <w:r>
        <w:rPr>
          <w:color w:val="000000" w:themeColor="text1"/>
          <w:lang w:val="en"/>
        </w:rPr>
        <w:t>obert</w:t>
      </w:r>
      <w:proofErr w:type="spellEnd"/>
      <w:r>
        <w:rPr>
          <w:color w:val="000000" w:themeColor="text1"/>
          <w:lang w:val="en"/>
        </w:rPr>
        <w:t xml:space="preserve"> Yazzie, </w:t>
      </w:r>
      <w:r>
        <w:rPr>
          <w:i/>
          <w:iCs/>
          <w:color w:val="000000" w:themeColor="text1"/>
          <w:lang w:val="en"/>
        </w:rPr>
        <w:t>Life Comes from It: Navajo Justice Concepts</w:t>
      </w:r>
      <w:r>
        <w:rPr>
          <w:color w:val="000000" w:themeColor="text1"/>
          <w:lang w:val="en"/>
        </w:rPr>
        <w:t xml:space="preserve">, 24 </w:t>
      </w:r>
      <w:r>
        <w:rPr>
          <w:smallCaps/>
          <w:color w:val="000000" w:themeColor="text1"/>
          <w:lang w:val="en"/>
        </w:rPr>
        <w:t>N.M. L. Rev</w:t>
      </w:r>
      <w:r>
        <w:rPr>
          <w:color w:val="000000" w:themeColor="text1"/>
          <w:lang w:val="en"/>
        </w:rPr>
        <w:t>. 175, 178–79, 185 (1994).</w:t>
      </w:r>
    </w:p>
  </w:footnote>
  <w:footnote w:id="480">
    <w:p w14:paraId="7657AE5E" w14:textId="77777777" w:rsidR="007F70E9" w:rsidRPr="005B3E31" w:rsidRDefault="007F70E9" w:rsidP="003D74D8">
      <w:pPr>
        <w:pStyle w:val="FootnoteText"/>
        <w:spacing w:line="480" w:lineRule="auto"/>
      </w:pPr>
      <w:r>
        <w:rPr>
          <w:rStyle w:val="FootnoteReference"/>
        </w:rPr>
        <w:footnoteRef/>
      </w:r>
      <w:r>
        <w:rPr>
          <w:smallCaps/>
        </w:rPr>
        <w:t xml:space="preserve"> William G. Ross, The Honest Hour: The Ethics of Time-Based Billing by Attorneys</w:t>
      </w:r>
      <w:r>
        <w:rPr>
          <w:rStyle w:val="FootnoteReference"/>
        </w:rPr>
        <w:t xml:space="preserve"> 14, 16 (1996)</w:t>
      </w:r>
      <w:r>
        <w:t>; George B. Shepherd &amp; Morgan Cloud</w:t>
      </w:r>
      <w:r>
        <w:rPr>
          <w:i/>
          <w:iCs/>
        </w:rPr>
        <w:t>, Time and Money: Discovery Leads to Hourly Billing</w:t>
      </w:r>
      <w:r>
        <w:t xml:space="preserve">, </w:t>
      </w:r>
      <w:r>
        <w:rPr>
          <w:rStyle w:val="FootnoteReference"/>
        </w:rPr>
        <w:t xml:space="preserve">1999 </w:t>
      </w:r>
      <w:r>
        <w:rPr>
          <w:smallCaps/>
        </w:rPr>
        <w:t>U. Ill. L. Rev.</w:t>
      </w:r>
      <w:r>
        <w:rPr>
          <w:rStyle w:val="FootnoteReference"/>
        </w:rPr>
        <w:t xml:space="preserve"> 91, 105.</w:t>
      </w:r>
    </w:p>
  </w:footnote>
  <w:footnote w:id="481">
    <w:p w14:paraId="1CC94B28" w14:textId="77777777"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126–27.</w:t>
      </w:r>
    </w:p>
  </w:footnote>
  <w:footnote w:id="482">
    <w:p w14:paraId="7154EC82" w14:textId="77777777"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15–17; Shepherd &amp; Cloud, </w:t>
      </w:r>
      <w:r>
        <w:rPr>
          <w:i/>
          <w:iCs/>
        </w:rPr>
        <w:t>supra</w:t>
      </w:r>
      <w:r>
        <w:t xml:space="preserve"> note 83, at 131–33.</w:t>
      </w:r>
    </w:p>
  </w:footnote>
  <w:footnote w:id="483">
    <w:p w14:paraId="62023328" w14:textId="77777777"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16–17; Shepherd &amp; Cloud, </w:t>
      </w:r>
      <w:r>
        <w:rPr>
          <w:i/>
          <w:iCs/>
        </w:rPr>
        <w:t>supra</w:t>
      </w:r>
      <w:r>
        <w:t xml:space="preserve"> note 83, at 139. </w:t>
      </w:r>
    </w:p>
  </w:footnote>
  <w:footnote w:id="484">
    <w:p w14:paraId="09717002" w14:textId="77777777" w:rsidR="00D879FE" w:rsidRDefault="00000000">
      <w:pPr>
        <w:pStyle w:val="FootnoteText"/>
        <w:spacing w:line="480" w:lineRule="auto"/>
      </w:pPr>
      <w:r>
        <w:rPr>
          <w:rStyle w:val="FootnoteReference"/>
        </w:rPr>
        <w:footnoteRef/>
      </w:r>
      <w:r>
        <w:t xml:space="preserve"> Baker, </w:t>
      </w:r>
      <w:r>
        <w:rPr>
          <w:i/>
        </w:rPr>
        <w:t>supra</w:t>
      </w:r>
      <w:r>
        <w:t>, at lxxv–lxxvi.</w:t>
      </w:r>
    </w:p>
  </w:footnote>
  <w:footnote w:id="485">
    <w:p w14:paraId="5FE2B479" w14:textId="77777777"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106–08.</w:t>
      </w:r>
    </w:p>
  </w:footnote>
  <w:footnote w:id="486">
    <w:p w14:paraId="17326532" w14:textId="77777777" w:rsidR="00B53BC2" w:rsidRPr="005B3E31" w:rsidRDefault="00B53BC2" w:rsidP="003D74D8">
      <w:pPr>
        <w:pStyle w:val="FootnoteText"/>
        <w:spacing w:line="480" w:lineRule="auto"/>
      </w:pPr>
      <w:r>
        <w:rPr>
          <w:rStyle w:val="FootnoteReference"/>
        </w:rPr>
        <w:footnoteRef/>
      </w:r>
      <w:r>
        <w:t xml:space="preserve"> </w:t>
      </w:r>
      <w:proofErr w:type="spellStart"/>
      <w:r>
        <w:t>Menkel</w:t>
      </w:r>
      <w:proofErr w:type="spellEnd"/>
      <w:r>
        <w:t xml:space="preserve">-Meadow, </w:t>
      </w:r>
      <w:r>
        <w:rPr>
          <w:i/>
          <w:iCs/>
        </w:rPr>
        <w:t>supra</w:t>
      </w:r>
      <w:r>
        <w:t xml:space="preserve"> note 100, at 17, </w:t>
      </w:r>
      <w:r>
        <w:rPr>
          <w:i/>
          <w:iCs/>
        </w:rPr>
        <w:t>reprinted in</w:t>
      </w:r>
      <w:r>
        <w:t xml:space="preserve"> Carrie J. </w:t>
      </w:r>
      <w:proofErr w:type="spellStart"/>
      <w:r>
        <w:t>Menkel</w:t>
      </w:r>
      <w:proofErr w:type="spellEnd"/>
      <w:r>
        <w:t xml:space="preserve">-Meadow, Lela Porter Love &amp; Jean R. </w:t>
      </w:r>
      <w:proofErr w:type="spellStart"/>
      <w:r>
        <w:t>Sternlight</w:t>
      </w:r>
      <w:proofErr w:type="spellEnd"/>
      <w:r>
        <w:t>, Dispute Resolution: Beyond the Adversarial Model 578 (2d ed. 2011).</w:t>
      </w:r>
    </w:p>
  </w:footnote>
  <w:footnote w:id="487">
    <w:p w14:paraId="0360DD79" w14:textId="77777777"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30–32.</w:t>
      </w:r>
    </w:p>
  </w:footnote>
  <w:footnote w:id="488">
    <w:p w14:paraId="361D282D" w14:textId="77777777" w:rsidR="00E60F58" w:rsidRPr="005B3E31" w:rsidRDefault="00E60F58" w:rsidP="003D74D8">
      <w:pPr>
        <w:pStyle w:val="FootnoteText"/>
        <w:spacing w:line="480" w:lineRule="auto"/>
      </w:pPr>
      <w:r>
        <w:rPr>
          <w:rStyle w:val="FootnoteReference"/>
        </w:rPr>
        <w:footnoteRef/>
      </w:r>
      <w:r>
        <w:t xml:space="preserve"> </w:t>
      </w:r>
      <w:r>
        <w:rPr>
          <w:rStyle w:val="FootnoteReference"/>
        </w:rPr>
        <w:t xml:space="preserve">Nancy B. Rapoport &amp; Joseph R. </w:t>
      </w:r>
      <w:proofErr w:type="spellStart"/>
      <w:r>
        <w:rPr>
          <w:rStyle w:val="FootnoteReference"/>
        </w:rPr>
        <w:t>Tiano</w:t>
      </w:r>
      <w:proofErr w:type="spellEnd"/>
      <w:r>
        <w:rPr>
          <w:rStyle w:val="FootnoteReference"/>
        </w:rPr>
        <w:t xml:space="preserve"> Jr., </w:t>
      </w:r>
      <w:r>
        <w:rPr>
          <w:i/>
          <w:iCs/>
        </w:rPr>
        <w:t>Fighting the Hypothetical: Why Law Firms Should Rethink the Billable Hour in the Generative AI Era</w:t>
      </w:r>
      <w:r>
        <w:rPr>
          <w:rStyle w:val="FootnoteReference"/>
        </w:rPr>
        <w:t xml:space="preserve">, </w:t>
      </w:r>
      <w:r>
        <w:t xml:space="preserve">20 </w:t>
      </w:r>
      <w:r>
        <w:rPr>
          <w:smallCaps/>
        </w:rPr>
        <w:t>Wash. J.L. Tech. &amp; Arts</w:t>
      </w:r>
      <w:r>
        <w:t xml:space="preserve"> 41, 41 (2025) (“[L]</w:t>
      </w:r>
      <w:proofErr w:type="spellStart"/>
      <w:r>
        <w:t>aw</w:t>
      </w:r>
      <w:proofErr w:type="spellEnd"/>
      <w:r>
        <w:t xml:space="preserve"> firms haven’t moved away from the billable hour for three primary reasons: (1) there has been no external factor that has had the muscle to catalyze change; (2) clients haven’t had the collective fortitude to effectuate a change; and (3) despite their recognition of the shortcomings, law firms have not changed the model because it is making them wealthy”).</w:t>
      </w:r>
    </w:p>
  </w:footnote>
  <w:footnote w:id="489">
    <w:p w14:paraId="179B0930" w14:textId="77777777" w:rsidR="00DC0452" w:rsidRPr="005B3E31" w:rsidRDefault="00DC0452" w:rsidP="003D74D8">
      <w:pPr>
        <w:pStyle w:val="FootnoteText"/>
        <w:spacing w:line="480" w:lineRule="auto"/>
      </w:pPr>
      <w:r>
        <w:rPr>
          <w:rStyle w:val="FootnoteReference"/>
        </w:rPr>
        <w:footnoteRef/>
      </w:r>
      <w:r>
        <w:t xml:space="preserve"> </w:t>
      </w:r>
      <w:r>
        <w:rPr>
          <w:rStyle w:val="FootnoteReference"/>
        </w:rPr>
        <w:t xml:space="preserve">Luke Nottage, </w:t>
      </w:r>
      <w:r>
        <w:rPr>
          <w:rStyle w:val="FootnoteReference"/>
          <w:i/>
          <w:iCs/>
        </w:rPr>
        <w:t>In/</w:t>
      </w:r>
      <w:proofErr w:type="spellStart"/>
      <w:r>
        <w:rPr>
          <w:rStyle w:val="FootnoteReference"/>
          <w:i/>
          <w:iCs/>
        </w:rPr>
        <w:t>formalisation</w:t>
      </w:r>
      <w:proofErr w:type="spellEnd"/>
      <w:r>
        <w:rPr>
          <w:rStyle w:val="FootnoteReference"/>
          <w:i/>
          <w:iCs/>
        </w:rPr>
        <w:t xml:space="preserve"> and </w:t>
      </w:r>
      <w:proofErr w:type="spellStart"/>
      <w:r>
        <w:rPr>
          <w:rStyle w:val="FootnoteReference"/>
          <w:i/>
          <w:iCs/>
        </w:rPr>
        <w:t>Glocalisation</w:t>
      </w:r>
      <w:proofErr w:type="spellEnd"/>
      <w:r>
        <w:rPr>
          <w:rStyle w:val="FootnoteReference"/>
          <w:i/>
          <w:iCs/>
        </w:rPr>
        <w:t xml:space="preserve"> of International Commercial Arbitration and Investment Treaty Arbitration in Asia</w:t>
      </w:r>
      <w:r>
        <w:rPr>
          <w:rStyle w:val="FootnoteReference"/>
        </w:rPr>
        <w:t xml:space="preserve">, </w:t>
      </w:r>
      <w:r>
        <w:rPr>
          <w:rStyle w:val="FootnoteReference"/>
          <w:i/>
          <w:iCs/>
        </w:rPr>
        <w:t>in</w:t>
      </w:r>
      <w:r>
        <w:rPr>
          <w:smallCaps/>
        </w:rPr>
        <w:t xml:space="preserve"> </w:t>
      </w:r>
      <w:proofErr w:type="spellStart"/>
      <w:r>
        <w:rPr>
          <w:smallCaps/>
        </w:rPr>
        <w:t>Formalisation</w:t>
      </w:r>
      <w:proofErr w:type="spellEnd"/>
      <w:r>
        <w:rPr>
          <w:smallCaps/>
        </w:rPr>
        <w:t xml:space="preserve"> and </w:t>
      </w:r>
      <w:proofErr w:type="spellStart"/>
      <w:r>
        <w:rPr>
          <w:smallCaps/>
        </w:rPr>
        <w:t>Flexibilisation</w:t>
      </w:r>
      <w:proofErr w:type="spellEnd"/>
      <w:r>
        <w:rPr>
          <w:smallCaps/>
        </w:rPr>
        <w:t xml:space="preserve"> in Dispute Resolution</w:t>
      </w:r>
      <w:r>
        <w:rPr>
          <w:rStyle w:val="FootnoteReference"/>
        </w:rPr>
        <w:t xml:space="preserve"> 211, 228 (Joachim </w:t>
      </w:r>
      <w:proofErr w:type="spellStart"/>
      <w:r>
        <w:rPr>
          <w:rStyle w:val="FootnoteReference"/>
        </w:rPr>
        <w:t>Zekoll</w:t>
      </w:r>
      <w:proofErr w:type="spellEnd"/>
      <w:r>
        <w:rPr>
          <w:rStyle w:val="FootnoteReference"/>
        </w:rPr>
        <w:t xml:space="preserve">, Moritz Balz &amp; Iwo </w:t>
      </w:r>
      <w:proofErr w:type="spellStart"/>
      <w:r>
        <w:rPr>
          <w:rStyle w:val="FootnoteReference"/>
        </w:rPr>
        <w:t>Amelung</w:t>
      </w:r>
      <w:proofErr w:type="spellEnd"/>
      <w:r>
        <w:rPr>
          <w:rStyle w:val="FootnoteReference"/>
        </w:rPr>
        <w:t xml:space="preserve"> eds., 2014) (quoting </w:t>
      </w:r>
      <w:proofErr w:type="spellStart"/>
      <w:r>
        <w:rPr>
          <w:rStyle w:val="FootnoteReference"/>
        </w:rPr>
        <w:t>Shahla</w:t>
      </w:r>
      <w:proofErr w:type="spellEnd"/>
      <w:r>
        <w:rPr>
          <w:rStyle w:val="FootnoteReference"/>
        </w:rPr>
        <w:t xml:space="preserve"> Ali’s interview with a partner in the Hong Kong branch of an international firm).</w:t>
      </w:r>
    </w:p>
  </w:footnote>
  <w:footnote w:id="490">
    <w:p w14:paraId="31BC2AD0" w14:textId="77777777" w:rsidR="00A565FB" w:rsidRPr="005B3E31" w:rsidRDefault="00A565FB" w:rsidP="003D74D8">
      <w:pPr>
        <w:pStyle w:val="FootnoteText"/>
        <w:spacing w:line="480" w:lineRule="auto"/>
      </w:pPr>
      <w:r>
        <w:rPr>
          <w:rStyle w:val="FootnoteReference"/>
        </w:rPr>
        <w:footnoteRef/>
      </w:r>
      <w:r>
        <w:t xml:space="preserve"> Shepherd &amp; Cloud, </w:t>
      </w:r>
      <w:r>
        <w:rPr>
          <w:i/>
          <w:iCs/>
        </w:rPr>
        <w:t>supra</w:t>
      </w:r>
      <w:r>
        <w:t xml:space="preserve"> note 83, at 106–08; Ross, supra note 85, at 10–11.</w:t>
      </w:r>
    </w:p>
  </w:footnote>
  <w:footnote w:id="491">
    <w:p w14:paraId="1AC34621" w14:textId="77777777" w:rsidR="002B07DE" w:rsidRPr="005B3E31" w:rsidRDefault="002B07DE" w:rsidP="003D74D8">
      <w:pPr>
        <w:pStyle w:val="FootnoteText"/>
        <w:spacing w:line="480" w:lineRule="auto"/>
        <w:rPr>
          <w:i/>
          <w:color w:val="000000" w:themeColor="text1"/>
        </w:rPr>
      </w:pPr>
      <w:r>
        <w:rPr>
          <w:rStyle w:val="FootnoteReference"/>
          <w:color w:val="000000" w:themeColor="text1"/>
        </w:rPr>
        <w:footnoteRef/>
      </w:r>
      <w:r>
        <w:rPr>
          <w:color w:val="000000" w:themeColor="text1"/>
        </w:rPr>
        <w:t xml:space="preserve"> </w:t>
      </w:r>
      <w:r>
        <w:rPr>
          <w:iCs/>
          <w:color w:val="000000" w:themeColor="text1"/>
        </w:rPr>
        <w:t>Kagan,</w:t>
      </w:r>
      <w:r>
        <w:rPr>
          <w:i/>
          <w:color w:val="000000" w:themeColor="text1"/>
        </w:rPr>
        <w:t xml:space="preserve"> supra</w:t>
      </w:r>
      <w:r>
        <w:rPr>
          <w:iCs/>
          <w:color w:val="000000" w:themeColor="text1"/>
        </w:rPr>
        <w:t xml:space="preserve"> note </w:t>
      </w:r>
      <w:r>
        <w:rPr>
          <w:iCs/>
          <w:color w:val="000000" w:themeColor="text1"/>
        </w:rPr>
        <w:fldChar w:fldCharType="begin"/>
      </w:r>
      <w:r>
        <w:rPr>
          <w:iCs/>
          <w:color w:val="000000" w:themeColor="text1"/>
        </w:rPr>
        <w:instrText xml:space="preserve"> NOTEREF _Ref218972456 \h  \* MERGEFORMAT </w:instrText>
      </w:r>
      <w:r>
        <w:rPr>
          <w:iCs/>
          <w:color w:val="000000" w:themeColor="text1"/>
        </w:rPr>
      </w:r>
      <w:r>
        <w:rPr>
          <w:iCs/>
          <w:color w:val="000000" w:themeColor="text1"/>
        </w:rPr>
        <w:fldChar w:fldCharType="separate"/>
      </w:r>
      <w:r>
        <w:rPr>
          <w:iCs/>
          <w:color w:val="000000" w:themeColor="text1"/>
        </w:rPr>
        <w:t>401</w:t>
      </w:r>
      <w:r>
        <w:rPr>
          <w:iCs/>
          <w:color w:val="000000" w:themeColor="text1"/>
        </w:rPr>
        <w:fldChar w:fldCharType="end"/>
      </w:r>
      <w:r>
        <w:rPr>
          <w:iCs/>
          <w:color w:val="000000" w:themeColor="text1"/>
        </w:rPr>
        <w:t>, at 48, 57 n.200;</w:t>
      </w:r>
      <w:r>
        <w:rPr>
          <w:i/>
          <w:color w:val="000000" w:themeColor="text1"/>
          <w:lang w:val="en"/>
        </w:rPr>
        <w:t xml:space="preserve"> </w:t>
      </w:r>
      <w:r>
        <w:rPr>
          <w:iCs/>
          <w:smallCaps/>
          <w:color w:val="000000" w:themeColor="text1"/>
          <w:lang w:val="en"/>
        </w:rPr>
        <w:t>U.S. Chamber Inst. for Legal Reform, International Comparisons of Litigation Costs: Canada, Europe, Japan, and the United States</w:t>
      </w:r>
      <w:r>
        <w:rPr>
          <w:iCs/>
          <w:color w:val="000000" w:themeColor="text1"/>
          <w:lang w:val="en"/>
        </w:rPr>
        <w:t xml:space="preserve"> 4 (2013).</w:t>
      </w:r>
    </w:p>
  </w:footnote>
  <w:footnote w:id="492">
    <w:p w14:paraId="50662E4A"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T</w:t>
      </w:r>
      <w:proofErr w:type="spellStart"/>
      <w:r>
        <w:rPr>
          <w:color w:val="000000" w:themeColor="text1"/>
          <w:lang w:val="en"/>
        </w:rPr>
        <w:t>homas</w:t>
      </w:r>
      <w:proofErr w:type="spellEnd"/>
      <w:r>
        <w:rPr>
          <w:color w:val="000000" w:themeColor="text1"/>
          <w:lang w:val="en"/>
        </w:rPr>
        <w:t xml:space="preserve"> D. Rowe Jr., </w:t>
      </w:r>
      <w:r>
        <w:rPr>
          <w:i/>
          <w:iCs/>
          <w:color w:val="000000" w:themeColor="text1"/>
          <w:lang w:val="en"/>
        </w:rPr>
        <w:t>The Legal Theory of Attorney Fee Shifting: A Critical Overview</w:t>
      </w:r>
      <w:r>
        <w:rPr>
          <w:color w:val="000000" w:themeColor="text1"/>
          <w:lang w:val="en"/>
        </w:rPr>
        <w:t xml:space="preserve">, 1982 </w:t>
      </w:r>
      <w:r>
        <w:rPr>
          <w:smallCaps/>
          <w:color w:val="000000" w:themeColor="text1"/>
          <w:lang w:val="en"/>
        </w:rPr>
        <w:t>Duke L.J.</w:t>
      </w:r>
      <w:r>
        <w:rPr>
          <w:color w:val="000000" w:themeColor="text1"/>
          <w:lang w:val="en"/>
        </w:rPr>
        <w:t xml:space="preserve"> 651, 655, 665–66.</w:t>
      </w:r>
    </w:p>
  </w:footnote>
  <w:footnote w:id="493">
    <w:p w14:paraId="7B0A9F9A"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C. Coffee, Jr., </w:t>
      </w:r>
      <w:r>
        <w:rPr>
          <w:i/>
          <w:iCs/>
          <w:color w:val="000000" w:themeColor="text1"/>
        </w:rPr>
        <w:t>Understanding the Plaintiff’s Attorney: The Implications of Economic Theory for Private Enforcement of Law Through Class and Derivative Actions</w:t>
      </w:r>
      <w:r>
        <w:rPr>
          <w:color w:val="000000" w:themeColor="text1"/>
        </w:rPr>
        <w:t xml:space="preserve">, 86 </w:t>
      </w:r>
      <w:r>
        <w:rPr>
          <w:smallCaps/>
          <w:color w:val="000000" w:themeColor="text1"/>
        </w:rPr>
        <w:t>Colum. L. Rev.</w:t>
      </w:r>
      <w:r>
        <w:rPr>
          <w:color w:val="000000" w:themeColor="text1"/>
        </w:rPr>
        <w:t xml:space="preserve"> 669, 718 (1986).</w:t>
      </w:r>
    </w:p>
  </w:footnote>
  <w:footnote w:id="494">
    <w:p w14:paraId="6199C52A" w14:textId="7777777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718; </w:t>
      </w:r>
      <w:r>
        <w:rPr>
          <w:i/>
          <w:iCs/>
          <w:color w:val="000000" w:themeColor="text1"/>
        </w:rPr>
        <w:t>see also</w:t>
      </w:r>
      <w:r>
        <w:rPr>
          <w:color w:val="000000" w:themeColor="text1"/>
        </w:rPr>
        <w:t xml:space="preserve"> </w:t>
      </w:r>
      <w:r>
        <w:rPr>
          <w:smallCaps/>
          <w:color w:val="000000" w:themeColor="text1"/>
        </w:rPr>
        <w:t>Morton Deutsch, The Resolution of Conflict: Constructive and Destructive Processes</w:t>
      </w:r>
      <w:r>
        <w:rPr>
          <w:color w:val="000000" w:themeColor="text1"/>
        </w:rPr>
        <w:t xml:space="preserve"> 355–59 (1973).</w:t>
      </w:r>
    </w:p>
  </w:footnote>
  <w:footnote w:id="495">
    <w:p w14:paraId="632DBD96" w14:textId="77777777" w:rsidR="00247C4C" w:rsidRPr="005B3E31" w:rsidRDefault="00247C4C" w:rsidP="003D74D8">
      <w:pPr>
        <w:pStyle w:val="FootnoteText"/>
        <w:spacing w:line="480" w:lineRule="auto"/>
      </w:pPr>
      <w:r>
        <w:rPr>
          <w:rStyle w:val="FootnoteReference"/>
        </w:rPr>
        <w:footnoteRef/>
      </w:r>
      <w:r>
        <w:t xml:space="preserve"> </w:t>
      </w:r>
      <w:r>
        <w:rPr>
          <w:smallCaps/>
        </w:rPr>
        <w:t>Robert A. Kagan, Adversarial Legalism: The American Way of Law</w:t>
      </w:r>
      <w:r>
        <w:t xml:space="preserve"> 112 (2d ed. 2019).</w:t>
      </w:r>
    </w:p>
  </w:footnote>
  <w:footnote w:id="496">
    <w:p w14:paraId="6CCF21D2" w14:textId="77777777" w:rsidR="00247C4C" w:rsidRPr="005B3E31" w:rsidRDefault="00247C4C" w:rsidP="003D74D8">
      <w:pPr>
        <w:pStyle w:val="FootnoteText"/>
        <w:spacing w:line="480" w:lineRule="auto"/>
      </w:pPr>
      <w:r>
        <w:rPr>
          <w:rStyle w:val="FootnoteReference"/>
        </w:rPr>
        <w:footnoteRef/>
      </w:r>
      <w:r>
        <w:t xml:space="preserve"> </w:t>
      </w:r>
      <w:r>
        <w:rPr>
          <w:i/>
          <w:iCs/>
        </w:rPr>
        <w:t>Id.</w:t>
      </w:r>
      <w:r>
        <w:t xml:space="preserve"> at 307.</w:t>
      </w:r>
    </w:p>
  </w:footnote>
  <w:footnote w:id="497">
    <w:p w14:paraId="61515891" w14:textId="77777777" w:rsidR="002B07DE" w:rsidRPr="005B3E31" w:rsidRDefault="002B07D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D’Amico, </w:t>
      </w:r>
      <w:r>
        <w:rPr>
          <w:i/>
          <w:iCs/>
          <w:color w:val="000000" w:themeColor="text1"/>
        </w:rPr>
        <w:t>supra</w:t>
      </w:r>
      <w:r>
        <w:rPr>
          <w:color w:val="000000" w:themeColor="text1"/>
        </w:rPr>
        <w:t xml:space="preserve"> note 306, at 429, 436. </w:t>
      </w:r>
    </w:p>
  </w:footnote>
  <w:footnote w:id="498">
    <w:p w14:paraId="08BFA672" w14:textId="77777777" w:rsidR="009C0EC5" w:rsidRPr="005B3E31" w:rsidRDefault="009C0EC5" w:rsidP="003D74D8">
      <w:pPr>
        <w:pStyle w:val="FootnoteText"/>
        <w:spacing w:line="480" w:lineRule="auto"/>
      </w:pPr>
      <w:r>
        <w:rPr>
          <w:rStyle w:val="FootnoteReference"/>
        </w:rPr>
        <w:footnoteRef/>
      </w:r>
      <w:r>
        <w:t xml:space="preserve"> </w:t>
      </w:r>
      <w:r>
        <w:rPr>
          <w:i/>
          <w:iCs/>
        </w:rPr>
        <w:t>Id.</w:t>
      </w:r>
      <w:r>
        <w:t xml:space="preserve"> at 425.</w:t>
      </w:r>
    </w:p>
  </w:footnote>
  <w:footnote w:id="499">
    <w:p w14:paraId="3B6108E1" w14:textId="7777777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Olivelle</w:t>
      </w:r>
      <w:proofErr w:type="spellEnd"/>
      <w:r>
        <w:rPr>
          <w:color w:val="000000" w:themeColor="text1"/>
        </w:rPr>
        <w:t xml:space="preserve">, </w:t>
      </w:r>
      <w:r>
        <w:rPr>
          <w:i/>
          <w:iCs/>
          <w:color w:val="000000" w:themeColor="text1"/>
        </w:rPr>
        <w:t>supra</w:t>
      </w:r>
      <w:r>
        <w:rPr>
          <w:color w:val="000000" w:themeColor="text1"/>
        </w:rPr>
        <w:t xml:space="preserve"> note 321, at 319.</w:t>
      </w:r>
    </w:p>
  </w:footnote>
  <w:footnote w:id="500">
    <w:p w14:paraId="149E72B0" w14:textId="7777777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 Rowe, </w:t>
      </w:r>
      <w:r>
        <w:rPr>
          <w:i/>
          <w:iCs/>
          <w:color w:val="000000" w:themeColor="text1"/>
        </w:rPr>
        <w:t>supra</w:t>
      </w:r>
      <w:r>
        <w:rPr>
          <w:color w:val="000000" w:themeColor="text1"/>
        </w:rPr>
        <w:t xml:space="preserve"> note 510, at 651.</w:t>
      </w:r>
    </w:p>
  </w:footnote>
  <w:footnote w:id="501">
    <w:p w14:paraId="1DA28056" w14:textId="77777777" w:rsidR="00FB2D8A" w:rsidRPr="005B3E31" w:rsidRDefault="00FB2D8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w:t>
      </w:r>
    </w:p>
  </w:footnote>
  <w:footnote w:id="502">
    <w:p w14:paraId="7E223822" w14:textId="77777777" w:rsidR="00E60F58" w:rsidRPr="005B3E31" w:rsidRDefault="00E60F58" w:rsidP="003D74D8">
      <w:pPr>
        <w:pStyle w:val="FootnoteText"/>
        <w:spacing w:line="480" w:lineRule="auto"/>
      </w:pPr>
      <w:r>
        <w:rPr>
          <w:rStyle w:val="FootnoteReference"/>
        </w:rPr>
        <w:footnoteRef/>
      </w:r>
      <w:r>
        <w:t xml:space="preserve"> Lisa Bernstein, </w:t>
      </w:r>
      <w:r>
        <w:rPr>
          <w:i/>
          <w:iCs/>
        </w:rPr>
        <w:t>Understanding the Limits of Court-Connected ADR: A Critique of Federal Court-Annexed Arbitration Programs</w:t>
      </w:r>
      <w:r>
        <w:t xml:space="preserve">, </w:t>
      </w:r>
      <w:r>
        <w:rPr>
          <w:rStyle w:val="FootnoteReference"/>
        </w:rPr>
        <w:t xml:space="preserve">141 </w:t>
      </w:r>
      <w:r>
        <w:rPr>
          <w:smallCaps/>
        </w:rPr>
        <w:t>U. Pa. L. Rev.</w:t>
      </w:r>
      <w:r>
        <w:rPr>
          <w:rStyle w:val="FootnoteReference"/>
        </w:rPr>
        <w:t xml:space="preserve"> 2169, 2195 (1993)</w:t>
      </w:r>
      <w:r>
        <w:t xml:space="preserve"> (“A lawyer paid on an hourly basis has a strong incentive to encourage his client to request a trial since most legal fees are earned during discovery and trial”).</w:t>
      </w:r>
    </w:p>
  </w:footnote>
  <w:footnote w:id="503">
    <w:p w14:paraId="01D068D7"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Amendments to the Federal Rules of Civil Procedure, 146 F.R.D. 401, 507–08 (1993) (Scalia, J., dissenting)</w:t>
      </w:r>
      <w:r>
        <w:rPr>
          <w:color w:val="000000" w:themeColor="text1"/>
          <w:lang w:val="en"/>
        </w:rPr>
        <w:t xml:space="preserve">; </w:t>
      </w:r>
      <w:r>
        <w:rPr>
          <w:color w:val="000000" w:themeColor="text1"/>
        </w:rPr>
        <w:t xml:space="preserve">Lonny Hoffman, </w:t>
      </w:r>
      <w:r>
        <w:rPr>
          <w:i/>
          <w:iCs/>
          <w:color w:val="000000" w:themeColor="text1"/>
        </w:rPr>
        <w:t>The Case against the Lawsuit Abuse Reduction Act of 2011</w:t>
      </w:r>
      <w:r>
        <w:rPr>
          <w:color w:val="000000" w:themeColor="text1"/>
        </w:rPr>
        <w:t xml:space="preserve">, 48 </w:t>
      </w:r>
      <w:proofErr w:type="spellStart"/>
      <w:r>
        <w:rPr>
          <w:smallCaps/>
          <w:color w:val="000000" w:themeColor="text1"/>
        </w:rPr>
        <w:t>Hous</w:t>
      </w:r>
      <w:proofErr w:type="spellEnd"/>
      <w:r>
        <w:rPr>
          <w:smallCaps/>
          <w:color w:val="000000" w:themeColor="text1"/>
        </w:rPr>
        <w:t>. L. Rev.</w:t>
      </w:r>
      <w:r>
        <w:rPr>
          <w:color w:val="000000" w:themeColor="text1"/>
        </w:rPr>
        <w:t xml:space="preserve"> 545, 547 (2011).</w:t>
      </w:r>
    </w:p>
  </w:footnote>
  <w:footnote w:id="504">
    <w:p w14:paraId="3352B694"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Saul M. </w:t>
      </w:r>
      <w:proofErr w:type="spellStart"/>
      <w:r>
        <w:rPr>
          <w:smallCaps/>
          <w:color w:val="000000" w:themeColor="text1"/>
        </w:rPr>
        <w:t>Kassin</w:t>
      </w:r>
      <w:proofErr w:type="spellEnd"/>
      <w:r>
        <w:rPr>
          <w:smallCaps/>
          <w:color w:val="000000" w:themeColor="text1"/>
        </w:rPr>
        <w:t>, An Empirical Study of Rule 11 Sanctions</w:t>
      </w:r>
      <w:r>
        <w:rPr>
          <w:color w:val="000000" w:themeColor="text1"/>
        </w:rPr>
        <w:t xml:space="preserve"> 26–27 (Fed. Jud. Ctr. 1985); </w:t>
      </w:r>
      <w:r>
        <w:rPr>
          <w:color w:val="000000" w:themeColor="text1"/>
          <w:lang w:val="en"/>
        </w:rPr>
        <w:t xml:space="preserve">William W. Schwarzer, </w:t>
      </w:r>
      <w:r>
        <w:rPr>
          <w:i/>
          <w:iCs/>
          <w:color w:val="000000" w:themeColor="text1"/>
          <w:lang w:val="en"/>
        </w:rPr>
        <w:t>Rule 11 Revisited</w:t>
      </w:r>
      <w:r>
        <w:rPr>
          <w:color w:val="000000" w:themeColor="text1"/>
          <w:lang w:val="en"/>
        </w:rPr>
        <w:t xml:space="preserve">, 101 </w:t>
      </w:r>
      <w:r>
        <w:rPr>
          <w:smallCaps/>
          <w:color w:val="000000" w:themeColor="text1"/>
          <w:lang w:val="en"/>
        </w:rPr>
        <w:t>Harv. L. Rev.</w:t>
      </w:r>
      <w:r>
        <w:rPr>
          <w:color w:val="000000" w:themeColor="text1"/>
          <w:lang w:val="en"/>
        </w:rPr>
        <w:t xml:space="preserve"> 1013, 1015–16 (1988); </w:t>
      </w:r>
      <w:r>
        <w:rPr>
          <w:i/>
          <w:iCs/>
          <w:color w:val="000000" w:themeColor="text1"/>
          <w:lang w:val="en"/>
        </w:rPr>
        <w:t>but see id.</w:t>
      </w:r>
      <w:r>
        <w:rPr>
          <w:color w:val="000000" w:themeColor="text1"/>
          <w:lang w:val="en"/>
        </w:rPr>
        <w:t xml:space="preserve"> at 1014–15 (“[R]ule 11 has raised the consciousness of lawyers to the need for a careful prefiling investigation of the facts and inquiry into the law.”).</w:t>
      </w:r>
    </w:p>
  </w:footnote>
  <w:footnote w:id="505">
    <w:p w14:paraId="073327A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Daniel Kahneman &amp; Amos Tversky, </w:t>
      </w:r>
      <w:r>
        <w:rPr>
          <w:i/>
          <w:color w:val="000000" w:themeColor="text1"/>
        </w:rPr>
        <w:t>Conflict Resolution: A Cognitive Perspective</w:t>
      </w:r>
      <w:r>
        <w:rPr>
          <w:iCs/>
          <w:color w:val="000000" w:themeColor="text1"/>
        </w:rPr>
        <w:t xml:space="preserve">, </w:t>
      </w:r>
      <w:r>
        <w:rPr>
          <w:i/>
          <w:color w:val="000000" w:themeColor="text1"/>
        </w:rPr>
        <w:t>in</w:t>
      </w:r>
      <w:r>
        <w:rPr>
          <w:smallCaps/>
          <w:color w:val="000000" w:themeColor="text1"/>
        </w:rPr>
        <w:t xml:space="preserve"> Barriers to Conflict Resolution</w:t>
      </w:r>
      <w:r>
        <w:rPr>
          <w:iCs/>
          <w:color w:val="000000" w:themeColor="text1"/>
        </w:rPr>
        <w:t xml:space="preserve"> 44, 46–48 (Kenneth J. Arrow et al. eds., 1995).</w:t>
      </w:r>
    </w:p>
  </w:footnote>
  <w:footnote w:id="506">
    <w:p w14:paraId="5084307E" w14:textId="77777777" w:rsidR="00D879FE" w:rsidRDefault="00000000">
      <w:pPr>
        <w:pStyle w:val="FootnoteText"/>
        <w:spacing w:line="480" w:lineRule="auto"/>
      </w:pPr>
      <w:r>
        <w:rPr>
          <w:rStyle w:val="FootnoteReference"/>
        </w:rPr>
        <w:footnoteRef/>
      </w:r>
      <w:r>
        <w:t xml:space="preserve"> Philip E. Tetlock, </w:t>
      </w:r>
      <w:r>
        <w:rPr>
          <w:i/>
        </w:rPr>
        <w:t>Accountability and the Perseverance of First Impressions</w:t>
      </w:r>
      <w:r>
        <w:t xml:space="preserve">, 46 </w:t>
      </w:r>
      <w:r>
        <w:rPr>
          <w:smallCaps/>
        </w:rPr>
        <w:t>Soc. Psychol. Q.</w:t>
      </w:r>
      <w:r>
        <w:t xml:space="preserve"> 285, 291 (1983); </w:t>
      </w:r>
      <w:r>
        <w:rPr>
          <w:i/>
        </w:rPr>
        <w:t>see also</w:t>
      </w:r>
      <w:r>
        <w:t xml:space="preserve"> Jennifer S. Lerner &amp; Philip E. Tetlock, </w:t>
      </w:r>
      <w:r>
        <w:rPr>
          <w:i/>
        </w:rPr>
        <w:t>Accounting for the Effects of Accountability</w:t>
      </w:r>
      <w:r>
        <w:t xml:space="preserve">, 125 </w:t>
      </w:r>
      <w:r>
        <w:rPr>
          <w:smallCaps/>
        </w:rPr>
        <w:t>Psychol. Bull.</w:t>
      </w:r>
      <w:r>
        <w:t xml:space="preserve"> 255, 257, 259 (1999) (accountability produces self-criticism before a decision and defensive bolstering after it).</w:t>
      </w:r>
    </w:p>
  </w:footnote>
  <w:footnote w:id="507">
    <w:p w14:paraId="7A4525EA" w14:textId="77777777" w:rsidR="00D879FE" w:rsidRDefault="00000000">
      <w:pPr>
        <w:pStyle w:val="FootnoteText"/>
        <w:spacing w:line="480" w:lineRule="auto"/>
      </w:pPr>
      <w:r>
        <w:rPr>
          <w:rStyle w:val="FootnoteReference"/>
        </w:rPr>
        <w:footnoteRef/>
      </w:r>
      <w:r>
        <w:t xml:space="preserve"> Lazarus, </w:t>
      </w:r>
      <w:r>
        <w:rPr>
          <w:i/>
        </w:rPr>
        <w:t>supra</w:t>
      </w:r>
      <w:r>
        <w:t>, at 1496.</w:t>
      </w:r>
    </w:p>
  </w:footnote>
  <w:footnote w:id="508">
    <w:p w14:paraId="49CC8189" w14:textId="77777777" w:rsidR="00D879FE" w:rsidRDefault="00000000">
      <w:pPr>
        <w:pStyle w:val="FootnoteText"/>
        <w:spacing w:line="480" w:lineRule="auto"/>
      </w:pPr>
      <w:r>
        <w:rPr>
          <w:rStyle w:val="FootnoteReference"/>
        </w:rPr>
        <w:footnoteRef/>
      </w:r>
      <w:r>
        <w:t xml:space="preserve"> Lazarus, </w:t>
      </w:r>
      <w:r>
        <w:rPr>
          <w:i/>
        </w:rPr>
        <w:t>supra</w:t>
      </w:r>
      <w:r>
        <w:t>, at 1518.</w:t>
      </w:r>
    </w:p>
  </w:footnote>
  <w:footnote w:id="509">
    <w:p w14:paraId="45924474" w14:textId="77777777" w:rsidR="00D879FE" w:rsidRDefault="00000000">
      <w:pPr>
        <w:pStyle w:val="FootnoteText"/>
        <w:spacing w:line="480" w:lineRule="auto"/>
      </w:pPr>
      <w:r>
        <w:rPr>
          <w:rStyle w:val="FootnoteReference"/>
        </w:rPr>
        <w:footnoteRef/>
      </w:r>
      <w:r>
        <w:t xml:space="preserve"> </w:t>
      </w:r>
      <w:r>
        <w:rPr>
          <w:smallCaps/>
        </w:rPr>
        <w:t>Kevin T. McGuire, The Supreme Court Bar: Legal Elites in the Washington Community</w:t>
      </w:r>
      <w:r>
        <w:t xml:space="preserve"> 177 (1993).</w:t>
      </w:r>
    </w:p>
  </w:footnote>
  <w:footnote w:id="510">
    <w:p w14:paraId="1758EE42" w14:textId="77777777" w:rsidR="00D879FE" w:rsidRDefault="00000000">
      <w:pPr>
        <w:pStyle w:val="FootnoteText"/>
        <w:spacing w:line="480" w:lineRule="auto"/>
      </w:pPr>
      <w:r>
        <w:rPr>
          <w:rStyle w:val="FootnoteReference"/>
        </w:rPr>
        <w:footnoteRef/>
      </w:r>
      <w:r>
        <w:t xml:space="preserve"> </w:t>
      </w:r>
      <w:r>
        <w:rPr>
          <w:i/>
        </w:rPr>
        <w:t>Id.</w:t>
      </w:r>
    </w:p>
  </w:footnote>
  <w:footnote w:id="511">
    <w:p w14:paraId="49B924D4" w14:textId="77777777" w:rsidR="00556D4F" w:rsidRPr="005B3E31" w:rsidRDefault="00556D4F" w:rsidP="003D74D8">
      <w:pPr>
        <w:pStyle w:val="FootnoteText"/>
        <w:spacing w:line="480" w:lineRule="auto"/>
      </w:pPr>
      <w:r>
        <w:rPr>
          <w:rStyle w:val="FootnoteReference"/>
        </w:rPr>
        <w:footnoteRef/>
      </w:r>
      <w:r>
        <w:t xml:space="preserve"> Ross, </w:t>
      </w:r>
      <w:r>
        <w:rPr>
          <w:i/>
          <w:iCs/>
        </w:rPr>
        <w:t>supra</w:t>
      </w:r>
      <w:r>
        <w:t xml:space="preserve"> note 85, at 47 (quoting Judge Thomas M. </w:t>
      </w:r>
      <w:proofErr w:type="spellStart"/>
      <w:r>
        <w:t>Reavley</w:t>
      </w:r>
      <w:proofErr w:type="spellEnd"/>
      <w:r>
        <w:t>).</w:t>
      </w:r>
    </w:p>
  </w:footnote>
  <w:footnote w:id="512">
    <w:p w14:paraId="5EC6C476"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Nancy A. Welsh, </w:t>
      </w:r>
      <w:r>
        <w:rPr>
          <w:i/>
          <w:iCs/>
          <w:color w:val="000000" w:themeColor="text1"/>
        </w:rPr>
        <w:t xml:space="preserve">Making Deals in Court-Connected Mediation: What’s Justice Got to Do with </w:t>
      </w:r>
      <w:proofErr w:type="gramStart"/>
      <w:r>
        <w:rPr>
          <w:i/>
          <w:iCs/>
          <w:color w:val="000000" w:themeColor="text1"/>
        </w:rPr>
        <w:t>It?</w:t>
      </w:r>
      <w:r>
        <w:rPr>
          <w:color w:val="000000" w:themeColor="text1"/>
        </w:rPr>
        <w:t>,</w:t>
      </w:r>
      <w:proofErr w:type="gramEnd"/>
      <w:r>
        <w:rPr>
          <w:color w:val="000000" w:themeColor="text1"/>
        </w:rPr>
        <w:t xml:space="preserve"> 79 </w:t>
      </w:r>
      <w:r>
        <w:rPr>
          <w:smallCaps/>
          <w:color w:val="000000" w:themeColor="text1"/>
        </w:rPr>
        <w:t>Wash. U. L.Q.</w:t>
      </w:r>
      <w:r>
        <w:rPr>
          <w:color w:val="000000" w:themeColor="text1"/>
        </w:rPr>
        <w:t xml:space="preserve"> 787, 797–801 (2001); Sarah R. Cole, </w:t>
      </w:r>
      <w:r>
        <w:rPr>
          <w:i/>
          <w:iCs/>
          <w:color w:val="000000" w:themeColor="text1"/>
        </w:rPr>
        <w:t>Everything Old Is New Again, in</w:t>
      </w:r>
      <w:r>
        <w:rPr>
          <w:color w:val="000000" w:themeColor="text1"/>
        </w:rPr>
        <w:t xml:space="preserve"> </w:t>
      </w:r>
      <w:r>
        <w:rPr>
          <w:smallCaps/>
          <w:color w:val="000000" w:themeColor="text1"/>
        </w:rPr>
        <w:t>Discussions in Dispute Resolution: The Foundational Articles</w:t>
      </w:r>
      <w:r>
        <w:rPr>
          <w:color w:val="000000" w:themeColor="text1"/>
        </w:rPr>
        <w:t xml:space="preserve"> 231, 232 (Art Hinshaw et al. eds., 2021); </w:t>
      </w:r>
      <w:r>
        <w:rPr>
          <w:i/>
          <w:iCs/>
          <w:color w:val="000000" w:themeColor="text1"/>
        </w:rPr>
        <w:t>see</w:t>
      </w:r>
      <w:r>
        <w:rPr>
          <w:color w:val="000000" w:themeColor="text1"/>
        </w:rPr>
        <w:t xml:space="preserve"> Stone, </w:t>
      </w:r>
      <w:r>
        <w:rPr>
          <w:i/>
          <w:iCs/>
          <w:color w:val="000000" w:themeColor="text1"/>
        </w:rPr>
        <w:t>supra</w:t>
      </w:r>
      <w:r>
        <w:rPr>
          <w:color w:val="000000" w:themeColor="text1"/>
        </w:rPr>
        <w:t xml:space="preserve"> note 463, at 942.</w:t>
      </w:r>
    </w:p>
  </w:footnote>
  <w:footnote w:id="513">
    <w:p w14:paraId="0A6BCED8"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Niall Mackay Roberts, </w:t>
      </w:r>
      <w:r>
        <w:rPr>
          <w:i/>
          <w:iCs/>
          <w:color w:val="000000" w:themeColor="text1"/>
        </w:rPr>
        <w:t>Definitional Avoidance: Arbitration’s Common-Law Meaning and the Federal Arbitration Act</w:t>
      </w:r>
      <w:r>
        <w:rPr>
          <w:color w:val="000000" w:themeColor="text1"/>
        </w:rPr>
        <w:t xml:space="preserve">, 49 </w:t>
      </w:r>
      <w:r>
        <w:rPr>
          <w:smallCaps/>
          <w:color w:val="000000" w:themeColor="text1"/>
        </w:rPr>
        <w:t>U.C. Davis L. Rev</w:t>
      </w:r>
      <w:r>
        <w:rPr>
          <w:color w:val="000000" w:themeColor="text1"/>
        </w:rPr>
        <w:t xml:space="preserve">. 1547, 1584–85 (2016); Note, </w:t>
      </w:r>
      <w:r>
        <w:rPr>
          <w:i/>
          <w:iCs/>
          <w:color w:val="000000" w:themeColor="text1"/>
        </w:rPr>
        <w:t>State Courts and the Federalization of Arbitration Law</w:t>
      </w:r>
      <w:r>
        <w:rPr>
          <w:color w:val="000000" w:themeColor="text1"/>
        </w:rPr>
        <w:t xml:space="preserve">, 134 </w:t>
      </w:r>
      <w:r>
        <w:rPr>
          <w:smallCaps/>
          <w:color w:val="000000" w:themeColor="text1"/>
        </w:rPr>
        <w:t>Harv. L. Rev.</w:t>
      </w:r>
      <w:r>
        <w:rPr>
          <w:color w:val="000000" w:themeColor="text1"/>
        </w:rPr>
        <w:t xml:space="preserve"> 1184, 1192 (2021) (“[I]n FAA cases, the Court routinely assumes that litigation and arbitration are equally acceptable methods for resolving disputes. This assumed equality has become ‘a pillar of contemporary arbitration law.’”); </w:t>
      </w:r>
      <w:r>
        <w:rPr>
          <w:i/>
          <w:iCs/>
          <w:color w:val="000000" w:themeColor="text1"/>
        </w:rPr>
        <w:t>see generally</w:t>
      </w:r>
      <w:r>
        <w:rPr>
          <w:color w:val="000000" w:themeColor="text1"/>
        </w:rPr>
        <w:t xml:space="preserve"> </w:t>
      </w:r>
      <w:r>
        <w:rPr>
          <w:smallCaps/>
          <w:color w:val="000000" w:themeColor="text1"/>
        </w:rPr>
        <w:t>Simon Roberts &amp; Michael Palmer, Dispute Processes: ADR and the Primary Forms of Decision-Making</w:t>
      </w:r>
      <w:r>
        <w:rPr>
          <w:color w:val="000000" w:themeColor="text1"/>
        </w:rPr>
        <w:t xml:space="preserve"> 11–13, 222–27 (2005) (describing how, in the common-law world, state-organized adjudication emerged as the historical novelty, exemplified by the twelfth-century rise of the English Royal Courts under Henry II).</w:t>
      </w:r>
    </w:p>
  </w:footnote>
  <w:footnote w:id="514">
    <w:p w14:paraId="64EADE21"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111 (quoting Nathan Isaacs, Book Review, 40 </w:t>
      </w:r>
      <w:r>
        <w:rPr>
          <w:smallCaps/>
          <w:color w:val="000000" w:themeColor="text1"/>
        </w:rPr>
        <w:t>Yale L.J.</w:t>
      </w:r>
      <w:r>
        <w:rPr>
          <w:color w:val="000000" w:themeColor="text1"/>
        </w:rPr>
        <w:t xml:space="preserve"> 149, 149–51 (1930)).</w:t>
      </w:r>
    </w:p>
  </w:footnote>
  <w:footnote w:id="515">
    <w:p w14:paraId="21587188"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L. Abel, </w:t>
      </w:r>
      <w:r>
        <w:rPr>
          <w:i/>
          <w:iCs/>
          <w:color w:val="000000" w:themeColor="text1"/>
        </w:rPr>
        <w:t>Introduction</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 3 (Richard L. Abel ed., 1982); John Owen Haley, </w:t>
      </w:r>
      <w:r>
        <w:rPr>
          <w:i/>
          <w:iCs/>
          <w:color w:val="000000" w:themeColor="text1"/>
        </w:rPr>
        <w:t>The Politics of Informal Justice: The Japanese Experience, 1922–1942</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125, 141 (Richard L. Abel ed., 1982); Judith Resnik, </w:t>
      </w:r>
      <w:r>
        <w:rPr>
          <w:i/>
          <w:iCs/>
          <w:color w:val="000000" w:themeColor="text1"/>
        </w:rPr>
        <w:t>Managerial Judges</w:t>
      </w:r>
      <w:r>
        <w:rPr>
          <w:color w:val="000000" w:themeColor="text1"/>
        </w:rPr>
        <w:t xml:space="preserve">, 96 </w:t>
      </w:r>
      <w:r>
        <w:rPr>
          <w:smallCaps/>
          <w:color w:val="000000" w:themeColor="text1"/>
        </w:rPr>
        <w:t>Harv. L. Rev.</w:t>
      </w:r>
      <w:r>
        <w:rPr>
          <w:color w:val="000000" w:themeColor="text1"/>
        </w:rPr>
        <w:t xml:space="preserve"> 374, 431 (1982).</w:t>
      </w:r>
    </w:p>
  </w:footnote>
  <w:footnote w:id="516">
    <w:p w14:paraId="59082434"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 176–78.</w:t>
      </w:r>
    </w:p>
  </w:footnote>
  <w:footnote w:id="517">
    <w:p w14:paraId="2861C8C4"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177; </w:t>
      </w:r>
      <w:r>
        <w:rPr>
          <w:smallCaps/>
          <w:color w:val="000000" w:themeColor="text1"/>
        </w:rPr>
        <w:t>Jethro K. Lieberman, The Litigious Society</w:t>
      </w:r>
      <w:r>
        <w:rPr>
          <w:color w:val="000000" w:themeColor="text1"/>
        </w:rPr>
        <w:t xml:space="preserve"> 113 (1981).</w:t>
      </w:r>
    </w:p>
  </w:footnote>
  <w:footnote w:id="518">
    <w:p w14:paraId="4A5FD3EE"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Judicial Process and the Decline of Twentieth-Century American Liberalism</w:t>
      </w:r>
      <w:r>
        <w:rPr>
          <w:color w:val="000000" w:themeColor="text1"/>
        </w:rPr>
        <w:t xml:space="preserve">, 16 </w:t>
      </w:r>
      <w:r>
        <w:rPr>
          <w:smallCaps/>
          <w:color w:val="000000" w:themeColor="text1"/>
        </w:rPr>
        <w:t>Harv. J. on Legis</w:t>
      </w:r>
      <w:r>
        <w:rPr>
          <w:color w:val="000000" w:themeColor="text1"/>
        </w:rPr>
        <w:t>. 283, 283–84 (1979).</w:t>
      </w:r>
    </w:p>
  </w:footnote>
  <w:footnote w:id="519">
    <w:p w14:paraId="59522B4C" w14:textId="77777777"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Barbara Ashley Phillips, The Mediation Field Guide: Transcending Litigation and Resolving Conflicts in Your Business or Organization</w:t>
      </w:r>
      <w:r>
        <w:rPr>
          <w:color w:val="000000" w:themeColor="text1"/>
          <w:sz w:val="20"/>
          <w:szCs w:val="20"/>
        </w:rPr>
        <w:t xml:space="preserve"> 13–14, 36 (2001);</w:t>
      </w:r>
      <w:r>
        <w:rPr>
          <w:smallCaps/>
          <w:color w:val="000000" w:themeColor="text1"/>
          <w:sz w:val="20"/>
          <w:szCs w:val="20"/>
        </w:rPr>
        <w:t xml:space="preserve"> Lieberman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3, 186; </w:t>
      </w:r>
      <w:r>
        <w:rPr>
          <w:iCs/>
          <w:smallCaps/>
          <w:color w:val="000000" w:themeColor="text1"/>
          <w:sz w:val="20"/>
          <w:szCs w:val="20"/>
        </w:rPr>
        <w:t>Merry</w:t>
      </w:r>
      <w:r>
        <w:rPr>
          <w:iCs/>
          <w:color w:val="000000" w:themeColor="text1"/>
          <w:sz w:val="20"/>
          <w:szCs w:val="20"/>
        </w:rPr>
        <w:t xml:space="preserve">, </w:t>
      </w:r>
      <w:r>
        <w:rPr>
          <w:i/>
          <w:color w:val="000000" w:themeColor="text1"/>
          <w:sz w:val="20"/>
          <w:szCs w:val="20"/>
        </w:rPr>
        <w:t>supra</w:t>
      </w:r>
      <w:r>
        <w:rPr>
          <w:iCs/>
          <w:color w:val="000000" w:themeColor="text1"/>
          <w:sz w:val="20"/>
          <w:szCs w:val="20"/>
        </w:rPr>
        <w:t xml:space="preserve"> note </w:t>
      </w:r>
      <w:r>
        <w:rPr>
          <w:iCs/>
          <w:color w:val="000000" w:themeColor="text1"/>
          <w:sz w:val="20"/>
          <w:szCs w:val="20"/>
        </w:rPr>
        <w:fldChar w:fldCharType="begin"/>
      </w:r>
      <w:r>
        <w:rPr>
          <w:iCs/>
          <w:color w:val="000000" w:themeColor="text1"/>
          <w:sz w:val="20"/>
          <w:szCs w:val="20"/>
        </w:rPr>
        <w:instrText xml:space="preserve"> NOTEREF _Ref218973253 \h  \* MERGEFORMAT </w:instrText>
      </w:r>
      <w:r>
        <w:rPr>
          <w:iCs/>
          <w:color w:val="000000" w:themeColor="text1"/>
          <w:sz w:val="20"/>
          <w:szCs w:val="20"/>
        </w:rPr>
      </w:r>
      <w:r>
        <w:rPr>
          <w:iCs/>
          <w:color w:val="000000" w:themeColor="text1"/>
          <w:sz w:val="20"/>
          <w:szCs w:val="20"/>
        </w:rPr>
        <w:fldChar w:fldCharType="separate"/>
      </w:r>
      <w:r>
        <w:rPr>
          <w:iCs/>
          <w:color w:val="000000" w:themeColor="text1"/>
          <w:sz w:val="20"/>
          <w:szCs w:val="20"/>
        </w:rPr>
        <w:t>411</w:t>
      </w:r>
      <w:r>
        <w:rPr>
          <w:iCs/>
          <w:color w:val="000000" w:themeColor="text1"/>
          <w:sz w:val="20"/>
          <w:szCs w:val="20"/>
        </w:rPr>
        <w:fldChar w:fldCharType="end"/>
      </w:r>
      <w:r>
        <w:rPr>
          <w:iCs/>
          <w:color w:val="000000" w:themeColor="text1"/>
          <w:sz w:val="20"/>
          <w:szCs w:val="20"/>
        </w:rPr>
        <w:t xml:space="preserve">, at </w:t>
      </w:r>
      <w:r>
        <w:rPr>
          <w:color w:val="000000" w:themeColor="text1"/>
          <w:sz w:val="20"/>
          <w:szCs w:val="20"/>
        </w:rPr>
        <w:t>177.</w:t>
      </w:r>
    </w:p>
  </w:footnote>
  <w:footnote w:id="520">
    <w:p w14:paraId="4053FAA5"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R. </w:t>
      </w:r>
      <w:proofErr w:type="spellStart"/>
      <w:r>
        <w:rPr>
          <w:color w:val="000000" w:themeColor="text1"/>
        </w:rPr>
        <w:t>Hensler</w:t>
      </w:r>
      <w:proofErr w:type="spellEnd"/>
      <w:r>
        <w:rPr>
          <w:color w:val="000000" w:themeColor="text1"/>
        </w:rPr>
        <w:t>, </w:t>
      </w:r>
      <w:r>
        <w:rPr>
          <w:i/>
          <w:iCs/>
          <w:color w:val="000000" w:themeColor="text1"/>
        </w:rPr>
        <w:t>Our Courts, Ourselves: How the Alternative Dispute Resolution Movement Is Re-Shaping Our Legal System</w:t>
      </w:r>
      <w:r>
        <w:rPr>
          <w:color w:val="000000" w:themeColor="text1"/>
        </w:rPr>
        <w:t xml:space="preserve">, 108 </w:t>
      </w:r>
      <w:r>
        <w:rPr>
          <w:smallCaps/>
          <w:color w:val="000000" w:themeColor="text1"/>
        </w:rPr>
        <w:t>Penn St. L. Rev.</w:t>
      </w:r>
      <w:r>
        <w:rPr>
          <w:color w:val="000000" w:themeColor="text1"/>
        </w:rPr>
        <w:t xml:space="preserve"> 165, 174 (2003); Derek C. Bok, </w:t>
      </w:r>
      <w:r>
        <w:rPr>
          <w:i/>
          <w:iCs/>
          <w:color w:val="000000" w:themeColor="text1"/>
        </w:rPr>
        <w:t>A Flawed System of Law Practice and Training</w:t>
      </w:r>
      <w:r>
        <w:rPr>
          <w:color w:val="000000" w:themeColor="text1"/>
        </w:rPr>
        <w:t xml:space="preserve">, 33 </w:t>
      </w:r>
      <w:r>
        <w:rPr>
          <w:smallCaps/>
          <w:color w:val="000000" w:themeColor="text1"/>
        </w:rPr>
        <w:t>J. Legal Educ.</w:t>
      </w:r>
      <w:r>
        <w:rPr>
          <w:color w:val="000000" w:themeColor="text1"/>
        </w:rPr>
        <w:t xml:space="preserve"> 570, 575, 581 (1983);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116;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174, 186;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16–17.</w:t>
      </w:r>
    </w:p>
  </w:footnote>
  <w:footnote w:id="521">
    <w:p w14:paraId="70C36554" w14:textId="77777777" w:rsidR="00813A8F" w:rsidRPr="005B3E31" w:rsidRDefault="00813A8F"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65, 67 (A. Leo Levin &amp; Russell R. Wheeler eds., 1979) (“By and large we </w:t>
      </w:r>
      <w:proofErr w:type="gramStart"/>
      <w:r>
        <w:rPr>
          <w:color w:val="000000" w:themeColor="text1"/>
        </w:rPr>
        <w:t>lawyers</w:t>
      </w:r>
      <w:proofErr w:type="gramEnd"/>
      <w:r>
        <w:rPr>
          <w:color w:val="000000" w:themeColor="text1"/>
        </w:rPr>
        <w:t xml:space="preserve"> and law teachers have been far too single-minded when it comes to dispute resolution. . . . [W]e </w:t>
      </w:r>
      <w:proofErr w:type="gramStart"/>
      <w:r>
        <w:rPr>
          <w:color w:val="000000" w:themeColor="text1"/>
        </w:rPr>
        <w:t>have</w:t>
      </w:r>
      <w:proofErr w:type="gramEnd"/>
      <w:r>
        <w:rPr>
          <w:color w:val="000000" w:themeColor="text1"/>
        </w:rPr>
        <w:t xml:space="preserve"> tended to assume that the courts are the natural and obvious dispute resolvers.”); </w:t>
      </w:r>
      <w:r>
        <w:rPr>
          <w:i/>
          <w:iCs/>
          <w:color w:val="000000" w:themeColor="text1"/>
        </w:rPr>
        <w:t>id.</w:t>
      </w:r>
      <w:r>
        <w:rPr>
          <w:color w:val="000000" w:themeColor="text1"/>
        </w:rPr>
        <w:t xml:space="preserve"> at 82 n.47 (describing V. Aubert’s suggestion “that failure realistically to appraise a legal claim is one major reason for taking it to court rather than settling it”); Simon H. Rifkind, </w:t>
      </w:r>
      <w:r>
        <w:rPr>
          <w:i/>
          <w:iCs/>
          <w:color w:val="000000" w:themeColor="text1"/>
        </w:rPr>
        <w:t>Are We Asking Too Much of Our Courts?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51, 61 (A. Leo Levin &amp; Russell R. Wheeler eds., 1979) (“If the threshold for admission to discovery were lifted so as to require a showing of probable merit, the flow of several classes of litigation would tend to diminish. Many actions are instituted on the basis of a hope that discovery will reveal a claim.”).</w:t>
      </w:r>
    </w:p>
  </w:footnote>
  <w:footnote w:id="522">
    <w:p w14:paraId="13133C1B"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w:t>
      </w:r>
      <w:r>
        <w:rPr>
          <w:i/>
          <w:color w:val="000000" w:themeColor="text1"/>
        </w:rPr>
        <w:t xml:space="preserve"> </w:t>
      </w:r>
      <w:r>
        <w:rPr>
          <w:iCs/>
          <w:color w:val="000000" w:themeColor="text1"/>
        </w:rPr>
        <w:t xml:space="preserve">172–82 (tracing citizens’ turn to the courts to “American individualism and egalitarian values” and the legal system’s “invitation,” while doubting “the existence of a litigation explosion at all”); Rifkind, </w:t>
      </w:r>
      <w:r>
        <w:rPr>
          <w:i/>
          <w:color w:val="000000" w:themeColor="text1"/>
        </w:rPr>
        <w:t>supra</w:t>
      </w:r>
      <w:r>
        <w:rPr>
          <w:iCs/>
          <w:color w:val="000000" w:themeColor="text1"/>
        </w:rPr>
        <w:t xml:space="preserve"> note 533, at 52 (“Quantitatively, the courts are carrying too heavy a burden—and probably a burden beyond the capability of mitigation by merely increasing the number of judges.”).</w:t>
      </w:r>
    </w:p>
  </w:footnote>
  <w:footnote w:id="523">
    <w:p w14:paraId="63F5A38F"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Haley,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_Ref218973469 \h  \* MERGEFORMAT </w:instrText>
      </w:r>
      <w:r>
        <w:rPr>
          <w:color w:val="000000" w:themeColor="text1"/>
        </w:rPr>
      </w:r>
      <w:r>
        <w:rPr>
          <w:color w:val="000000" w:themeColor="text1"/>
        </w:rPr>
        <w:fldChar w:fldCharType="separate"/>
      </w:r>
      <w:r>
        <w:rPr>
          <w:color w:val="000000" w:themeColor="text1"/>
        </w:rPr>
        <w:t>337</w:t>
      </w:r>
      <w:r>
        <w:rPr>
          <w:color w:val="000000" w:themeColor="text1"/>
        </w:rPr>
        <w:fldChar w:fldCharType="end"/>
      </w:r>
      <w:r>
        <w:rPr>
          <w:color w:val="000000" w:themeColor="text1"/>
        </w:rPr>
        <w:t>, at 378–79.</w:t>
      </w:r>
    </w:p>
  </w:footnote>
  <w:footnote w:id="524">
    <w:p w14:paraId="6190974A"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Judith Resnik, </w:t>
      </w:r>
      <w:r>
        <w:rPr>
          <w:i/>
          <w:color w:val="000000" w:themeColor="text1"/>
        </w:rPr>
        <w:t>Diffusing Disputes: The Public in the Private of Arbitration, the Private in Courts, and the Erasure of Rights</w:t>
      </w:r>
      <w:r>
        <w:rPr>
          <w:iCs/>
          <w:color w:val="000000" w:themeColor="text1"/>
        </w:rPr>
        <w:t xml:space="preserve">, 124 </w:t>
      </w:r>
      <w:r>
        <w:rPr>
          <w:iCs/>
          <w:smallCaps/>
          <w:color w:val="000000" w:themeColor="text1"/>
        </w:rPr>
        <w:t>Yale L.J.</w:t>
      </w:r>
      <w:r>
        <w:rPr>
          <w:iCs/>
          <w:color w:val="000000" w:themeColor="text1"/>
        </w:rPr>
        <w:t xml:space="preserve"> 2804, 2847–49, 2880–81 (2015).</w:t>
      </w:r>
    </w:p>
  </w:footnote>
  <w:footnote w:id="525">
    <w:p w14:paraId="0308D2C5"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173–82.</w:t>
      </w:r>
    </w:p>
  </w:footnote>
  <w:footnote w:id="526">
    <w:p w14:paraId="048A7DBA"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smallCaps/>
          <w:color w:val="000000" w:themeColor="text1"/>
        </w:rPr>
        <w:t>Abel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285–306; </w:t>
      </w:r>
      <w:r>
        <w:rPr>
          <w:smallCaps/>
          <w:color w:val="000000" w:themeColor="text1"/>
        </w:rPr>
        <w:t>Laura Nader, Harmony Ideology: Justice and Control in a Zapotec Mountain Village</w:t>
      </w:r>
      <w:r>
        <w:rPr>
          <w:color w:val="000000" w:themeColor="text1"/>
        </w:rPr>
        <w:t xml:space="preserve"> 306–22 (1990); Austin Sarat, </w:t>
      </w:r>
      <w:r>
        <w:rPr>
          <w:i/>
          <w:iCs/>
          <w:color w:val="000000" w:themeColor="text1"/>
        </w:rPr>
        <w:t>The Litigation Explosion, Access to Justice, and Court Reform: Examining the Critical Assumptions</w:t>
      </w:r>
      <w:r>
        <w:rPr>
          <w:color w:val="000000" w:themeColor="text1"/>
        </w:rPr>
        <w:t xml:space="preserve">, 37 </w:t>
      </w:r>
      <w:r>
        <w:rPr>
          <w:smallCaps/>
          <w:color w:val="000000" w:themeColor="text1"/>
        </w:rPr>
        <w:t>Rutgers L. Rev.</w:t>
      </w:r>
      <w:r>
        <w:rPr>
          <w:color w:val="000000" w:themeColor="text1"/>
        </w:rPr>
        <w:t xml:space="preserve"> 319, 320, 330 (1985); </w:t>
      </w:r>
      <w:r>
        <w:rPr>
          <w:i/>
          <w:iCs/>
          <w:color w:val="000000" w:themeColor="text1"/>
        </w:rPr>
        <w:t>see also</w:t>
      </w:r>
      <w:r>
        <w:rPr>
          <w:color w:val="000000" w:themeColor="text1"/>
        </w:rPr>
        <w:t xml:space="preserve"> Marc Galanter, </w:t>
      </w:r>
      <w:r>
        <w:rPr>
          <w:i/>
          <w:iCs/>
          <w:color w:val="000000" w:themeColor="text1"/>
        </w:rPr>
        <w:t>Introduction: Haves Ascendant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Why the Haves Come Out Ahead: The Classic Essay and New Observations</w:t>
      </w:r>
      <w:r>
        <w:rPr>
          <w:color w:val="000000" w:themeColor="text1"/>
        </w:rPr>
        <w:t xml:space="preserve"> (2014) </w:t>
      </w:r>
      <w:r>
        <w:rPr>
          <w:iCs/>
          <w:color w:val="000000" w:themeColor="text1"/>
        </w:rPr>
        <w:t xml:space="preserve">(describing how ADR “constrict[ed] access to forums capable </w:t>
      </w:r>
      <w:r>
        <w:rPr>
          <w:iCs/>
          <w:color w:val="000000" w:themeColor="text1"/>
          <w:lang w:val="en"/>
        </w:rPr>
        <w:t>of inducing consequential change</w:t>
      </w:r>
      <w:r>
        <w:rPr>
          <w:iCs/>
          <w:color w:val="000000" w:themeColor="text1"/>
        </w:rPr>
        <w:t xml:space="preserve">”). </w:t>
      </w:r>
    </w:p>
  </w:footnote>
  <w:footnote w:id="527">
    <w:p w14:paraId="5005F7DA"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186–90; Owen M. </w:t>
      </w:r>
      <w:proofErr w:type="spellStart"/>
      <w:r>
        <w:rPr>
          <w:color w:val="000000" w:themeColor="text1"/>
        </w:rPr>
        <w:t>Fiss</w:t>
      </w:r>
      <w:proofErr w:type="spellEnd"/>
      <w:r>
        <w:rPr>
          <w:color w:val="000000" w:themeColor="text1"/>
        </w:rPr>
        <w:t xml:space="preserve">, </w:t>
      </w:r>
      <w:r>
        <w:rPr>
          <w:smallCaps/>
          <w:color w:val="000000" w:themeColor="text1"/>
        </w:rPr>
        <w:t>Against Settlement</w:t>
      </w:r>
      <w:r>
        <w:rPr>
          <w:color w:val="000000" w:themeColor="text1"/>
        </w:rPr>
        <w:t xml:space="preserve">, 93 </w:t>
      </w:r>
      <w:r>
        <w:rPr>
          <w:smallCaps/>
          <w:color w:val="000000" w:themeColor="text1"/>
        </w:rPr>
        <w:t>Yale L.J.</w:t>
      </w:r>
      <w:r>
        <w:rPr>
          <w:color w:val="000000" w:themeColor="text1"/>
        </w:rPr>
        <w:t xml:space="preserve"> 1073, 1087–89 (1984).</w:t>
      </w:r>
    </w:p>
  </w:footnote>
  <w:footnote w:id="528">
    <w:p w14:paraId="10024846"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Stephen B. Goldberg et al., Dispute Resolution: Negotiation, Mediation, Arbitration, and Other Processes</w:t>
      </w:r>
      <w:r>
        <w:rPr>
          <w:color w:val="000000" w:themeColor="text1"/>
        </w:rPr>
        <w:t xml:space="preserve"> 5 (6th ed. 2012); </w:t>
      </w:r>
      <w:r>
        <w:rPr>
          <w:smallCaps/>
          <w:color w:val="000000" w:themeColor="text1"/>
        </w:rPr>
        <w:t>The Pound Conference: Perspectives on Justice in the Future</w:t>
      </w:r>
      <w:r>
        <w:rPr>
          <w:color w:val="000000" w:themeColor="text1"/>
        </w:rPr>
        <w:t> 306 (A. Leo Levin &amp; Russell R. Wheeler eds., 1979); Paul I. Perlman, </w:t>
      </w:r>
      <w:r>
        <w:rPr>
          <w:i/>
          <w:iCs/>
          <w:color w:val="000000" w:themeColor="text1"/>
        </w:rPr>
        <w:t>Final Offer Arbitration: A Pre-Trial Settlement Device</w:t>
      </w:r>
      <w:r>
        <w:rPr>
          <w:color w:val="000000" w:themeColor="text1"/>
        </w:rPr>
        <w:t xml:space="preserve">, 16 </w:t>
      </w:r>
      <w:r>
        <w:rPr>
          <w:smallCaps/>
          <w:color w:val="000000" w:themeColor="text1"/>
        </w:rPr>
        <w:t>Harv. J. on Legis.</w:t>
      </w:r>
      <w:r>
        <w:rPr>
          <w:color w:val="000000" w:themeColor="text1"/>
        </w:rPr>
        <w:t xml:space="preserve"> 513, 513 (1979);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w:t>
      </w:r>
    </w:p>
  </w:footnote>
  <w:footnote w:id="529">
    <w:p w14:paraId="429B6EB6"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Warren E. Burger, </w:t>
      </w:r>
      <w:r>
        <w:rPr>
          <w:i/>
          <w:iCs/>
          <w:color w:val="000000" w:themeColor="text1"/>
        </w:rPr>
        <w:t>Agenda for 2000 A.D.—A Need for Systematic Anticipation</w:t>
      </w:r>
      <w:r>
        <w:rPr>
          <w:color w:val="000000" w:themeColor="text1"/>
        </w:rPr>
        <w:t>, </w:t>
      </w:r>
      <w:r>
        <w:rPr>
          <w:i/>
          <w:iCs/>
          <w:color w:val="000000" w:themeColor="text1"/>
        </w:rPr>
        <w:t>in</w:t>
      </w:r>
      <w:r>
        <w:rPr>
          <w:color w:val="000000" w:themeColor="text1"/>
        </w:rPr>
        <w:t>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23, 33; Frank E. A. Sander, </w:t>
      </w:r>
      <w:r>
        <w:rPr>
          <w:i/>
          <w:iCs/>
          <w:color w:val="000000" w:themeColor="text1"/>
        </w:rPr>
        <w:t>Varieties of Dispute Processing,</w:t>
      </w:r>
      <w:r>
        <w:rPr>
          <w:color w:val="000000" w:themeColor="text1"/>
        </w:rPr>
        <w:t xml:space="preserve"> 70 </w:t>
      </w:r>
      <w:r>
        <w:rPr>
          <w:smallCaps/>
          <w:color w:val="000000" w:themeColor="text1"/>
        </w:rPr>
        <w:t>F.R.D.</w:t>
      </w:r>
      <w:r>
        <w:rPr>
          <w:color w:val="000000" w:themeColor="text1"/>
        </w:rPr>
        <w:t xml:space="preserve"> 111, 131 (1976);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123–24;</w:t>
      </w:r>
      <w:r>
        <w:rPr>
          <w:smallCaps/>
          <w:color w:val="000000" w:themeColor="text1"/>
        </w:rPr>
        <w:t xml:space="preserve"> </w:t>
      </w:r>
      <w:r>
        <w:rPr>
          <w:color w:val="000000" w:themeColor="text1"/>
        </w:rPr>
        <w:t xml:space="preserve">Harrington, </w:t>
      </w:r>
      <w:r>
        <w:rPr>
          <w:i/>
          <w:iCs/>
          <w:color w:val="000000" w:themeColor="text1"/>
        </w:rPr>
        <w:t>supra</w:t>
      </w:r>
      <w:r>
        <w:rPr>
          <w:color w:val="000000" w:themeColor="text1"/>
        </w:rPr>
        <w:t xml:space="preserve"> note 483, at 37, 62. </w:t>
      </w:r>
    </w:p>
  </w:footnote>
  <w:footnote w:id="530">
    <w:p w14:paraId="5FF30851"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123–24; Sander, </w:t>
      </w:r>
      <w:r>
        <w:rPr>
          <w:i/>
          <w:iCs/>
          <w:color w:val="000000" w:themeColor="text1"/>
        </w:rPr>
        <w:t>supra</w:t>
      </w:r>
      <w:r>
        <w:rPr>
          <w:color w:val="000000" w:themeColor="text1"/>
        </w:rPr>
        <w:t xml:space="preserve"> note 533, at 84.</w:t>
      </w:r>
    </w:p>
  </w:footnote>
  <w:footnote w:id="531">
    <w:p w14:paraId="09930137"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Edwards, </w:t>
      </w:r>
      <w:r>
        <w:rPr>
          <w:i/>
          <w:iCs/>
          <w:color w:val="000000" w:themeColor="text1"/>
        </w:rPr>
        <w:t>Renovating the Multi-Door Courthouse: Designing Trial Court Dispute Resolution Systems to Improve Results and Control Costs</w:t>
      </w:r>
      <w:r>
        <w:rPr>
          <w:color w:val="000000" w:themeColor="text1"/>
        </w:rPr>
        <w:t xml:space="preserve">, 18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281, 321–30 (2013);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172; </w:t>
      </w:r>
      <w:r>
        <w:rPr>
          <w:smallCaps/>
          <w:color w:val="000000" w:themeColor="text1"/>
        </w:rPr>
        <w:t>Christine B. Harrington, Shadow Justice</w:t>
      </w:r>
      <w:r>
        <w:rPr>
          <w:color w:val="000000" w:themeColor="text1"/>
        </w:rPr>
        <w:t xml:space="preserve"> 34–38 (1985). </w:t>
      </w:r>
    </w:p>
  </w:footnote>
  <w:footnote w:id="532">
    <w:p w14:paraId="67A2632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130–33;</w:t>
      </w:r>
      <w:r>
        <w:rPr>
          <w:smallCaps/>
          <w:color w:val="000000" w:themeColor="text1"/>
        </w:rPr>
        <w:t xml:space="preserve"> 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533">
    <w:p w14:paraId="5BC20C7B"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 Leon Higginbotham, Jr., </w:t>
      </w:r>
      <w:r>
        <w:rPr>
          <w:i/>
          <w:iCs/>
          <w:color w:val="000000" w:themeColor="text1"/>
        </w:rPr>
        <w:t>The Priority of Human Rights in Court Reform</w:t>
      </w:r>
      <w:r>
        <w:rPr>
          <w:color w:val="000000" w:themeColor="text1"/>
        </w:rPr>
        <w:t xml:space="preserve">, 15 </w:t>
      </w:r>
      <w:r>
        <w:rPr>
          <w:smallCaps/>
          <w:color w:val="000000" w:themeColor="text1"/>
        </w:rPr>
        <w:t>Judges’ J.</w:t>
      </w:r>
      <w:r>
        <w:rPr>
          <w:color w:val="000000" w:themeColor="text1"/>
        </w:rPr>
        <w:t xml:space="preserve"> 34, 36–42 (1976); Laura Nader, </w:t>
      </w:r>
      <w:r>
        <w:rPr>
          <w:i/>
          <w:iCs/>
          <w:color w:val="000000" w:themeColor="text1"/>
        </w:rPr>
        <w:t>Comment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w:t>
      </w:r>
      <w:r>
        <w:rPr>
          <w:color w:val="000000" w:themeColor="text1"/>
        </w:rPr>
        <w:t xml:space="preserve">, </w:t>
      </w:r>
      <w:r>
        <w:rPr>
          <w:i/>
          <w:iCs/>
          <w:color w:val="000000" w:themeColor="text1"/>
        </w:rPr>
        <w:t>supra</w:t>
      </w:r>
      <w:r>
        <w:rPr>
          <w:color w:val="000000" w:themeColor="text1"/>
        </w:rPr>
        <w:t xml:space="preserve"> note 540, at 114–19;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220–24;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125; </w:t>
      </w:r>
      <w:proofErr w:type="spellStart"/>
      <w:r>
        <w:rPr>
          <w:color w:val="000000" w:themeColor="text1"/>
        </w:rPr>
        <w:t>Hensler</w:t>
      </w:r>
      <w:proofErr w:type="spellEnd"/>
      <w:r>
        <w:rPr>
          <w:color w:val="000000" w:themeColor="text1"/>
        </w:rPr>
        <w:t xml:space="preserve">, </w:t>
      </w:r>
      <w:r>
        <w:rPr>
          <w:i/>
          <w:iCs/>
          <w:color w:val="000000" w:themeColor="text1"/>
        </w:rPr>
        <w:t>supra</w:t>
      </w:r>
      <w:r>
        <w:rPr>
          <w:color w:val="000000" w:themeColor="text1"/>
        </w:rPr>
        <w:t xml:space="preserve"> note 532, at 183–86; Nader,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_Ref218976427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320–21.</w:t>
      </w:r>
    </w:p>
  </w:footnote>
  <w:footnote w:id="534">
    <w:p w14:paraId="3E65B190"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Kimberlee Kovach, </w:t>
      </w:r>
      <w:r>
        <w:rPr>
          <w:i/>
          <w:iCs/>
          <w:color w:val="000000" w:themeColor="text1"/>
          <w:lang w:val="en"/>
        </w:rPr>
        <w:t xml:space="preserve">Growth from the </w:t>
      </w:r>
      <w:proofErr w:type="gramStart"/>
      <w:r>
        <w:rPr>
          <w:i/>
          <w:iCs/>
          <w:color w:val="000000" w:themeColor="text1"/>
          <w:lang w:val="en"/>
        </w:rPr>
        <w:t>Grid?,</w:t>
      </w:r>
      <w:proofErr w:type="gramEnd"/>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197, 198 (Art Hinshaw et al. eds., 2021).</w:t>
      </w:r>
    </w:p>
  </w:footnote>
  <w:footnote w:id="535">
    <w:p w14:paraId="5E59A3D9" w14:textId="77777777" w:rsidR="00F54EDF" w:rsidRPr="005B3E31" w:rsidRDefault="00F54EDF" w:rsidP="003D74D8">
      <w:pPr>
        <w:pStyle w:val="FootnoteText"/>
        <w:spacing w:line="480" w:lineRule="auto"/>
      </w:pPr>
      <w:r>
        <w:rPr>
          <w:rStyle w:val="FootnoteReference"/>
        </w:rPr>
        <w:footnoteRef/>
      </w:r>
      <w:r>
        <w:t xml:space="preserve"> John </w:t>
      </w:r>
      <w:proofErr w:type="spellStart"/>
      <w:r>
        <w:t>Lande</w:t>
      </w:r>
      <w:proofErr w:type="spellEnd"/>
      <w:r>
        <w:t xml:space="preserve">, </w:t>
      </w:r>
      <w:r>
        <w:rPr>
          <w:i/>
          <w:iCs/>
        </w:rPr>
        <w:t>For Pragmatic Romanticism in Law and Dispute Resolution: Reflections on Galanter’s Remarkably Realistic Analysis of Why the Have-Nots Come Out Behind</w:t>
      </w:r>
      <w:r>
        <w:t xml:space="preserve">, </w:t>
      </w:r>
      <w:r>
        <w:rPr>
          <w:i/>
          <w:iCs/>
        </w:rPr>
        <w:t>in</w:t>
      </w:r>
      <w:r>
        <w:t xml:space="preserve"> </w:t>
      </w:r>
      <w:r>
        <w:rPr>
          <w:smallCaps/>
        </w:rPr>
        <w:t>Discussions in Dispute Resolution: The Foundational Articles</w:t>
      </w:r>
      <w:r>
        <w:t xml:space="preserve"> 303, 305 (Art Hinshaw et al. eds., 2021); </w:t>
      </w:r>
      <w:proofErr w:type="spellStart"/>
      <w:r>
        <w:t>Lande</w:t>
      </w:r>
      <w:proofErr w:type="spellEnd"/>
      <w:r>
        <w:t xml:space="preserve">, supra note 8, at 3, 5; Marc Galanter, </w:t>
      </w:r>
      <w:r>
        <w:rPr>
          <w:i/>
          <w:iCs/>
        </w:rPr>
        <w:t>Worlds of Deals: Using Negotiation to Teach about Legal Process</w:t>
      </w:r>
      <w:r>
        <w:t xml:space="preserve">, 34 </w:t>
      </w:r>
      <w:r>
        <w:rPr>
          <w:smallCaps/>
        </w:rPr>
        <w:t>J. Legal Educ.</w:t>
      </w:r>
      <w:r>
        <w:t xml:space="preserve"> 268, 268 (1984) John </w:t>
      </w:r>
      <w:proofErr w:type="spellStart"/>
      <w:r>
        <w:t>Lande</w:t>
      </w:r>
      <w:proofErr w:type="spellEnd"/>
      <w:r>
        <w:t xml:space="preserve">, </w:t>
      </w:r>
      <w:r>
        <w:rPr>
          <w:i/>
          <w:iCs/>
        </w:rPr>
        <w:t>How Will Lawyering and Mediation Practices Transform Each Other?</w:t>
      </w:r>
      <w:r>
        <w:t xml:space="preserve">, 24 </w:t>
      </w:r>
      <w:r>
        <w:rPr>
          <w:smallCaps/>
        </w:rPr>
        <w:t>Fla. St. U. L. Rev.</w:t>
      </w:r>
      <w:r>
        <w:t xml:space="preserve"> 839, 841 (1997) </w:t>
      </w:r>
    </w:p>
  </w:footnote>
  <w:footnote w:id="536">
    <w:p w14:paraId="2FEFA110" w14:textId="77777777" w:rsidR="00B573FE" w:rsidRPr="005B3E31" w:rsidRDefault="00B573FE" w:rsidP="003D74D8">
      <w:pPr>
        <w:pStyle w:val="FootnoteText"/>
        <w:spacing w:line="480" w:lineRule="auto"/>
      </w:pPr>
      <w:r>
        <w:rPr>
          <w:rStyle w:val="FootnoteReference"/>
        </w:rPr>
        <w:footnoteRef/>
      </w:r>
      <w:r>
        <w:t xml:space="preserve"> Amos </w:t>
      </w:r>
      <w:proofErr w:type="spellStart"/>
      <w:r>
        <w:t>Gabrieli</w:t>
      </w:r>
      <w:proofErr w:type="spellEnd"/>
      <w:r>
        <w:t xml:space="preserve"> &amp; Michal </w:t>
      </w:r>
      <w:proofErr w:type="spellStart"/>
      <w:r>
        <w:t>Alberstein</w:t>
      </w:r>
      <w:proofErr w:type="spellEnd"/>
      <w:r>
        <w:t xml:space="preserve">, </w:t>
      </w:r>
      <w:r>
        <w:rPr>
          <w:i/>
          <w:iCs/>
        </w:rPr>
        <w:t>Conflict Resolution Procedures Within the Courtroom: Between the Adversarial and Inquisitorial Traditions</w:t>
      </w:r>
      <w:r>
        <w:t xml:space="preserve">, 51 </w:t>
      </w:r>
      <w:r>
        <w:rPr>
          <w:smallCaps/>
        </w:rPr>
        <w:t>Ga. J. Int’l &amp; Comp. L.</w:t>
      </w:r>
      <w:r>
        <w:t xml:space="preserve"> 89, 91, 111 (2022)</w:t>
      </w:r>
    </w:p>
  </w:footnote>
  <w:footnote w:id="537">
    <w:p w14:paraId="1702A580" w14:textId="77777777" w:rsidR="008E3C30" w:rsidRPr="005B3E31" w:rsidRDefault="0076597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 leading ADR treatise defines a dispute as arising only once a claimant asserts a claim against a respondent. </w:t>
      </w:r>
      <w:r>
        <w:rPr>
          <w:i/>
          <w:iCs/>
          <w:color w:val="000000" w:themeColor="text1"/>
        </w:rPr>
        <w:t>See</w:t>
      </w:r>
      <w:r>
        <w:rPr>
          <w:color w:val="000000" w:themeColor="text1"/>
        </w:rPr>
        <w:t xml:space="preserve"> </w:t>
      </w:r>
      <w:r>
        <w:rPr>
          <w:smallCaps/>
          <w:color w:val="000000" w:themeColor="text1"/>
        </w:rPr>
        <w:t>Stephen J. Ware, Principles of Alternative Dispute Resolution</w:t>
      </w:r>
      <w:r>
        <w:rPr>
          <w:color w:val="000000" w:themeColor="text1"/>
        </w:rPr>
        <w:t xml:space="preserve"> 2 (2023) (defining a dispute as “[a] dispute involves at least two parties, the disputants. The disputants can be individuals, corporations, governments, or other entities. A dispute does not occur until one party (the claimant) makes a claim against another (the respondent). A claim is more than the communication of dissatisfaction. A claim asserts that the respondent has a duty to do something about the source of the claimant’s dissatisfaction”).</w:t>
      </w:r>
    </w:p>
  </w:footnote>
  <w:footnote w:id="538">
    <w:p w14:paraId="5B93EC4D" w14:textId="77777777" w:rsidR="00D879FE" w:rsidRDefault="00000000">
      <w:pPr>
        <w:pStyle w:val="FootnoteText"/>
        <w:spacing w:line="480" w:lineRule="auto"/>
      </w:pPr>
      <w:r>
        <w:rPr>
          <w:rStyle w:val="FootnoteReference"/>
        </w:rPr>
        <w:footnoteRef/>
      </w:r>
      <w:r>
        <w:t xml:space="preserve"> </w:t>
      </w:r>
      <w:r>
        <w:rPr>
          <w:smallCaps/>
        </w:rPr>
        <w:t>Mary Douglas, How Institutions Think</w:t>
      </w:r>
      <w:r>
        <w:t xml:space="preserve"> 111 (1986).</w:t>
      </w:r>
    </w:p>
  </w:footnote>
  <w:footnote w:id="539">
    <w:p w14:paraId="54DD26C7"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Sections IV</w:t>
      </w:r>
      <w:proofErr w:type="gramEnd"/>
      <w:r>
        <w:rPr>
          <w:color w:val="000000" w:themeColor="text1"/>
        </w:rPr>
        <w:t>–V.</w:t>
      </w:r>
    </w:p>
  </w:footnote>
  <w:footnote w:id="540">
    <w:p w14:paraId="43259435" w14:textId="77777777" w:rsidR="0043682F" w:rsidRPr="005B3E31" w:rsidRDefault="004368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Art Hinshaw</w:t>
      </w:r>
      <w:r>
        <w:rPr>
          <w:color w:val="000000" w:themeColor="text1"/>
        </w:rPr>
        <w:t xml:space="preserve"> et al., </w:t>
      </w:r>
      <w:r>
        <w:rPr>
          <w:smallCaps/>
          <w:color w:val="000000" w:themeColor="text1"/>
        </w:rPr>
        <w:t>Discussions in Dispute Resolution</w:t>
      </w:r>
      <w:r>
        <w:rPr>
          <w:color w:val="000000" w:themeColor="text1"/>
        </w:rPr>
        <w:t xml:space="preserve"> at xix (2021).</w:t>
      </w:r>
    </w:p>
  </w:footnote>
  <w:footnote w:id="541">
    <w:p w14:paraId="13B38F05" w14:textId="77777777" w:rsidR="008B1831" w:rsidRPr="005B3E31" w:rsidRDefault="008B18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Andrew B. Mamo, </w:t>
      </w:r>
      <w:r>
        <w:rPr>
          <w:i/>
          <w:iCs/>
          <w:color w:val="000000" w:themeColor="text1"/>
        </w:rPr>
        <w:t>Three Ways of Looking at Dispute Resolution</w:t>
      </w:r>
      <w:r>
        <w:rPr>
          <w:color w:val="000000" w:themeColor="text1"/>
        </w:rPr>
        <w:t xml:space="preserve">, 54 </w:t>
      </w:r>
      <w:r>
        <w:rPr>
          <w:smallCaps/>
          <w:color w:val="000000" w:themeColor="text1"/>
        </w:rPr>
        <w:t>Wake Forest L. Rev.</w:t>
      </w:r>
      <w:r>
        <w:rPr>
          <w:color w:val="000000" w:themeColor="text1"/>
        </w:rPr>
        <w:t xml:space="preserve"> 1399, 1403, 1434–35 (2019); </w:t>
      </w:r>
      <w:r>
        <w:rPr>
          <w:smallCaps/>
          <w:color w:val="000000" w:themeColor="text1"/>
        </w:rPr>
        <w:t>Stephen J. Ware, Principles of Alternative Dispute Resolution</w:t>
      </w:r>
      <w:r>
        <w:rPr>
          <w:color w:val="000000" w:themeColor="text1"/>
        </w:rPr>
        <w:t xml:space="preserve"> (2023); Carrie </w:t>
      </w:r>
      <w:proofErr w:type="spellStart"/>
      <w:r>
        <w:rPr>
          <w:color w:val="000000" w:themeColor="text1"/>
        </w:rPr>
        <w:t>Menkel</w:t>
      </w:r>
      <w:proofErr w:type="spellEnd"/>
      <w:r>
        <w:rPr>
          <w:color w:val="000000" w:themeColor="text1"/>
        </w:rPr>
        <w:t xml:space="preserve">-Meadow, </w:t>
      </w:r>
      <w:r>
        <w:rPr>
          <w:i/>
          <w:iCs/>
          <w:color w:val="000000" w:themeColor="text1"/>
        </w:rPr>
        <w:t>The Transformation of Disputes by Lawyers: What the Dispute Paradigm Does and Does Not Tell Us</w:t>
      </w:r>
      <w:r>
        <w:rPr>
          <w:color w:val="000000" w:themeColor="text1"/>
        </w:rPr>
        <w:t xml:space="preserve">, 1985 </w:t>
      </w:r>
      <w:r>
        <w:rPr>
          <w:smallCaps/>
          <w:color w:val="000000" w:themeColor="text1"/>
        </w:rPr>
        <w:t>Mo. J</w:t>
      </w:r>
      <w:r>
        <w:rPr>
          <w:color w:val="000000" w:themeColor="text1"/>
        </w:rPr>
        <w:t xml:space="preserve">. </w:t>
      </w:r>
      <w:r>
        <w:rPr>
          <w:smallCaps/>
          <w:color w:val="000000" w:themeColor="text1"/>
        </w:rPr>
        <w:t xml:space="preserve">Disp. </w:t>
      </w:r>
      <w:proofErr w:type="spellStart"/>
      <w:r>
        <w:rPr>
          <w:smallCaps/>
          <w:color w:val="000000" w:themeColor="text1"/>
        </w:rPr>
        <w:t>Resol</w:t>
      </w:r>
      <w:proofErr w:type="spellEnd"/>
      <w:r>
        <w:rPr>
          <w:smallCaps/>
          <w:color w:val="000000" w:themeColor="text1"/>
        </w:rPr>
        <w:t>.</w:t>
      </w:r>
      <w:r>
        <w:rPr>
          <w:color w:val="000000" w:themeColor="text1"/>
        </w:rPr>
        <w:t xml:space="preserve"> 25, 29 (1985); Richard E. Miller &amp; Austin Sarat, </w:t>
      </w:r>
      <w:r>
        <w:rPr>
          <w:i/>
          <w:iCs/>
          <w:color w:val="000000" w:themeColor="text1"/>
        </w:rPr>
        <w:t>Grievances, Claims, and Disputes: Assessing the Adversary Culture</w:t>
      </w:r>
      <w:r>
        <w:rPr>
          <w:color w:val="000000" w:themeColor="text1"/>
        </w:rPr>
        <w:t xml:space="preserve">, 15 </w:t>
      </w:r>
      <w:r>
        <w:rPr>
          <w:smallCaps/>
          <w:color w:val="000000" w:themeColor="text1"/>
        </w:rPr>
        <w:t>L. &amp; Soc’y Rev</w:t>
      </w:r>
      <w:r>
        <w:rPr>
          <w:color w:val="000000" w:themeColor="text1"/>
        </w:rPr>
        <w:t xml:space="preserve">. 525, 526 (1980–81); John </w:t>
      </w:r>
      <w:proofErr w:type="spellStart"/>
      <w:r>
        <w:rPr>
          <w:color w:val="000000" w:themeColor="text1"/>
        </w:rPr>
        <w:t>Lande</w:t>
      </w:r>
      <w:proofErr w:type="spellEnd"/>
      <w:r>
        <w:rPr>
          <w:color w:val="000000" w:themeColor="text1"/>
        </w:rPr>
        <w:t xml:space="preserve">, </w:t>
      </w:r>
      <w:r>
        <w:rPr>
          <w:i/>
          <w:iCs/>
          <w:color w:val="000000" w:themeColor="text1"/>
        </w:rPr>
        <w:t>A Framework for Advancing Negotiation Theory: Implications from a Study of How Lawyers Reach Agreement in Pretrial Litigation</w:t>
      </w:r>
      <w:r>
        <w:rPr>
          <w:color w:val="000000" w:themeColor="text1"/>
        </w:rPr>
        <w:t xml:space="preserve">, 16 </w:t>
      </w:r>
      <w:r>
        <w:rPr>
          <w:smallCaps/>
          <w:color w:val="000000" w:themeColor="text1"/>
        </w:rPr>
        <w:t xml:space="preserve">Cardozo J. Conflict </w:t>
      </w:r>
      <w:proofErr w:type="spellStart"/>
      <w:r>
        <w:rPr>
          <w:smallCaps/>
          <w:color w:val="000000" w:themeColor="text1"/>
        </w:rPr>
        <w:t>Resol</w:t>
      </w:r>
      <w:proofErr w:type="spellEnd"/>
      <w:r>
        <w:rPr>
          <w:color w:val="000000" w:themeColor="text1"/>
        </w:rPr>
        <w:t xml:space="preserve">. 1, 4–7 (2014); </w:t>
      </w:r>
      <w:r>
        <w:rPr>
          <w:i/>
          <w:iCs/>
          <w:color w:val="000000" w:themeColor="text1"/>
        </w:rPr>
        <w:t>see</w:t>
      </w:r>
      <w:r>
        <w:rPr>
          <w:color w:val="000000" w:themeColor="text1"/>
        </w:rPr>
        <w:t xml:space="preserve"> </w:t>
      </w:r>
      <w:proofErr w:type="gramStart"/>
      <w:r>
        <w:rPr>
          <w:i/>
          <w:iCs/>
          <w:color w:val="000000" w:themeColor="text1"/>
        </w:rPr>
        <w:t>infra</w:t>
      </w:r>
      <w:r>
        <w:rPr>
          <w:color w:val="000000" w:themeColor="text1"/>
        </w:rPr>
        <w:t xml:space="preserve"> Section III</w:t>
      </w:r>
      <w:proofErr w:type="gramEnd"/>
      <w:r>
        <w:rPr>
          <w:color w:val="000000" w:themeColor="text1"/>
        </w:rPr>
        <w:t xml:space="preserve">; </w:t>
      </w:r>
      <w:proofErr w:type="spellStart"/>
      <w:r>
        <w:rPr>
          <w:color w:val="000000" w:themeColor="text1"/>
        </w:rPr>
        <w:t>Menkel</w:t>
      </w:r>
      <w:proofErr w:type="spellEnd"/>
      <w:r>
        <w:rPr>
          <w:color w:val="000000" w:themeColor="text1"/>
        </w:rPr>
        <w:t xml:space="preserve">-Meadow, </w:t>
      </w:r>
      <w:r>
        <w:rPr>
          <w:i/>
          <w:iCs/>
          <w:color w:val="000000" w:themeColor="text1"/>
        </w:rPr>
        <w:t>supra</w:t>
      </w:r>
      <w:r>
        <w:rPr>
          <w:color w:val="000000" w:themeColor="text1"/>
        </w:rPr>
        <w:fldChar w:fldCharType="begin"/>
      </w:r>
      <w:r>
        <w:rPr>
          <w:color w:val="000000" w:themeColor="text1"/>
        </w:rPr>
        <w:instrText xml:space="preserve"> NOTEREF _Ref214049453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at 26.</w:t>
      </w:r>
    </w:p>
  </w:footnote>
  <w:footnote w:id="542">
    <w:p w14:paraId="6A827D85" w14:textId="77777777" w:rsidR="008B1831" w:rsidRPr="005B3E31" w:rsidRDefault="008B18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Martin Heidegger, The Essence of Truth</w:t>
      </w:r>
      <w:r>
        <w:rPr>
          <w:color w:val="000000" w:themeColor="text1"/>
        </w:rPr>
        <w:t xml:space="preserve"> 21–22, 43 (Sadler trans., Bloomsbury Academic 2013). </w:t>
      </w:r>
    </w:p>
  </w:footnote>
  <w:footnote w:id="543">
    <w:p w14:paraId="2B1634D4" w14:textId="77777777" w:rsidR="00156E3A" w:rsidRPr="005B3E31" w:rsidRDefault="00156E3A" w:rsidP="003D74D8">
      <w:pPr>
        <w:pStyle w:val="FootnoteText"/>
        <w:spacing w:line="480" w:lineRule="auto"/>
        <w:rPr>
          <w:color w:val="000000" w:themeColor="text1"/>
        </w:rPr>
      </w:pPr>
      <w:r>
        <w:rPr>
          <w:rStyle w:val="FootnoteReference"/>
          <w:color w:val="000000" w:themeColor="text1"/>
        </w:rPr>
        <w:footnoteRef/>
      </w:r>
      <w:r>
        <w:rPr>
          <w:color w:val="000000" w:themeColor="text1"/>
        </w:rPr>
        <w:t>Andrew B. Mamo</w:t>
      </w:r>
      <w:r>
        <w:rPr>
          <w:i/>
          <w:iCs/>
          <w:color w:val="000000" w:themeColor="text1"/>
        </w:rPr>
        <w:t>, Putting the “Alternative” Back Into ADR</w:t>
      </w:r>
      <w:r>
        <w:rPr>
          <w:color w:val="000000" w:themeColor="text1"/>
        </w:rPr>
        <w:t xml:space="preserve">, 70 </w:t>
      </w:r>
      <w:r>
        <w:rPr>
          <w:smallCaps/>
          <w:color w:val="000000" w:themeColor="text1"/>
        </w:rPr>
        <w:t xml:space="preserve">Wash. U. J. L. &amp; </w:t>
      </w:r>
      <w:proofErr w:type="spellStart"/>
      <w:r>
        <w:rPr>
          <w:smallCaps/>
          <w:color w:val="000000" w:themeColor="text1"/>
        </w:rPr>
        <w:t>Pol’y</w:t>
      </w:r>
      <w:proofErr w:type="spellEnd"/>
      <w:r>
        <w:rPr>
          <w:color w:val="000000" w:themeColor="text1"/>
        </w:rPr>
        <w:t xml:space="preserve"> 219, 221–26 (2023); Nancy A. Welsh, </w:t>
      </w:r>
      <w:r>
        <w:rPr>
          <w:i/>
          <w:iCs/>
          <w:color w:val="000000" w:themeColor="text1"/>
        </w:rPr>
        <w:t xml:space="preserve">The Thinning Vision of Self-Determination in Court-Connected Mediation: The Inevitable Price of </w:t>
      </w:r>
      <w:proofErr w:type="gramStart"/>
      <w:r>
        <w:rPr>
          <w:i/>
          <w:iCs/>
          <w:color w:val="000000" w:themeColor="text1"/>
        </w:rPr>
        <w:t>Institutionalization?</w:t>
      </w:r>
      <w:r>
        <w:rPr>
          <w:color w:val="000000" w:themeColor="text1"/>
        </w:rPr>
        <w:t>,</w:t>
      </w:r>
      <w:proofErr w:type="gramEnd"/>
      <w:r>
        <w:rPr>
          <w:color w:val="000000" w:themeColor="text1"/>
        </w:rPr>
        <w:t xml:space="preserve"> 6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1, 23–27 (2001).</w:t>
      </w:r>
    </w:p>
  </w:footnote>
  <w:footnote w:id="544">
    <w:p w14:paraId="0DF576DF" w14:textId="77777777" w:rsidR="00ED4F52" w:rsidRPr="005B3E31" w:rsidRDefault="00ED4F5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Dorothy J. Della Noce, </w:t>
      </w:r>
      <w:r>
        <w:rPr>
          <w:i/>
          <w:iCs/>
          <w:color w:val="000000" w:themeColor="text1"/>
        </w:rPr>
        <w:t>Mediation Theory and Policy: The Legacy of the Pound Conference</w:t>
      </w:r>
      <w:r>
        <w:rPr>
          <w:color w:val="000000" w:themeColor="text1"/>
        </w:rPr>
        <w:t xml:space="preserve">, 17 </w:t>
      </w:r>
      <w:r>
        <w:rPr>
          <w:smallCaps/>
          <w:color w:val="000000" w:themeColor="text1"/>
        </w:rPr>
        <w:t xml:space="preserve">Ohio St. J. Disp. </w:t>
      </w:r>
      <w:proofErr w:type="spellStart"/>
      <w:r>
        <w:rPr>
          <w:smallCaps/>
          <w:color w:val="000000" w:themeColor="text1"/>
        </w:rPr>
        <w:t>Resol</w:t>
      </w:r>
      <w:proofErr w:type="spellEnd"/>
      <w:r>
        <w:rPr>
          <w:smallCaps/>
          <w:color w:val="000000" w:themeColor="text1"/>
        </w:rPr>
        <w:t>.</w:t>
      </w:r>
      <w:r>
        <w:rPr>
          <w:color w:val="000000" w:themeColor="text1"/>
        </w:rPr>
        <w:t xml:space="preserve"> 545, 546 (2002); </w:t>
      </w:r>
      <w:r>
        <w:rPr>
          <w:smallCaps/>
          <w:color w:val="000000" w:themeColor="text1"/>
        </w:rPr>
        <w:t>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545">
    <w:p w14:paraId="1CDDF1ED" w14:textId="77777777" w:rsidR="00113490" w:rsidRPr="005B3E31" w:rsidRDefault="0011349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Jerome T. Barrett &amp; Joseph P. Barrett, A History of Alternative Dispute Resolution: The Story of a Political, Cultural, and Social Movement </w:t>
      </w:r>
      <w:r>
        <w:rPr>
          <w:color w:val="000000" w:themeColor="text1"/>
        </w:rPr>
        <w:t xml:space="preserve">xxv–xxx, 26–36, 44–49, 56–66, 72–75, 82–92, 99–104, 117–121, 134–139, 149–153, 164–170, 182–183, 213–216, 234–240 (2004); </w:t>
      </w:r>
      <w:r>
        <w:rPr>
          <w:smallCaps/>
          <w:color w:val="000000" w:themeColor="text1"/>
        </w:rPr>
        <w:t>Kermit L. Hall, Paul Finkelman &amp; James W. Ely, Jr., American Legal History: Cases and Materials</w:t>
      </w:r>
      <w:r>
        <w:rPr>
          <w:color w:val="000000" w:themeColor="text1"/>
        </w:rPr>
        <w:t xml:space="preserve"> 7–8, 14–16, 70–81, 155–158, 185–188, 204, 238–247, 270–274, 433–437, 509–512, 675 (5th ed. 2017); </w:t>
      </w:r>
      <w:r>
        <w:rPr>
          <w:smallCaps/>
          <w:color w:val="000000" w:themeColor="text1"/>
        </w:rPr>
        <w:t>Jerold S. Auerbach, Justice Without Law?</w:t>
      </w:r>
      <w:r>
        <w:rPr>
          <w:color w:val="000000" w:themeColor="text1"/>
        </w:rPr>
        <w:t xml:space="preserve"> 19–45, 58–60, 95–112, 115–124 (1983); </w:t>
      </w:r>
      <w:r>
        <w:rPr>
          <w:smallCaps/>
          <w:color w:val="000000" w:themeColor="text1"/>
        </w:rPr>
        <w:t>Frances Kellor, American Arbitration: Its History, Functions and Achievements</w:t>
      </w:r>
      <w:r>
        <w:rPr>
          <w:color w:val="000000" w:themeColor="text1"/>
        </w:rPr>
        <w:t xml:space="preserve"> 3–11, 92–97 (1948).</w:t>
      </w:r>
    </w:p>
  </w:footnote>
  <w:footnote w:id="546">
    <w:p w14:paraId="0996CB52" w14:textId="77777777"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Robert Cooter &amp; Stephen Marks, </w:t>
      </w:r>
      <w:r>
        <w:rPr>
          <w:i/>
          <w:iCs/>
          <w:color w:val="000000" w:themeColor="text1"/>
        </w:rPr>
        <w:t>Bargaining in the Shadow of the Law: A Testable Model of Strategic Behavior</w:t>
      </w:r>
      <w:r>
        <w:rPr>
          <w:color w:val="000000" w:themeColor="text1"/>
        </w:rPr>
        <w:t xml:space="preserve">, 11 </w:t>
      </w:r>
      <w:r>
        <w:rPr>
          <w:smallCaps/>
          <w:color w:val="000000" w:themeColor="text1"/>
        </w:rPr>
        <w:t>J. Legal Stud</w:t>
      </w:r>
      <w:r>
        <w:rPr>
          <w:color w:val="000000" w:themeColor="text1"/>
        </w:rPr>
        <w:t xml:space="preserve">. 225, 233–251 (1982); Carrie </w:t>
      </w:r>
      <w:proofErr w:type="spellStart"/>
      <w:r>
        <w:rPr>
          <w:color w:val="000000" w:themeColor="text1"/>
        </w:rPr>
        <w:t>Menkel</w:t>
      </w:r>
      <w:proofErr w:type="spellEnd"/>
      <w:r>
        <w:rPr>
          <w:color w:val="000000" w:themeColor="text1"/>
        </w:rPr>
        <w:t xml:space="preserve">-Meadow, </w:t>
      </w:r>
      <w:r>
        <w:rPr>
          <w:i/>
          <w:iCs/>
          <w:color w:val="000000" w:themeColor="text1"/>
        </w:rPr>
        <w:t>The Transformation of Disputes by Lawyers: What the Dispute Paradigm Does and Does Not Tell Us</w:t>
      </w:r>
      <w:r>
        <w:rPr>
          <w:color w:val="000000" w:themeColor="text1"/>
        </w:rPr>
        <w:t xml:space="preserve">, 1985 </w:t>
      </w:r>
      <w:r>
        <w:rPr>
          <w:smallCaps/>
          <w:color w:val="000000" w:themeColor="text1"/>
        </w:rPr>
        <w:t xml:space="preserve">J. Disp. </w:t>
      </w:r>
      <w:proofErr w:type="spellStart"/>
      <w:r>
        <w:rPr>
          <w:smallCaps/>
          <w:color w:val="000000" w:themeColor="text1"/>
        </w:rPr>
        <w:t>Resol</w:t>
      </w:r>
      <w:proofErr w:type="spellEnd"/>
      <w:r>
        <w:rPr>
          <w:color w:val="000000" w:themeColor="text1"/>
        </w:rPr>
        <w:t xml:space="preserve">. 25, 32; Avani Mehta Sood, </w:t>
      </w:r>
      <w:r>
        <w:rPr>
          <w:i/>
          <w:iCs/>
          <w:color w:val="000000" w:themeColor="text1"/>
        </w:rPr>
        <w:t>Motivated Cognition in Legal Judgments—An Analytic Review</w:t>
      </w:r>
      <w:r>
        <w:rPr>
          <w:color w:val="000000" w:themeColor="text1"/>
        </w:rPr>
        <w:t xml:space="preserve">, 9 </w:t>
      </w:r>
      <w:r>
        <w:rPr>
          <w:smallCaps/>
          <w:color w:val="000000" w:themeColor="text1"/>
        </w:rPr>
        <w:t>Ann. R. L. &amp; Soc. Sci</w:t>
      </w:r>
      <w:r>
        <w:rPr>
          <w:color w:val="000000" w:themeColor="text1"/>
        </w:rPr>
        <w:t xml:space="preserve">. 307, 321 (2013) (internal citations omitted); Doron </w:t>
      </w:r>
      <w:proofErr w:type="spellStart"/>
      <w:r>
        <w:rPr>
          <w:color w:val="000000" w:themeColor="text1"/>
        </w:rPr>
        <w:t>Teichman</w:t>
      </w:r>
      <w:proofErr w:type="spellEnd"/>
      <w:r>
        <w:rPr>
          <w:color w:val="000000" w:themeColor="text1"/>
        </w:rPr>
        <w:t xml:space="preserve">, </w:t>
      </w:r>
      <w:proofErr w:type="spellStart"/>
      <w:r>
        <w:rPr>
          <w:color w:val="000000" w:themeColor="text1"/>
        </w:rPr>
        <w:t>Eyal</w:t>
      </w:r>
      <w:proofErr w:type="spellEnd"/>
      <w:r>
        <w:rPr>
          <w:color w:val="000000" w:themeColor="text1"/>
        </w:rPr>
        <w:t xml:space="preserve"> Zamir &amp; Ilana </w:t>
      </w:r>
      <w:proofErr w:type="spellStart"/>
      <w:r>
        <w:rPr>
          <w:color w:val="000000" w:themeColor="text1"/>
        </w:rPr>
        <w:t>Ritov</w:t>
      </w:r>
      <w:proofErr w:type="spellEnd"/>
      <w:r>
        <w:rPr>
          <w:color w:val="000000" w:themeColor="text1"/>
        </w:rPr>
        <w:t xml:space="preserve">, </w:t>
      </w:r>
      <w:r>
        <w:rPr>
          <w:i/>
          <w:iCs/>
          <w:color w:val="000000" w:themeColor="text1"/>
        </w:rPr>
        <w:t>Biases in Legal Decision-Making: Comparing Prosecutors, Defense Attorneys, Law Students, and Laypersons,</w:t>
      </w:r>
      <w:r>
        <w:rPr>
          <w:color w:val="000000" w:themeColor="text1"/>
        </w:rPr>
        <w:t xml:space="preserve"> 20 J. </w:t>
      </w:r>
      <w:r>
        <w:rPr>
          <w:smallCaps/>
          <w:color w:val="000000" w:themeColor="text1"/>
        </w:rPr>
        <w:t>Empirical Legal Stud</w:t>
      </w:r>
      <w:r>
        <w:rPr>
          <w:color w:val="000000" w:themeColor="text1"/>
        </w:rPr>
        <w:t>. 852, 858 (2023); Jane Goodman-</w:t>
      </w:r>
      <w:proofErr w:type="spellStart"/>
      <w:r>
        <w:rPr>
          <w:color w:val="000000" w:themeColor="text1"/>
        </w:rPr>
        <w:t>Delahunty</w:t>
      </w:r>
      <w:proofErr w:type="spellEnd"/>
      <w:r>
        <w:rPr>
          <w:color w:val="000000" w:themeColor="text1"/>
        </w:rPr>
        <w:t xml:space="preserve"> et al., </w:t>
      </w:r>
      <w:r>
        <w:rPr>
          <w:i/>
          <w:iCs/>
          <w:color w:val="000000" w:themeColor="text1"/>
        </w:rPr>
        <w:t>Insightful or Wishful: Lawyers’ Ability to Predict Case Outcomes</w:t>
      </w:r>
      <w:r>
        <w:rPr>
          <w:color w:val="000000" w:themeColor="text1"/>
        </w:rPr>
        <w:t xml:space="preserve">, 16 </w:t>
      </w:r>
      <w:r>
        <w:rPr>
          <w:smallCaps/>
          <w:color w:val="000000" w:themeColor="text1"/>
        </w:rPr>
        <w:t xml:space="preserve">Psych. Pub. </w:t>
      </w:r>
      <w:proofErr w:type="spellStart"/>
      <w:r>
        <w:rPr>
          <w:smallCaps/>
          <w:color w:val="000000" w:themeColor="text1"/>
        </w:rPr>
        <w:t>Pol’y</w:t>
      </w:r>
      <w:proofErr w:type="spellEnd"/>
      <w:r>
        <w:rPr>
          <w:smallCaps/>
          <w:color w:val="000000" w:themeColor="text1"/>
        </w:rPr>
        <w:t xml:space="preserve"> &amp; L</w:t>
      </w:r>
      <w:r>
        <w:rPr>
          <w:color w:val="000000" w:themeColor="text1"/>
        </w:rPr>
        <w:t>. 133, 152 (2010).</w:t>
      </w:r>
    </w:p>
  </w:footnote>
  <w:footnote w:id="547">
    <w:p w14:paraId="7902C16F"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548">
    <w:p w14:paraId="79C3A573"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notes 540–47 and accompanying text.</w:t>
      </w:r>
    </w:p>
  </w:footnote>
  <w:footnote w:id="549">
    <w:p w14:paraId="61AF1CCB" w14:textId="57842F2C"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 III</w:t>
      </w:r>
      <w:proofErr w:type="gramEnd"/>
      <w:r>
        <w:rPr>
          <w:color w:val="000000" w:themeColor="text1"/>
        </w:rPr>
        <w:t xml:space="preserve">; </w:t>
      </w:r>
      <w:r>
        <w:rPr>
          <w:i/>
          <w:iCs/>
          <w:color w:val="000000" w:themeColor="text1"/>
        </w:rPr>
        <w:t>see supra</w:t>
      </w:r>
      <w:r>
        <w:rPr>
          <w:color w:val="000000" w:themeColor="text1"/>
        </w:rPr>
        <w:t xml:space="preserve"> Section IV.</w:t>
      </w:r>
    </w:p>
  </w:footnote>
  <w:footnote w:id="550">
    <w:p w14:paraId="15F086DE" w14:textId="77777777" w:rsidR="00573FFD" w:rsidRPr="005B3E31" w:rsidRDefault="00573FFD" w:rsidP="003D74D8">
      <w:pPr>
        <w:spacing w:after="5" w:line="480" w:lineRule="auto"/>
        <w:ind w:right="17"/>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Frank E.A. Sander, </w:t>
      </w:r>
      <w:r>
        <w:rPr>
          <w:i/>
          <w:iCs/>
          <w:color w:val="000000" w:themeColor="text1"/>
          <w:sz w:val="20"/>
          <w:szCs w:val="20"/>
        </w:rPr>
        <w:t>Varieties of Dispute Processing,</w:t>
      </w:r>
      <w:r>
        <w:rPr>
          <w:color w:val="000000" w:themeColor="text1"/>
          <w:sz w:val="20"/>
          <w:szCs w:val="20"/>
        </w:rPr>
        <w:t xml:space="preserve"> </w:t>
      </w:r>
      <w:r>
        <w:rPr>
          <w:i/>
          <w:iCs/>
          <w:color w:val="000000" w:themeColor="text1"/>
          <w:sz w:val="20"/>
          <w:szCs w:val="20"/>
        </w:rPr>
        <w:t>in</w:t>
      </w:r>
      <w:r>
        <w:rPr>
          <w:color w:val="000000" w:themeColor="text1"/>
          <w:sz w:val="20"/>
          <w:szCs w:val="20"/>
        </w:rPr>
        <w:t xml:space="preserve"> </w:t>
      </w:r>
      <w:r>
        <w:rPr>
          <w:smallCaps/>
          <w:color w:val="000000" w:themeColor="text1"/>
          <w:sz w:val="20"/>
          <w:szCs w:val="20"/>
        </w:rPr>
        <w:t>Discussions in Dispute Resolution: The Foundational Articles</w:t>
      </w:r>
      <w:r>
        <w:rPr>
          <w:color w:val="000000" w:themeColor="text1"/>
          <w:sz w:val="20"/>
          <w:szCs w:val="20"/>
        </w:rPr>
        <w:t xml:space="preserve"> 321, 324 (Art Hinshaw et al. eds., 2021); </w:t>
      </w:r>
      <w:r>
        <w:rPr>
          <w:i/>
          <w:iCs/>
          <w:color w:val="000000" w:themeColor="text1"/>
          <w:sz w:val="20"/>
          <w:szCs w:val="20"/>
        </w:rPr>
        <w:t>see also</w:t>
      </w:r>
      <w:r>
        <w:rPr>
          <w:color w:val="000000" w:themeColor="text1"/>
          <w:sz w:val="20"/>
          <w:szCs w:val="20"/>
        </w:rPr>
        <w:t xml:space="preserve"> </w:t>
      </w:r>
      <w:r>
        <w:rPr>
          <w:smallCaps/>
          <w:color w:val="000000" w:themeColor="text1"/>
          <w:sz w:val="20"/>
          <w:szCs w:val="20"/>
        </w:rPr>
        <w:t xml:space="preserve">Nader, Harmony Ideology,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_Ref217242690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538</w:t>
      </w:r>
      <w:r>
        <w:rPr>
          <w:color w:val="000000" w:themeColor="text1"/>
          <w:sz w:val="20"/>
          <w:szCs w:val="20"/>
        </w:rPr>
        <w:fldChar w:fldCharType="end"/>
      </w:r>
      <w:r>
        <w:rPr>
          <w:color w:val="000000" w:themeColor="text1"/>
          <w:sz w:val="20"/>
          <w:szCs w:val="20"/>
        </w:rPr>
        <w:t xml:space="preserve">, at 306. </w:t>
      </w:r>
    </w:p>
  </w:footnote>
  <w:footnote w:id="551">
    <w:p w14:paraId="4772B46F"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Timothy </w:t>
      </w:r>
      <w:proofErr w:type="spellStart"/>
      <w:r>
        <w:rPr>
          <w:color w:val="000000" w:themeColor="text1"/>
        </w:rPr>
        <w:t>Hedeen</w:t>
      </w:r>
      <w:proofErr w:type="spellEnd"/>
      <w:r>
        <w:rPr>
          <w:color w:val="000000" w:themeColor="text1"/>
        </w:rPr>
        <w:t xml:space="preserve">, </w:t>
      </w:r>
      <w:r>
        <w:rPr>
          <w:i/>
          <w:iCs/>
          <w:color w:val="000000" w:themeColor="text1"/>
        </w:rPr>
        <w:t>Institutionalizing Community Mediation: Can Dispute Resolution “of, by, and for the People” Long Endure?</w:t>
      </w:r>
      <w:r>
        <w:rPr>
          <w:color w:val="000000" w:themeColor="text1"/>
        </w:rPr>
        <w:t xml:space="preserve">, 108 </w:t>
      </w:r>
      <w:r>
        <w:rPr>
          <w:smallCaps/>
          <w:color w:val="000000" w:themeColor="text1"/>
        </w:rPr>
        <w:t>Penn St. L. Rev.</w:t>
      </w:r>
      <w:r>
        <w:rPr>
          <w:color w:val="000000" w:themeColor="text1"/>
        </w:rPr>
        <w:t xml:space="preserve"> 265, 274–75 (2003) (quoting </w:t>
      </w:r>
      <w:r>
        <w:rPr>
          <w:smallCaps/>
          <w:color w:val="000000" w:themeColor="text1"/>
        </w:rPr>
        <w:t>Jennifer E. Beer, Peacemaking in Your Neighborhood: Reflections on an Experiment in Community Mediation</w:t>
      </w:r>
      <w:r>
        <w:rPr>
          <w:color w:val="000000" w:themeColor="text1"/>
        </w:rPr>
        <w:t xml:space="preserve"> 206 (1986) (quoting Eileen </w:t>
      </w:r>
      <w:proofErr w:type="spellStart"/>
      <w:r>
        <w:rPr>
          <w:color w:val="000000" w:themeColor="text1"/>
        </w:rPr>
        <w:t>Steif</w:t>
      </w:r>
      <w:proofErr w:type="spellEnd"/>
      <w:r>
        <w:rPr>
          <w:color w:val="000000" w:themeColor="text1"/>
        </w:rPr>
        <w:t>)); J</w:t>
      </w:r>
      <w:proofErr w:type="spellStart"/>
      <w:r>
        <w:rPr>
          <w:color w:val="000000" w:themeColor="text1"/>
          <w:lang w:val="en"/>
        </w:rPr>
        <w:t>ohn</w:t>
      </w:r>
      <w:proofErr w:type="spellEnd"/>
      <w:r>
        <w:rPr>
          <w:color w:val="000000" w:themeColor="text1"/>
          <w:lang w:val="en"/>
        </w:rPr>
        <w:t xml:space="preserve"> </w:t>
      </w:r>
      <w:proofErr w:type="spellStart"/>
      <w:r>
        <w:rPr>
          <w:color w:val="000000" w:themeColor="text1"/>
          <w:lang w:val="en"/>
        </w:rPr>
        <w:t>Lande</w:t>
      </w:r>
      <w:proofErr w:type="spellEnd"/>
      <w:r>
        <w:rPr>
          <w:color w:val="000000" w:themeColor="text1"/>
          <w:lang w:val="en"/>
        </w:rPr>
        <w:t xml:space="preserve">, </w:t>
      </w:r>
      <w:r>
        <w:rPr>
          <w:i/>
          <w:iCs/>
          <w:color w:val="000000" w:themeColor="text1"/>
          <w:lang w:val="en"/>
        </w:rPr>
        <w:t>For Pragmatic Romanticism in Law and Dispute Resolution: Reflections on Galanter’s Remarkably Realistic Analysis of Why the Have-Nots Come Out Behind</w:t>
      </w:r>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303, 305 (Art Hinshaw et al. eds., 2021).</w:t>
      </w:r>
    </w:p>
  </w:footnote>
  <w:footnote w:id="552">
    <w:p w14:paraId="1680F299" w14:textId="77777777" w:rsidR="00F05AAA" w:rsidRPr="005B3E31" w:rsidRDefault="00F05AAA"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Jane Goodman-</w:t>
      </w:r>
      <w:proofErr w:type="spellStart"/>
      <w:r>
        <w:rPr>
          <w:color w:val="000000" w:themeColor="text1"/>
          <w:sz w:val="20"/>
          <w:szCs w:val="20"/>
        </w:rPr>
        <w:t>Delahunty</w:t>
      </w:r>
      <w:proofErr w:type="spellEnd"/>
      <w:r>
        <w:rPr>
          <w:color w:val="000000" w:themeColor="text1"/>
          <w:sz w:val="20"/>
          <w:szCs w:val="20"/>
        </w:rPr>
        <w:t xml:space="preserve"> et al., </w:t>
      </w:r>
      <w:r>
        <w:rPr>
          <w:i/>
          <w:iCs/>
          <w:color w:val="000000" w:themeColor="text1"/>
          <w:sz w:val="20"/>
          <w:szCs w:val="20"/>
        </w:rPr>
        <w:t>Insightful or Wishful: Lawyers’ Ability to Predict Case Outcomes</w:t>
      </w:r>
      <w:r>
        <w:rPr>
          <w:color w:val="000000" w:themeColor="text1"/>
          <w:sz w:val="20"/>
          <w:szCs w:val="20"/>
        </w:rPr>
        <w:t xml:space="preserve">, 16 </w:t>
      </w:r>
      <w:r>
        <w:rPr>
          <w:smallCaps/>
          <w:color w:val="000000" w:themeColor="text1"/>
          <w:sz w:val="20"/>
          <w:szCs w:val="20"/>
        </w:rPr>
        <w:t xml:space="preserve">Psych. Pub. </w:t>
      </w:r>
      <w:proofErr w:type="spellStart"/>
      <w:r>
        <w:rPr>
          <w:smallCaps/>
          <w:color w:val="000000" w:themeColor="text1"/>
          <w:sz w:val="20"/>
          <w:szCs w:val="20"/>
        </w:rPr>
        <w:t>Pol’y</w:t>
      </w:r>
      <w:proofErr w:type="spellEnd"/>
      <w:r>
        <w:rPr>
          <w:smallCaps/>
          <w:color w:val="000000" w:themeColor="text1"/>
          <w:sz w:val="20"/>
          <w:szCs w:val="20"/>
        </w:rPr>
        <w:t xml:space="preserve"> &amp; L</w:t>
      </w:r>
      <w:r>
        <w:rPr>
          <w:color w:val="000000" w:themeColor="text1"/>
          <w:sz w:val="20"/>
          <w:szCs w:val="20"/>
        </w:rPr>
        <w:t xml:space="preserve">. 133, 151–53 (2010) (suggesting that “lawyer performance can be improved by implementing case management strategies that take into account the potential overconfidence biases of the litigators”); Avani Mehta Sood, </w:t>
      </w:r>
      <w:r>
        <w:rPr>
          <w:i/>
          <w:iCs/>
          <w:color w:val="000000" w:themeColor="text1"/>
          <w:sz w:val="20"/>
          <w:szCs w:val="20"/>
        </w:rPr>
        <w:t>Motivated Cognition in Legal Judgments—An Analytic Review</w:t>
      </w:r>
      <w:r>
        <w:rPr>
          <w:color w:val="000000" w:themeColor="text1"/>
          <w:sz w:val="20"/>
          <w:szCs w:val="20"/>
        </w:rPr>
        <w:t xml:space="preserve">, 9 </w:t>
      </w:r>
      <w:r>
        <w:rPr>
          <w:smallCaps/>
          <w:color w:val="000000" w:themeColor="text1"/>
          <w:sz w:val="20"/>
          <w:szCs w:val="20"/>
        </w:rPr>
        <w:t>Ann. Rev. L. &amp; Soc. Sci</w:t>
      </w:r>
      <w:r>
        <w:rPr>
          <w:color w:val="000000" w:themeColor="text1"/>
          <w:sz w:val="20"/>
          <w:szCs w:val="20"/>
        </w:rPr>
        <w:t>. 307, 320 (2013) (observing that “[m]</w:t>
      </w:r>
      <w:proofErr w:type="spellStart"/>
      <w:r>
        <w:rPr>
          <w:color w:val="000000" w:themeColor="text1"/>
          <w:sz w:val="20"/>
          <w:szCs w:val="20"/>
        </w:rPr>
        <w:t>otivated</w:t>
      </w:r>
      <w:proofErr w:type="spellEnd"/>
      <w:r>
        <w:rPr>
          <w:color w:val="000000" w:themeColor="text1"/>
          <w:sz w:val="20"/>
          <w:szCs w:val="20"/>
        </w:rPr>
        <w:t xml:space="preserve"> cognition could also be addressed by modifications to the legal system itself, such as through structural changes to the processes by which decisions are made or substantive revisions to legal doctrines that are particularly vulnerable to the effect”). </w:t>
      </w:r>
    </w:p>
  </w:footnote>
  <w:footnote w:id="553">
    <w:p w14:paraId="6BE79D1D" w14:textId="77777777" w:rsidR="00A86016" w:rsidRPr="005B3E31" w:rsidRDefault="00A86016" w:rsidP="003D74D8">
      <w:pPr>
        <w:pStyle w:val="FootnoteText"/>
        <w:spacing w:line="480" w:lineRule="auto"/>
      </w:pPr>
      <w:r>
        <w:rPr>
          <w:rStyle w:val="FootnoteReference"/>
        </w:rPr>
        <w:footnoteRef/>
      </w:r>
      <w:r>
        <w:t xml:space="preserve"> </w:t>
      </w:r>
      <w:r>
        <w:rPr>
          <w:smallCaps/>
        </w:rPr>
        <w:t>James A. Brundage, The Medieval Origins of the Legal Profession: Canonists, Civilians, Courts and Clients</w:t>
      </w:r>
      <w:r>
        <w:t xml:space="preserve"> 182–83 (2008).</w:t>
      </w:r>
    </w:p>
  </w:footnote>
  <w:footnote w:id="554">
    <w:p w14:paraId="2F8350F4" w14:textId="77777777" w:rsidR="00CC2DF6" w:rsidRPr="005B3E31" w:rsidRDefault="00CC2DF6" w:rsidP="003D74D8">
      <w:pPr>
        <w:pStyle w:val="FootnoteText"/>
        <w:spacing w:line="480" w:lineRule="auto"/>
      </w:pPr>
      <w:r>
        <w:rPr>
          <w:rStyle w:val="FootnoteReference"/>
        </w:rPr>
        <w:footnoteRef/>
      </w:r>
      <w:r>
        <w:rPr>
          <w:smallCaps/>
        </w:rPr>
        <w:t xml:space="preserve"> </w:t>
      </w:r>
      <w:r>
        <w:t xml:space="preserve"> Keith A. Findley, </w:t>
      </w:r>
      <w:r>
        <w:rPr>
          <w:i/>
          <w:iCs/>
        </w:rPr>
        <w:t>Tunnel Vision</w:t>
      </w:r>
      <w:r>
        <w:t xml:space="preserve">, </w:t>
      </w:r>
      <w:r>
        <w:rPr>
          <w:i/>
          <w:iCs/>
        </w:rPr>
        <w:t>in</w:t>
      </w:r>
      <w:r>
        <w:rPr>
          <w:smallCaps/>
        </w:rPr>
        <w:t xml:space="preserve"> Conviction of the Innocent: Lessons from Psychological Research</w:t>
      </w:r>
      <w:r>
        <w:t xml:space="preserve"> 1, 23 (B. Cutler ed., 2012)</w:t>
      </w:r>
    </w:p>
  </w:footnote>
  <w:footnote w:id="555">
    <w:p w14:paraId="5BC57E60" w14:textId="77777777" w:rsidR="00B77726" w:rsidRPr="005B3E31" w:rsidRDefault="00B77726" w:rsidP="003D74D8">
      <w:pPr>
        <w:pStyle w:val="FootnoteText"/>
        <w:spacing w:line="480" w:lineRule="auto"/>
      </w:pPr>
      <w:r>
        <w:rPr>
          <w:rStyle w:val="FootnoteReference"/>
        </w:rPr>
        <w:footnoteRef/>
      </w:r>
      <w:r>
        <w:t xml:space="preserve"> 2 </w:t>
      </w:r>
      <w:r>
        <w:rPr>
          <w:smallCaps/>
        </w:rPr>
        <w:t>David Hoffman, A Course of Legal Study, Respectfully Addressed to the Students of Law in the United States</w:t>
      </w:r>
      <w:r>
        <w:t xml:space="preserve"> 745 (2d ed. 1836).</w:t>
      </w:r>
    </w:p>
  </w:footnote>
  <w:footnote w:id="556">
    <w:p w14:paraId="428E0BA1" w14:textId="77777777" w:rsidR="00A17D66" w:rsidRPr="005B3E31" w:rsidRDefault="00A17D6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237 (2011) (quoting an attorney interviewed for the study).</w:t>
      </w:r>
    </w:p>
  </w:footnote>
  <w:footnote w:id="557">
    <w:p w14:paraId="5E6108C3" w14:textId="77777777" w:rsidR="00D879FE" w:rsidRDefault="00000000">
      <w:pPr>
        <w:pStyle w:val="FootnoteText"/>
        <w:spacing w:line="480" w:lineRule="auto"/>
      </w:pPr>
      <w:r>
        <w:rPr>
          <w:rStyle w:val="FootnoteReference"/>
        </w:rPr>
        <w:footnoteRef/>
      </w:r>
      <w:r>
        <w:t xml:space="preserve"> Lon L. Fuller &amp; John D. Randall, </w:t>
      </w:r>
      <w:r>
        <w:rPr>
          <w:i/>
        </w:rPr>
        <w:t>Professional Responsibility: Report of the Joint Conference</w:t>
      </w:r>
      <w:r>
        <w:t xml:space="preserve">, 44 </w:t>
      </w:r>
      <w:r>
        <w:rPr>
          <w:smallCaps/>
        </w:rPr>
        <w:t>A.B.A. J.</w:t>
      </w:r>
      <w:r>
        <w:t xml:space="preserve"> 1159 (1958), </w:t>
      </w:r>
      <w:r>
        <w:rPr>
          <w:i/>
        </w:rPr>
        <w:t>reprinted in</w:t>
      </w:r>
      <w:r>
        <w:t xml:space="preserve"> Lon L. Fuller, </w:t>
      </w:r>
      <w:r>
        <w:rPr>
          <w:i/>
        </w:rPr>
        <w:t>The Forms and Limits of Adjudication</w:t>
      </w:r>
      <w:r>
        <w:t xml:space="preserve">, 92 </w:t>
      </w:r>
      <w:r>
        <w:rPr>
          <w:smallCaps/>
        </w:rPr>
        <w:t>Harv. L. Rev.</w:t>
      </w:r>
      <w:r>
        <w:t xml:space="preserve"> 353, 383 (1978).</w:t>
      </w:r>
    </w:p>
  </w:footnote>
  <w:footnote w:id="558">
    <w:p w14:paraId="4B9A028C" w14:textId="77777777" w:rsidR="00D879FE" w:rsidRDefault="00000000">
      <w:pPr>
        <w:pStyle w:val="FootnoteText"/>
        <w:spacing w:line="480" w:lineRule="auto"/>
      </w:pPr>
      <w:r>
        <w:rPr>
          <w:rStyle w:val="FootnoteReference"/>
        </w:rPr>
        <w:footnoteRef/>
      </w:r>
      <w:r>
        <w:t xml:space="preserve"> Fuller &amp; Randall, </w:t>
      </w:r>
      <w:r>
        <w:rPr>
          <w:i/>
        </w:rPr>
        <w:t>supra</w:t>
      </w:r>
      <w:r>
        <w:t xml:space="preserve">, </w:t>
      </w:r>
      <w:r>
        <w:rPr>
          <w:i/>
        </w:rPr>
        <w:t>reprinted in</w:t>
      </w:r>
      <w:r>
        <w:t xml:space="preserve"> Fuller, </w:t>
      </w:r>
      <w:r>
        <w:rPr>
          <w:i/>
        </w:rPr>
        <w:t>supra</w:t>
      </w:r>
      <w:r>
        <w:t>, at 384.</w:t>
      </w:r>
    </w:p>
  </w:footnote>
  <w:footnote w:id="559">
    <w:p w14:paraId="6E60894D" w14:textId="77777777" w:rsidR="00D879FE" w:rsidRDefault="00000000">
      <w:pPr>
        <w:pStyle w:val="FootnoteText"/>
        <w:spacing w:line="480" w:lineRule="auto"/>
      </w:pPr>
      <w:r>
        <w:rPr>
          <w:rStyle w:val="FootnoteReference"/>
        </w:rPr>
        <w:footnoteRef/>
      </w:r>
      <w:r>
        <w:t xml:space="preserve"> John Dewey, </w:t>
      </w:r>
      <w:r>
        <w:rPr>
          <w:i/>
        </w:rPr>
        <w:t>Logical Method and Law</w:t>
      </w:r>
      <w:r>
        <w:t xml:space="preserve">, 10 </w:t>
      </w:r>
      <w:r>
        <w:rPr>
          <w:smallCaps/>
        </w:rPr>
        <w:t>Cornell L.Q.</w:t>
      </w:r>
      <w:r>
        <w:t xml:space="preserve"> 17, 23 (1924).</w:t>
      </w:r>
    </w:p>
  </w:footnote>
  <w:footnote w:id="560">
    <w:p w14:paraId="08804404" w14:textId="77777777" w:rsidR="00094246" w:rsidRPr="005B3E31" w:rsidRDefault="00094246" w:rsidP="003D74D8">
      <w:pPr>
        <w:pStyle w:val="FootnoteText"/>
        <w:spacing w:line="480" w:lineRule="auto"/>
      </w:pPr>
      <w:r>
        <w:rPr>
          <w:rStyle w:val="FootnoteReference"/>
        </w:rPr>
        <w:footnoteRef/>
      </w:r>
      <w:r>
        <w:t xml:space="preserve"> Dan Simon &amp; </w:t>
      </w:r>
      <w:proofErr w:type="spellStart"/>
      <w:r>
        <w:t>Minwoo</w:t>
      </w:r>
      <w:proofErr w:type="spellEnd"/>
      <w:r>
        <w:t xml:space="preserve"> Ahn, </w:t>
      </w:r>
      <w:r>
        <w:rPr>
          <w:i/>
          <w:iCs/>
        </w:rPr>
        <w:t>The Adversarial Mindset</w:t>
      </w:r>
      <w:r>
        <w:rPr>
          <w:smallCaps/>
        </w:rPr>
        <w:t xml:space="preserve">, 26 Psychol. Pub. </w:t>
      </w:r>
      <w:proofErr w:type="spellStart"/>
      <w:r>
        <w:rPr>
          <w:smallCaps/>
        </w:rPr>
        <w:t>Pol’y</w:t>
      </w:r>
      <w:proofErr w:type="spellEnd"/>
      <w:r>
        <w:rPr>
          <w:smallCaps/>
        </w:rPr>
        <w:t xml:space="preserve"> &amp; L. 63 (2020).</w:t>
      </w:r>
    </w:p>
  </w:footnote>
  <w:footnote w:id="561">
    <w:p w14:paraId="3BBDF64A" w14:textId="77777777" w:rsidR="00B663C8" w:rsidRPr="005B3E31" w:rsidRDefault="00B663C8" w:rsidP="003D74D8">
      <w:pPr>
        <w:pStyle w:val="FootnoteText"/>
        <w:spacing w:line="480" w:lineRule="auto"/>
      </w:pPr>
      <w:r>
        <w:rPr>
          <w:rStyle w:val="FootnoteReference"/>
        </w:rPr>
        <w:footnoteRef/>
      </w:r>
      <w:r>
        <w:rPr>
          <w:color w:val="000000" w:themeColor="text1"/>
        </w:rPr>
        <w:t xml:space="preserve">Holger </w:t>
      </w:r>
      <w:proofErr w:type="spellStart"/>
      <w:r>
        <w:rPr>
          <w:color w:val="000000" w:themeColor="text1"/>
        </w:rPr>
        <w:t>Spamann</w:t>
      </w:r>
      <w:proofErr w:type="spellEnd"/>
      <w:r>
        <w:rPr>
          <w:color w:val="000000" w:themeColor="text1"/>
        </w:rPr>
        <w:t xml:space="preserve">,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467–68 (2020); </w:t>
      </w:r>
      <w:proofErr w:type="spellStart"/>
      <w:r>
        <w:rPr>
          <w:color w:val="000000" w:themeColor="text1"/>
        </w:rPr>
        <w:t>Alafair</w:t>
      </w:r>
      <w:proofErr w:type="spellEnd"/>
      <w:r>
        <w:rPr>
          <w:color w:val="000000" w:themeColor="text1"/>
        </w:rPr>
        <w:t xml:space="preserve"> S. Burke</w:t>
      </w:r>
      <w:r>
        <w:rPr>
          <w:i/>
          <w:iCs/>
          <w:color w:val="000000" w:themeColor="text1"/>
        </w:rPr>
        <w:t xml:space="preserve">, Prosecutorial Passion, Cognitive Bias, and Plea Bargaining 196 </w:t>
      </w:r>
      <w:r>
        <w:rPr>
          <w:color w:val="000000" w:themeColor="text1"/>
        </w:rPr>
        <w:t>(Selective information processing is the tendency for people to recall stored information and interpret new information to conform to their pre-existing views. As a result of selective information processing, people readily accept evidence that is consistent with their current beliefs and find reasons to distrust or dismiss contradictory evidence.”).</w:t>
      </w:r>
    </w:p>
  </w:footnote>
  <w:footnote w:id="562">
    <w:p w14:paraId="019E4E80" w14:textId="77777777" w:rsidR="000B08B7" w:rsidRPr="005B3E31" w:rsidRDefault="000B08B7" w:rsidP="003D74D8">
      <w:pPr>
        <w:pStyle w:val="FootnoteText"/>
        <w:spacing w:line="480" w:lineRule="auto"/>
      </w:pPr>
      <w:r>
        <w:rPr>
          <w:rStyle w:val="FootnoteReference"/>
        </w:rPr>
        <w:footnoteRef/>
      </w:r>
      <w:r>
        <w:t xml:space="preserve"> Mihael A. </w:t>
      </w:r>
      <w:proofErr w:type="spellStart"/>
      <w:r>
        <w:t>Jeklic</w:t>
      </w:r>
      <w:proofErr w:type="spellEnd"/>
      <w:r>
        <w:t xml:space="preserve">, </w:t>
      </w:r>
      <w:r>
        <w:rPr>
          <w:i/>
          <w:iCs/>
        </w:rPr>
        <w:t>Can You Trust Your Lawyer’s Call? Legal Advisers Exhibit Myside Bias Resistant to Debiasing Interventions</w:t>
      </w:r>
      <w:r>
        <w:t>, 20 J</w:t>
      </w:r>
      <w:r>
        <w:rPr>
          <w:smallCaps/>
        </w:rPr>
        <w:t>. Empirical Legal Stud</w:t>
      </w:r>
      <w:r>
        <w:t xml:space="preserve">. 409, 414 (2023); </w:t>
      </w:r>
      <w:r>
        <w:rPr>
          <w:smallCaps/>
        </w:rPr>
        <w:t xml:space="preserve">Randall Kiser, How Leading Lawyers Think: Expert Insights into Judgment and Advocacy </w:t>
      </w:r>
      <w:r>
        <w:t xml:space="preserve">244 (2011) (“As an advocate you want to believe in the </w:t>
      </w:r>
      <w:proofErr w:type="gramStart"/>
      <w:r>
        <w:t>client</w:t>
      </w:r>
      <w:proofErr w:type="gramEnd"/>
      <w:r>
        <w:t xml:space="preserve"> and you want to advance their agenda. That’s what we’re trained to do in law school, and that’s what we do.”).</w:t>
      </w:r>
    </w:p>
  </w:footnote>
  <w:footnote w:id="563">
    <w:p w14:paraId="31364145" w14:textId="77777777" w:rsidR="000B08B7" w:rsidRPr="005B3E31" w:rsidRDefault="000B08B7" w:rsidP="003D74D8">
      <w:pPr>
        <w:pStyle w:val="FootnoteText"/>
        <w:spacing w:line="480" w:lineRule="auto"/>
      </w:pPr>
      <w:r>
        <w:rPr>
          <w:rStyle w:val="FootnoteReference"/>
        </w:rPr>
        <w:footnoteRef/>
      </w:r>
      <w:r>
        <w:t xml:space="preserve"> Douglas N. Frenkel &amp; James H. Stark, </w:t>
      </w:r>
      <w:r>
        <w:rPr>
          <w:i/>
          <w:iCs/>
        </w:rPr>
        <w:t>Improving Lawyers’ Judgment: Is Mediation Training De-</w:t>
      </w:r>
      <w:proofErr w:type="gramStart"/>
      <w:r>
        <w:rPr>
          <w:i/>
          <w:iCs/>
        </w:rPr>
        <w:t>Biasing?</w:t>
      </w:r>
      <w:r>
        <w:t>,</w:t>
      </w:r>
      <w:proofErr w:type="gramEnd"/>
      <w:r>
        <w:t xml:space="preserve"> 21 </w:t>
      </w:r>
      <w:r>
        <w:rPr>
          <w:smallCaps/>
        </w:rPr>
        <w:t xml:space="preserve">Harv. </w:t>
      </w:r>
      <w:proofErr w:type="spellStart"/>
      <w:r>
        <w:rPr>
          <w:smallCaps/>
        </w:rPr>
        <w:t>Negot</w:t>
      </w:r>
      <w:proofErr w:type="spellEnd"/>
      <w:r>
        <w:rPr>
          <w:smallCaps/>
        </w:rPr>
        <w:t>. L. Rev</w:t>
      </w:r>
      <w:r>
        <w:t xml:space="preserve">. 1, 37–45 (2016); Kiser, </w:t>
      </w:r>
      <w:r>
        <w:rPr>
          <w:i/>
          <w:iCs/>
        </w:rPr>
        <w:t>supra</w:t>
      </w:r>
      <w:r>
        <w:t xml:space="preserve"> note 68, at 232 (quoting study attorneys) (“Certain people buy into their client’s mantra and lose their objectivity”; “Seventy to 75% of lawyers really do not know how to evaluate a case”; “75% of attorneys exaggerate their cases”).</w:t>
      </w:r>
    </w:p>
  </w:footnote>
  <w:footnote w:id="564">
    <w:p w14:paraId="0972B376" w14:textId="77777777" w:rsidR="000B08B7" w:rsidRPr="005B3E31" w:rsidRDefault="000B08B7" w:rsidP="003D74D8">
      <w:pPr>
        <w:pStyle w:val="FootnoteText"/>
        <w:spacing w:line="480" w:lineRule="auto"/>
      </w:pPr>
      <w:r>
        <w:rPr>
          <w:rStyle w:val="FootnoteReference"/>
        </w:rPr>
        <w:footnoteRef/>
      </w:r>
      <w:r>
        <w:t xml:space="preserve"> Dan Simon &amp; </w:t>
      </w:r>
      <w:proofErr w:type="spellStart"/>
      <w:r>
        <w:t>Minwoo</w:t>
      </w:r>
      <w:proofErr w:type="spellEnd"/>
      <w:r>
        <w:t xml:space="preserve"> Ahn, </w:t>
      </w:r>
      <w:r>
        <w:rPr>
          <w:i/>
          <w:iCs/>
        </w:rPr>
        <w:t>The Adversarial Mindset</w:t>
      </w:r>
      <w:r>
        <w:rPr>
          <w:smallCaps/>
        </w:rPr>
        <w:t xml:space="preserve">, 26 Psychol. Pub. </w:t>
      </w:r>
      <w:proofErr w:type="spellStart"/>
      <w:r>
        <w:rPr>
          <w:smallCaps/>
        </w:rPr>
        <w:t>Pol’y</w:t>
      </w:r>
      <w:proofErr w:type="spellEnd"/>
      <w:r>
        <w:rPr>
          <w:smallCaps/>
        </w:rPr>
        <w:t xml:space="preserve"> &amp; L. 70 (2020).</w:t>
      </w:r>
    </w:p>
  </w:footnote>
  <w:footnote w:id="565">
    <w:p w14:paraId="105B681C" w14:textId="77777777" w:rsidR="00B663C8" w:rsidRPr="005B3E31" w:rsidRDefault="00B663C8" w:rsidP="003D74D8">
      <w:pPr>
        <w:pStyle w:val="FootnoteText"/>
        <w:spacing w:line="480" w:lineRule="auto"/>
      </w:pPr>
      <w:r>
        <w:rPr>
          <w:rStyle w:val="FootnoteReference"/>
        </w:rPr>
        <w:footnoteRef/>
      </w:r>
      <w:r>
        <w:t xml:space="preserve"> </w:t>
      </w:r>
      <w:r>
        <w:rPr>
          <w:color w:val="000000" w:themeColor="text1"/>
        </w:rPr>
        <w:t xml:space="preserve">Holger </w:t>
      </w:r>
      <w:proofErr w:type="spellStart"/>
      <w:r>
        <w:rPr>
          <w:color w:val="000000" w:themeColor="text1"/>
        </w:rPr>
        <w:t>Spamann</w:t>
      </w:r>
      <w:proofErr w:type="spellEnd"/>
      <w:r>
        <w:rPr>
          <w:color w:val="000000" w:themeColor="text1"/>
        </w:rPr>
        <w:t xml:space="preserve">,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482 (2020); Doron </w:t>
      </w:r>
      <w:proofErr w:type="spellStart"/>
      <w:r>
        <w:rPr>
          <w:color w:val="000000" w:themeColor="text1"/>
        </w:rPr>
        <w:t>Teichman</w:t>
      </w:r>
      <w:proofErr w:type="spellEnd"/>
      <w:r>
        <w:rPr>
          <w:color w:val="000000" w:themeColor="text1"/>
        </w:rPr>
        <w:t xml:space="preserve">, </w:t>
      </w:r>
      <w:proofErr w:type="spellStart"/>
      <w:r>
        <w:rPr>
          <w:color w:val="000000" w:themeColor="text1"/>
        </w:rPr>
        <w:t>Eyal</w:t>
      </w:r>
      <w:proofErr w:type="spellEnd"/>
      <w:r>
        <w:rPr>
          <w:color w:val="000000" w:themeColor="text1"/>
        </w:rPr>
        <w:t xml:space="preserve"> Zamir &amp; Ilana </w:t>
      </w:r>
      <w:proofErr w:type="spellStart"/>
      <w:r>
        <w:rPr>
          <w:color w:val="000000" w:themeColor="text1"/>
        </w:rPr>
        <w:t>Ritov</w:t>
      </w:r>
      <w:proofErr w:type="spellEnd"/>
      <w:r>
        <w:rPr>
          <w:color w:val="000000" w:themeColor="text1"/>
        </w:rPr>
        <w:t xml:space="preserve">, </w:t>
      </w:r>
      <w:r>
        <w:rPr>
          <w:i/>
          <w:iCs/>
          <w:color w:val="000000" w:themeColor="text1"/>
        </w:rPr>
        <w:t xml:space="preserve">Biases in Legal Decision-Making: Comparing Prosecutors, Defense Attorneys, Law Students, and Laypersons, </w:t>
      </w:r>
      <w:r>
        <w:rPr>
          <w:smallCaps/>
          <w:color w:val="000000" w:themeColor="text1"/>
        </w:rPr>
        <w:t>J. Empirical Legal Stud</w:t>
      </w:r>
      <w:r>
        <w:rPr>
          <w:i/>
          <w:iCs/>
          <w:color w:val="000000" w:themeColor="text1"/>
        </w:rPr>
        <w:t xml:space="preserve">. </w:t>
      </w:r>
      <w:r>
        <w:rPr>
          <w:color w:val="000000" w:themeColor="text1"/>
        </w:rPr>
        <w:t>858 (2023).</w:t>
      </w:r>
    </w:p>
  </w:footnote>
  <w:footnote w:id="566">
    <w:p w14:paraId="1DB5B8C7" w14:textId="77777777" w:rsidR="00CC2DF6" w:rsidRPr="005B3E31" w:rsidRDefault="00CC2DF6" w:rsidP="003D74D8">
      <w:pPr>
        <w:pStyle w:val="FootnoteText"/>
        <w:spacing w:line="480" w:lineRule="auto"/>
      </w:pPr>
      <w:r>
        <w:rPr>
          <w:rStyle w:val="FootnoteReference"/>
        </w:rPr>
        <w:footnoteRef/>
      </w:r>
      <w:r>
        <w:t xml:space="preserve"> </w:t>
      </w:r>
      <w:r>
        <w:rPr>
          <w:smallCaps/>
        </w:rPr>
        <w:t>Randall Kiser, How Leading Lawyers Think: Expert Insights Into Judgement and Advocacy</w:t>
      </w:r>
      <w:r>
        <w:t xml:space="preserve"> 203 (2011) (quoting Marc Galanter, The Regulatory Function of the Civil Jury, in Verdict: Assessing the Civil Jury System 61 (Robert E. </w:t>
      </w:r>
      <w:proofErr w:type="spellStart"/>
      <w:r>
        <w:t>Litan</w:t>
      </w:r>
      <w:proofErr w:type="spellEnd"/>
      <w:r>
        <w:t xml:space="preserve"> ed., 1993)).</w:t>
      </w:r>
    </w:p>
  </w:footnote>
  <w:footnote w:id="567">
    <w:p w14:paraId="5F7E67C5" w14:textId="77777777" w:rsidR="00A17D66" w:rsidRPr="005B3E31" w:rsidRDefault="00A17D66" w:rsidP="003D74D8">
      <w:pPr>
        <w:pStyle w:val="FootnoteText"/>
        <w:spacing w:line="480" w:lineRule="auto"/>
      </w:pPr>
      <w:r>
        <w:rPr>
          <w:rStyle w:val="FootnoteReference"/>
        </w:rPr>
        <w:footnoteRef/>
      </w:r>
      <w:r>
        <w:t xml:space="preserve"> </w:t>
      </w:r>
      <w:r>
        <w:rPr>
          <w:smallCaps/>
        </w:rPr>
        <w:t>Kiser</w:t>
      </w:r>
      <w:r>
        <w:t xml:space="preserve">, </w:t>
      </w:r>
      <w:r>
        <w:rPr>
          <w:i/>
          <w:iCs/>
        </w:rPr>
        <w:t>supra</w:t>
      </w:r>
      <w:r>
        <w:t xml:space="preserve"> note 557, at 258.</w:t>
      </w:r>
    </w:p>
  </w:footnote>
  <w:footnote w:id="568">
    <w:p w14:paraId="0F5FDEFA" w14:textId="77777777" w:rsidR="00CC2DF6" w:rsidRPr="005B3E31" w:rsidRDefault="00CC2DF6" w:rsidP="003D74D8">
      <w:pPr>
        <w:pStyle w:val="FootnoteText"/>
        <w:spacing w:line="480" w:lineRule="auto"/>
      </w:pPr>
      <w:r>
        <w:rPr>
          <w:rStyle w:val="FootnoteReference"/>
        </w:rPr>
        <w:footnoteRef/>
      </w:r>
      <w:r>
        <w:t xml:space="preserve"> Mihael A. </w:t>
      </w:r>
      <w:proofErr w:type="spellStart"/>
      <w:r>
        <w:t>Jeklic</w:t>
      </w:r>
      <w:proofErr w:type="spellEnd"/>
      <w:r>
        <w:t xml:space="preserve">, </w:t>
      </w:r>
      <w:r>
        <w:rPr>
          <w:i/>
          <w:iCs/>
        </w:rPr>
        <w:t>Can You Trust Your Lawyer’s Call? Legal Advisers Exhibit</w:t>
      </w:r>
      <w:r>
        <w:t xml:space="preserve"> </w:t>
      </w:r>
      <w:r>
        <w:rPr>
          <w:i/>
          <w:iCs/>
        </w:rPr>
        <w:t>Myside Bias Resistant to Debiasing Interventions</w:t>
      </w:r>
      <w:r>
        <w:t>, 20 J</w:t>
      </w:r>
      <w:r>
        <w:rPr>
          <w:smallCaps/>
        </w:rPr>
        <w:t>. Empirical Legal Stud</w:t>
      </w:r>
      <w:r>
        <w:t>. 409, 425 (2023) (drawing on a study of law students and prior experimental research).</w:t>
      </w:r>
    </w:p>
  </w:footnote>
  <w:footnote w:id="569">
    <w:p w14:paraId="6BF9D5FD" w14:textId="77777777" w:rsidR="0032068A" w:rsidRPr="005B3E31" w:rsidRDefault="00000000" w:rsidP="003D74D8">
      <w:pPr>
        <w:pStyle w:val="FootnoteText"/>
        <w:spacing w:line="480" w:lineRule="auto"/>
      </w:pPr>
      <w:r>
        <w:rPr>
          <w:rStyle w:val="FootnoteReference"/>
        </w:rPr>
        <w:footnoteRef/>
      </w:r>
      <w:r>
        <w:t xml:space="preserve"> </w:t>
      </w:r>
      <w:proofErr w:type="spellStart"/>
      <w:r>
        <w:t>Jeklic</w:t>
      </w:r>
      <w:proofErr w:type="spellEnd"/>
      <w:r>
        <w:t xml:space="preserve">, supra note 560, at 425; see also Lilliana Mason, </w:t>
      </w:r>
      <w:r>
        <w:rPr>
          <w:i/>
          <w:iCs/>
        </w:rPr>
        <w:t>Ideologues Without Issues: The Polarizing Consequences of Ideological Identities</w:t>
      </w:r>
      <w:r>
        <w:t xml:space="preserve">, 82 </w:t>
      </w:r>
      <w:r>
        <w:rPr>
          <w:smallCaps/>
        </w:rPr>
        <w:t>Pub. Opinion Q.</w:t>
      </w:r>
      <w:r>
        <w:t xml:space="preserve"> 866 (2018); Keith E. Stanovich &amp; Richard F. West, </w:t>
      </w:r>
      <w:r>
        <w:rPr>
          <w:i/>
          <w:iCs/>
        </w:rPr>
        <w:t>On the Failure of Cognitive Ability to Predict Myside and One-Sided Thinking Biases</w:t>
      </w:r>
      <w:r>
        <w:t xml:space="preserve">, 14 </w:t>
      </w:r>
      <w:r>
        <w:rPr>
          <w:smallCaps/>
        </w:rPr>
        <w:t>Thinking &amp; Reasoning</w:t>
      </w:r>
      <w:r>
        <w:t xml:space="preserve"> 129 (2008); Norman W. Spaulding, </w:t>
      </w:r>
      <w:r>
        <w:rPr>
          <w:i/>
          <w:iCs/>
        </w:rPr>
        <w:t>Reinterpreting Professional Identity</w:t>
      </w:r>
      <w:r>
        <w:t xml:space="preserve">, 74 </w:t>
      </w:r>
      <w:r>
        <w:rPr>
          <w:smallCaps/>
        </w:rPr>
        <w:t>U. Colo. L. Rev.</w:t>
      </w:r>
      <w:r>
        <w:t xml:space="preserve"> 1 (2003); Megan K. Smith, Robert </w:t>
      </w:r>
      <w:proofErr w:type="spellStart"/>
      <w:r>
        <w:t>Trivers</w:t>
      </w:r>
      <w:proofErr w:type="spellEnd"/>
      <w:r>
        <w:t xml:space="preserve"> &amp; William von Hippel, </w:t>
      </w:r>
      <w:r>
        <w:rPr>
          <w:i/>
          <w:iCs/>
        </w:rPr>
        <w:t>Self-Deception Facilitates Interpersonal Persuasion</w:t>
      </w:r>
      <w:r>
        <w:t xml:space="preserve">, 63 </w:t>
      </w:r>
      <w:r>
        <w:rPr>
          <w:smallCaps/>
        </w:rPr>
        <w:t>J. Econ. Psychol.</w:t>
      </w:r>
      <w:r>
        <w:t xml:space="preserve"> 93 (2017) (demonstrating that people who are financially motivated to persuade others selectively curtail their information search once they encounter congenial “early returns,” thereby convincing themselves of the veracity of their goal); Alice </w:t>
      </w:r>
      <w:proofErr w:type="spellStart"/>
      <w:r>
        <w:t>Soldà</w:t>
      </w:r>
      <w:proofErr w:type="spellEnd"/>
      <w:r>
        <w:t xml:space="preserve">, </w:t>
      </w:r>
      <w:proofErr w:type="spellStart"/>
      <w:r>
        <w:t>Changxia</w:t>
      </w:r>
      <w:proofErr w:type="spellEnd"/>
      <w:r>
        <w:t xml:space="preserve"> Ke, Lionel Page &amp; William von Hippel, </w:t>
      </w:r>
      <w:r>
        <w:rPr>
          <w:i/>
          <w:iCs/>
        </w:rPr>
        <w:t>Strategically Delusional</w:t>
      </w:r>
      <w:r>
        <w:t xml:space="preserve"> (GATE Working Paper No. 1908, 2019)); Jade Butterworth, Robert </w:t>
      </w:r>
      <w:proofErr w:type="spellStart"/>
      <w:r>
        <w:t>Trivers</w:t>
      </w:r>
      <w:proofErr w:type="spellEnd"/>
      <w:r>
        <w:t xml:space="preserve"> &amp; William von Hippel, </w:t>
      </w:r>
      <w:r>
        <w:rPr>
          <w:i/>
          <w:iCs/>
        </w:rPr>
        <w:t>The Better to Fool You With: Deception and Self-Deception</w:t>
      </w:r>
      <w:r>
        <w:t xml:space="preserve">, 47 </w:t>
      </w:r>
      <w:r>
        <w:rPr>
          <w:smallCaps/>
        </w:rPr>
        <w:t>Current Opinion in Psychol.</w:t>
      </w:r>
      <w:r>
        <w:t xml:space="preserve"> 101385 (2022) (reviewing literature suggesting humans evolved to Believe untruths when they align with persuasive goals because Believing one’s own message eliminates “idiosyncratic deceptive cues” that would otherwise help others detect the deception).</w:t>
      </w:r>
    </w:p>
  </w:footnote>
  <w:footnote w:id="570">
    <w:p w14:paraId="6A933B73" w14:textId="77777777" w:rsidR="0032068A" w:rsidRPr="005B3E31" w:rsidRDefault="00000000"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571">
    <w:p w14:paraId="2D5CA43D" w14:textId="77777777" w:rsidR="0032068A" w:rsidRPr="005B3E31" w:rsidRDefault="00000000" w:rsidP="003D74D8">
      <w:pPr>
        <w:pStyle w:val="FootnoteText"/>
        <w:spacing w:line="480" w:lineRule="auto"/>
      </w:pPr>
      <w:r>
        <w:rPr>
          <w:rStyle w:val="FootnoteReference"/>
        </w:rPr>
        <w:footnoteRef/>
      </w:r>
      <w:r>
        <w:t xml:space="preserve"> </w:t>
      </w:r>
      <w:r>
        <w:rPr>
          <w:smallCaps/>
        </w:rPr>
        <w:t>Thomas Gilovich, How We Know What Isn’t So: The Fallibility of Human Reason in Everyday Life 50 (1991).</w:t>
      </w:r>
      <w:r>
        <w:t xml:space="preserve"> </w:t>
      </w:r>
    </w:p>
  </w:footnote>
  <w:footnote w:id="572">
    <w:p w14:paraId="56157C7E" w14:textId="77777777" w:rsidR="00430895" w:rsidRPr="005B3E31" w:rsidRDefault="00430895" w:rsidP="003D74D8">
      <w:pPr>
        <w:pStyle w:val="FootnoteText"/>
        <w:spacing w:line="480" w:lineRule="auto"/>
      </w:pPr>
      <w:r>
        <w:rPr>
          <w:rStyle w:val="FootnoteReference"/>
        </w:rPr>
        <w:footnoteRef/>
      </w:r>
      <w:r>
        <w:t xml:space="preserve"> </w:t>
      </w:r>
      <w:r>
        <w:rPr>
          <w:smallCaps/>
        </w:rPr>
        <w:t>Nguyen, Don't Believe Everything You Think</w:t>
      </w:r>
      <w:r>
        <w:t xml:space="preserve"> 783, 785 (2022); </w:t>
      </w:r>
      <w:r>
        <w:rPr>
          <w:smallCaps/>
        </w:rPr>
        <w:t xml:space="preserve">Carrie J. </w:t>
      </w:r>
      <w:proofErr w:type="spellStart"/>
      <w:r>
        <w:rPr>
          <w:smallCaps/>
        </w:rPr>
        <w:t>Menkel</w:t>
      </w:r>
      <w:proofErr w:type="spellEnd"/>
      <w:r>
        <w:rPr>
          <w:smallCaps/>
        </w:rPr>
        <w:t xml:space="preserve">-Meadow, Lela Porter Love &amp; Jean R. </w:t>
      </w:r>
      <w:proofErr w:type="spellStart"/>
      <w:r>
        <w:rPr>
          <w:smallCaps/>
        </w:rPr>
        <w:t>Sternlight</w:t>
      </w:r>
      <w:proofErr w:type="spellEnd"/>
      <w:r>
        <w:rPr>
          <w:smallCaps/>
        </w:rPr>
        <w:t>, Dispute Resolution: Beyond the Adversarial Model</w:t>
      </w:r>
      <w:r>
        <w:t xml:space="preserve"> 178 (2d ed. 2011) (excerpting Donald R. Philbin, Jr., The One Minute Manager Prepares for Mediation: A Multidisciplinary Approach to Negotiation Preparation, Harv. </w:t>
      </w:r>
      <w:proofErr w:type="spellStart"/>
      <w:r>
        <w:t>Negot</w:t>
      </w:r>
      <w:proofErr w:type="spellEnd"/>
      <w:r>
        <w:t>. L. Rev. 281 (1999)) (“Myopically focusing on the strengths of a case blurs our focus on less favorable  points. Focusing tightly on the merits of the case also increases the risk of undervaluing the transaction costs associated with continuing to trial.”).</w:t>
      </w:r>
    </w:p>
  </w:footnote>
  <w:footnote w:id="573">
    <w:p w14:paraId="1155E0CB" w14:textId="77777777"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106–07. </w:t>
      </w:r>
    </w:p>
  </w:footnote>
  <w:footnote w:id="574">
    <w:p w14:paraId="269D7841" w14:textId="77777777"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94, 108; </w:t>
      </w:r>
      <w:r>
        <w:rPr>
          <w:smallCaps/>
        </w:rPr>
        <w:t>William G. Ross, The Honest Hour</w:t>
      </w:r>
      <w:r>
        <w:t xml:space="preserve"> 4 (1996)</w:t>
      </w:r>
    </w:p>
  </w:footnote>
  <w:footnote w:id="575">
    <w:p w14:paraId="021B2B69"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Jane Goodman-</w:t>
      </w:r>
      <w:proofErr w:type="spellStart"/>
      <w:r>
        <w:rPr>
          <w:color w:val="000000" w:themeColor="text1"/>
        </w:rPr>
        <w:t>Delahunty</w:t>
      </w:r>
      <w:proofErr w:type="spellEnd"/>
      <w:r>
        <w:rPr>
          <w:color w:val="000000" w:themeColor="text1"/>
        </w:rPr>
        <w:t xml:space="preserve"> et al., </w:t>
      </w:r>
      <w:r>
        <w:rPr>
          <w:i/>
          <w:iCs/>
          <w:color w:val="000000" w:themeColor="text1"/>
        </w:rPr>
        <w:t>Insightful or Wishful: Lawyers’ Ability to Predict Case Outcomes</w:t>
      </w:r>
      <w:r>
        <w:rPr>
          <w:color w:val="000000" w:themeColor="text1"/>
        </w:rPr>
        <w:t xml:space="preserve">, 16 </w:t>
      </w:r>
      <w:r>
        <w:rPr>
          <w:smallCaps/>
          <w:color w:val="000000" w:themeColor="text1"/>
        </w:rPr>
        <w:t xml:space="preserve">Psych. Pub. </w:t>
      </w:r>
      <w:proofErr w:type="spellStart"/>
      <w:r>
        <w:rPr>
          <w:smallCaps/>
          <w:color w:val="000000" w:themeColor="text1"/>
        </w:rPr>
        <w:t>Pol’y</w:t>
      </w:r>
      <w:proofErr w:type="spellEnd"/>
      <w:r>
        <w:rPr>
          <w:smallCaps/>
          <w:color w:val="000000" w:themeColor="text1"/>
        </w:rPr>
        <w:t xml:space="preserve"> &amp; L</w:t>
      </w:r>
      <w:r>
        <w:rPr>
          <w:color w:val="000000" w:themeColor="text1"/>
        </w:rPr>
        <w:t xml:space="preserve">. 133, 136 (2010) (quoting Loftus &amp; </w:t>
      </w:r>
      <w:proofErr w:type="spellStart"/>
      <w:r>
        <w:rPr>
          <w:color w:val="000000" w:themeColor="text1"/>
        </w:rPr>
        <w:t>Wagenaar</w:t>
      </w:r>
      <w:proofErr w:type="spellEnd"/>
      <w:r>
        <w:rPr>
          <w:color w:val="000000" w:themeColor="text1"/>
        </w:rPr>
        <w:t>, 1988, p. 450).</w:t>
      </w:r>
    </w:p>
  </w:footnote>
  <w:footnote w:id="576">
    <w:p w14:paraId="675D0DCB" w14:textId="77777777" w:rsidR="00667707" w:rsidRPr="005B3E31" w:rsidRDefault="00667707" w:rsidP="003D74D8">
      <w:pPr>
        <w:pStyle w:val="FootnoteText"/>
        <w:spacing w:line="480" w:lineRule="auto"/>
      </w:pPr>
      <w:r>
        <w:rPr>
          <w:rStyle w:val="FootnoteReference"/>
        </w:rPr>
        <w:footnoteRef/>
      </w:r>
      <w:r>
        <w:t xml:space="preserve"> Ian Weinstein, </w:t>
      </w:r>
      <w:r>
        <w:rPr>
          <w:i/>
          <w:iCs/>
        </w:rPr>
        <w:t>Don't Believe Everything You Think: Cognitive Bias in Legal Decision Making</w:t>
      </w:r>
      <w:r>
        <w:t>, 9 Clinical L. Rev. 783, 829 (2002–2003), http://ir.lawnet.fordham.edu/faculty_scholarship/422.</w:t>
      </w:r>
    </w:p>
  </w:footnote>
  <w:footnote w:id="577">
    <w:p w14:paraId="77E71CDB" w14:textId="77777777" w:rsidR="00667707" w:rsidRPr="005B3E31" w:rsidRDefault="00667707" w:rsidP="003D74D8">
      <w:pPr>
        <w:pStyle w:val="FootnoteText"/>
        <w:spacing w:line="480" w:lineRule="auto"/>
      </w:pPr>
      <w:r>
        <w:rPr>
          <w:rStyle w:val="FootnoteReference"/>
        </w:rPr>
        <w:footnoteRef/>
      </w:r>
      <w:proofErr w:type="spellStart"/>
      <w:r>
        <w:rPr>
          <w:color w:val="000000" w:themeColor="text1"/>
        </w:rPr>
        <w:t>Alafair</w:t>
      </w:r>
      <w:proofErr w:type="spellEnd"/>
      <w:r>
        <w:rPr>
          <w:color w:val="000000" w:themeColor="text1"/>
        </w:rPr>
        <w:t xml:space="preserve"> S. Burke, </w:t>
      </w:r>
      <w:r>
        <w:rPr>
          <w:i/>
          <w:iCs/>
          <w:color w:val="000000" w:themeColor="text1"/>
        </w:rPr>
        <w:t>Improving Prosecutorial Decision Making: Some Lessons of Cognitive Science</w:t>
      </w:r>
      <w:r>
        <w:rPr>
          <w:color w:val="000000" w:themeColor="text1"/>
        </w:rPr>
        <w:t xml:space="preserve">, 47 </w:t>
      </w:r>
      <w:r>
        <w:rPr>
          <w:smallCaps/>
          <w:color w:val="000000" w:themeColor="text1"/>
        </w:rPr>
        <w:t>Wm. &amp; Mary L. Rev.</w:t>
      </w:r>
      <w:r>
        <w:rPr>
          <w:color w:val="000000" w:themeColor="text1"/>
        </w:rPr>
        <w:t xml:space="preserve"> 1587, 1606 (2006); Keith A. Findley, </w:t>
      </w:r>
      <w:r>
        <w:rPr>
          <w:i/>
          <w:iCs/>
          <w:color w:val="000000" w:themeColor="text1"/>
        </w:rPr>
        <w:t>Tunnel Vision</w:t>
      </w:r>
      <w:r>
        <w:t xml:space="preserve">, </w:t>
      </w:r>
      <w:r>
        <w:rPr>
          <w:i/>
          <w:iCs/>
        </w:rPr>
        <w:t>in</w:t>
      </w:r>
      <w:r>
        <w:rPr>
          <w:color w:val="000000" w:themeColor="text1"/>
        </w:rPr>
        <w:t xml:space="preserve"> </w:t>
      </w:r>
      <w:r>
        <w:rPr>
          <w:smallCaps/>
          <w:color w:val="000000" w:themeColor="text1"/>
        </w:rPr>
        <w:t>Conviction of the Innocent: Lessons from Psychological Research</w:t>
      </w:r>
      <w:r>
        <w:rPr>
          <w:color w:val="000000" w:themeColor="text1"/>
        </w:rPr>
        <w:t xml:space="preserve"> 1, 8 (B. Cutler ed., 2012) (“[P]</w:t>
      </w:r>
      <w:proofErr w:type="spellStart"/>
      <w:r>
        <w:rPr>
          <w:color w:val="000000" w:themeColor="text1"/>
        </w:rPr>
        <w:t>eople</w:t>
      </w:r>
      <w:proofErr w:type="spellEnd"/>
      <w:r>
        <w:rPr>
          <w:color w:val="000000" w:themeColor="text1"/>
        </w:rPr>
        <w:t xml:space="preserve"> tend to use different criteria when they evaluate data or conclusions that they desire than when they evaluate conclusions they disfavor. For preferred conclusions, “we ask only that the evidence not force us to believe otherwise.” For disfavored conclusions, however, “we ask whether the evidence compels such a distasteful conclusion—a much more difficult standard to achieve”).</w:t>
      </w:r>
    </w:p>
  </w:footnote>
  <w:footnote w:id="578">
    <w:p w14:paraId="784AF4EB" w14:textId="77777777" w:rsidR="008076F7" w:rsidRPr="005B3E31" w:rsidRDefault="008076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Goodman-</w:t>
      </w:r>
      <w:proofErr w:type="spellStart"/>
      <w:r>
        <w:rPr>
          <w:color w:val="000000" w:themeColor="text1"/>
        </w:rPr>
        <w:t>Delahunty</w:t>
      </w:r>
      <w:proofErr w:type="spellEnd"/>
      <w:r>
        <w:rPr>
          <w:color w:val="000000" w:themeColor="text1"/>
        </w:rPr>
        <w:t>, supra note 86, at 15</w:t>
      </w:r>
      <w:r>
        <w:rPr>
          <w:color w:val="000000" w:themeColor="text1"/>
        </w:rPr>
        <w:fldChar w:fldCharType="begin"/>
      </w:r>
      <w:r>
        <w:rPr>
          <w:color w:val="000000" w:themeColor="text1"/>
        </w:rPr>
        <w:instrText xml:space="preserve"> NOTEREF _Ref222081948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3; Richard F. Elmore, </w:t>
      </w:r>
      <w:r>
        <w:rPr>
          <w:i/>
          <w:iCs/>
          <w:color w:val="000000" w:themeColor="text1"/>
        </w:rPr>
        <w:t>Backward Mapping: Implementation Research and Policy Decisions</w:t>
      </w:r>
      <w:r>
        <w:rPr>
          <w:color w:val="000000" w:themeColor="text1"/>
        </w:rPr>
        <w:t xml:space="preserve">, 94 </w:t>
      </w:r>
      <w:r>
        <w:rPr>
          <w:smallCaps/>
          <w:color w:val="000000" w:themeColor="text1"/>
        </w:rPr>
        <w:t>Pol. Sci. Q</w:t>
      </w:r>
      <w:r>
        <w:rPr>
          <w:color w:val="000000" w:themeColor="text1"/>
        </w:rPr>
        <w:t>. 601, 604 (1979).</w:t>
      </w:r>
    </w:p>
  </w:footnote>
  <w:footnote w:id="579">
    <w:p w14:paraId="6EA2C2D8"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Schlag</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140.</w:t>
      </w:r>
    </w:p>
  </w:footnote>
  <w:footnote w:id="580">
    <w:p w14:paraId="7519D2D3" w14:textId="77777777" w:rsidR="003E39A2" w:rsidRPr="005B3E31" w:rsidRDefault="003E39A2" w:rsidP="003D74D8">
      <w:pPr>
        <w:pStyle w:val="FootnoteText"/>
        <w:spacing w:line="480" w:lineRule="auto"/>
      </w:pPr>
      <w:r>
        <w:rPr>
          <w:rStyle w:val="FootnoteReference"/>
        </w:rPr>
        <w:footnoteRef/>
      </w:r>
      <w:r>
        <w:t xml:space="preserve"> </w:t>
      </w:r>
      <w:r>
        <w:rPr>
          <w:smallCaps/>
        </w:rPr>
        <w:t xml:space="preserve">Steven J. Harper, The Lawyer Bubble: A Profession in Crisis </w:t>
      </w:r>
      <w:r>
        <w:t>117 (2013).</w:t>
      </w:r>
    </w:p>
  </w:footnote>
  <w:footnote w:id="581">
    <w:p w14:paraId="7AB9DA51" w14:textId="77777777" w:rsidR="00694DEF" w:rsidRPr="005B3E31" w:rsidRDefault="00694DEF" w:rsidP="003D74D8">
      <w:pPr>
        <w:pStyle w:val="FootnoteText"/>
        <w:spacing w:line="480" w:lineRule="auto"/>
      </w:pPr>
      <w:r>
        <w:rPr>
          <w:rStyle w:val="FootnoteReference"/>
        </w:rPr>
        <w:footnoteRef/>
      </w:r>
      <w:r>
        <w:t xml:space="preserve"> </w:t>
      </w:r>
      <w:r>
        <w:rPr>
          <w:smallCaps/>
        </w:rPr>
        <w:t>Randall Kiser, How Leading Lawyers Think: Expert Insights Into Judgment and</w:t>
      </w:r>
      <w:r>
        <w:t xml:space="preserve"> </w:t>
      </w:r>
      <w:r>
        <w:rPr>
          <w:smallCaps/>
        </w:rPr>
        <w:t>Advocacy</w:t>
      </w:r>
      <w:r>
        <w:t xml:space="preserve"> 100 (2011).</w:t>
      </w:r>
    </w:p>
  </w:footnote>
  <w:footnote w:id="582">
    <w:p w14:paraId="46F94465" w14:textId="05129CA8"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Sections</w:t>
      </w:r>
      <w:proofErr w:type="gramEnd"/>
      <w:r>
        <w:rPr>
          <w:color w:val="000000" w:themeColor="text1"/>
        </w:rPr>
        <w:t xml:space="preserve"> I, IV.</w:t>
      </w:r>
    </w:p>
  </w:footnote>
  <w:footnote w:id="583">
    <w:p w14:paraId="63C1B0FA" w14:textId="77777777" w:rsidR="00223857" w:rsidRPr="005B3E31" w:rsidRDefault="0022385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Kassing</w:t>
      </w:r>
      <w:proofErr w:type="spellEnd"/>
      <w:r>
        <w:rPr>
          <w:color w:val="000000" w:themeColor="text1"/>
        </w:rPr>
        <w:t xml:space="preserve">, infra note 606, at 194; Lisa </w:t>
      </w:r>
      <w:proofErr w:type="spellStart"/>
      <w:r>
        <w:rPr>
          <w:color w:val="000000" w:themeColor="text1"/>
        </w:rPr>
        <w:t>Blomgren</w:t>
      </w:r>
      <w:proofErr w:type="spellEnd"/>
      <w:r>
        <w:rPr>
          <w:color w:val="000000" w:themeColor="text1"/>
        </w:rPr>
        <w:t xml:space="preserve"> </w:t>
      </w:r>
      <w:proofErr w:type="spellStart"/>
      <w:r>
        <w:rPr>
          <w:color w:val="000000" w:themeColor="text1"/>
        </w:rPr>
        <w:t>Amsler</w:t>
      </w:r>
      <w:proofErr w:type="spellEnd"/>
      <w:r>
        <w:rPr>
          <w:color w:val="000000" w:themeColor="text1"/>
        </w:rPr>
        <w:t xml:space="preserve">, Janet K. Martinez &amp; Stephanie E. Smith, Dispute System Design: Preventing, Managing, and Resolving Conflict 208 (2020);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61; </w:t>
      </w:r>
      <w:r>
        <w:rPr>
          <w:smallCaps/>
          <w:color w:val="000000" w:themeColor="text1"/>
        </w:rPr>
        <w:t>Page</w:t>
      </w:r>
      <w:r>
        <w:rPr>
          <w:color w:val="000000" w:themeColor="text1"/>
        </w:rPr>
        <w:t xml:space="preserve">,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344–48. </w:t>
      </w:r>
    </w:p>
  </w:footnote>
  <w:footnote w:id="584">
    <w:p w14:paraId="18AF624E" w14:textId="77777777" w:rsidR="00223857" w:rsidRPr="005B3E31" w:rsidRDefault="00223857"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Frances Bowen &amp; Kate Blackmon</w:t>
      </w:r>
      <w:r>
        <w:rPr>
          <w:color w:val="000000" w:themeColor="text1"/>
          <w:sz w:val="20"/>
          <w:szCs w:val="20"/>
        </w:rPr>
        <w:t>,</w:t>
      </w:r>
      <w:r>
        <w:rPr>
          <w:color w:val="000000" w:themeColor="text1"/>
          <w:sz w:val="20"/>
          <w:szCs w:val="20"/>
          <w:lang w:bidi="en-US"/>
        </w:rPr>
        <w:t xml:space="preserve"> </w:t>
      </w:r>
      <w:r>
        <w:rPr>
          <w:i/>
          <w:iCs/>
          <w:color w:val="000000" w:themeColor="text1"/>
          <w:sz w:val="20"/>
          <w:szCs w:val="20"/>
          <w:lang w:bidi="en-US"/>
        </w:rPr>
        <w:t>Spirals of Silence: The Dynamic Effects of Diversity on Organizational Voice</w:t>
      </w:r>
      <w:r>
        <w:rPr>
          <w:color w:val="000000" w:themeColor="text1"/>
          <w:sz w:val="20"/>
          <w:szCs w:val="20"/>
        </w:rPr>
        <w:t xml:space="preserve">, 40 </w:t>
      </w:r>
      <w:r>
        <w:rPr>
          <w:smallCaps/>
          <w:color w:val="000000" w:themeColor="text1"/>
          <w:sz w:val="20"/>
          <w:szCs w:val="20"/>
          <w:lang w:bidi="en-US"/>
        </w:rPr>
        <w:t>J. Mgmt. Stud</w:t>
      </w:r>
      <w:r>
        <w:rPr>
          <w:color w:val="000000" w:themeColor="text1"/>
          <w:sz w:val="20"/>
          <w:szCs w:val="20"/>
          <w:lang w:bidi="en-US"/>
        </w:rPr>
        <w:t>.</w:t>
      </w:r>
      <w:r>
        <w:rPr>
          <w:i/>
          <w:iCs/>
          <w:color w:val="000000" w:themeColor="text1"/>
          <w:sz w:val="20"/>
          <w:szCs w:val="20"/>
          <w:lang w:bidi="en-US"/>
        </w:rPr>
        <w:t xml:space="preserve"> </w:t>
      </w:r>
      <w:r>
        <w:rPr>
          <w:color w:val="000000" w:themeColor="text1"/>
          <w:sz w:val="20"/>
          <w:szCs w:val="20"/>
          <w:lang w:bidi="en-US"/>
        </w:rPr>
        <w:t>1393, 1396 (2003).</w:t>
      </w:r>
    </w:p>
  </w:footnote>
  <w:footnote w:id="585">
    <w:p w14:paraId="1B5B0B00" w14:textId="77777777" w:rsidR="00625345" w:rsidRPr="005B3E31" w:rsidRDefault="00625345" w:rsidP="003D74D8">
      <w:pPr>
        <w:pStyle w:val="FootnoteText"/>
        <w:spacing w:line="480" w:lineRule="auto"/>
      </w:pPr>
      <w:r>
        <w:rPr>
          <w:rStyle w:val="FootnoteReference"/>
        </w:rPr>
        <w:footnoteRef/>
      </w:r>
      <w:r>
        <w:t xml:space="preserve"> </w:t>
      </w:r>
      <w:r>
        <w:rPr>
          <w:color w:val="000000" w:themeColor="text1"/>
        </w:rPr>
        <w:t xml:space="preserve">Amy Edmondson, </w:t>
      </w:r>
      <w:r>
        <w:rPr>
          <w:i/>
          <w:iCs/>
          <w:color w:val="000000" w:themeColor="text1"/>
        </w:rPr>
        <w:t>Psychological Safety and Learning Behavior in Work Teams</w:t>
      </w:r>
      <w:r>
        <w:rPr>
          <w:color w:val="000000" w:themeColor="text1"/>
        </w:rPr>
        <w:t xml:space="preserve">, 44 </w:t>
      </w:r>
      <w:r>
        <w:rPr>
          <w:smallCaps/>
          <w:color w:val="000000" w:themeColor="text1"/>
        </w:rPr>
        <w:t>Admin. Sci. Q</w:t>
      </w:r>
      <w:r>
        <w:rPr>
          <w:color w:val="000000" w:themeColor="text1"/>
        </w:rPr>
        <w:t xml:space="preserve">. 350, 354 (1999); James R. </w:t>
      </w:r>
      <w:proofErr w:type="spellStart"/>
      <w:r>
        <w:rPr>
          <w:color w:val="000000" w:themeColor="text1"/>
        </w:rPr>
        <w:t>Detert</w:t>
      </w:r>
      <w:proofErr w:type="spellEnd"/>
      <w:r>
        <w:rPr>
          <w:color w:val="000000" w:themeColor="text1"/>
        </w:rPr>
        <w:t xml:space="preserve"> &amp; Ethan R. Burris</w:t>
      </w:r>
      <w:r>
        <w:rPr>
          <w:i/>
          <w:iCs/>
          <w:color w:val="000000" w:themeColor="text1"/>
        </w:rPr>
        <w:t xml:space="preserve">, Leadership Behavior and Employee Voice: Is the Door Really </w:t>
      </w:r>
      <w:proofErr w:type="gramStart"/>
      <w:r>
        <w:rPr>
          <w:i/>
          <w:iCs/>
          <w:color w:val="000000" w:themeColor="text1"/>
        </w:rPr>
        <w:t>Open?</w:t>
      </w:r>
      <w:r>
        <w:rPr>
          <w:color w:val="000000" w:themeColor="text1"/>
        </w:rPr>
        <w:t>,</w:t>
      </w:r>
      <w:proofErr w:type="gramEnd"/>
      <w:r>
        <w:rPr>
          <w:color w:val="000000" w:themeColor="text1"/>
        </w:rPr>
        <w:t xml:space="preserve"> 50 </w:t>
      </w:r>
      <w:r>
        <w:rPr>
          <w:smallCaps/>
          <w:color w:val="000000" w:themeColor="text1"/>
        </w:rPr>
        <w:t>Acad. Mgmt. J</w:t>
      </w:r>
      <w:r>
        <w:rPr>
          <w:color w:val="000000" w:themeColor="text1"/>
        </w:rPr>
        <w:t xml:space="preserve">. 869, 872 (2007); </w:t>
      </w:r>
      <w:r>
        <w:rPr>
          <w:i/>
          <w:iCs/>
          <w:color w:val="000000" w:themeColor="text1"/>
        </w:rPr>
        <w:t>see infra</w:t>
      </w:r>
      <w:r>
        <w:rPr>
          <w:color w:val="000000" w:themeColor="text1"/>
        </w:rPr>
        <w:t xml:space="preserve"> Section II.</w:t>
      </w:r>
    </w:p>
  </w:footnote>
  <w:footnote w:id="586">
    <w:p w14:paraId="0EC1CF7A" w14:textId="77777777" w:rsidR="00625345" w:rsidRPr="005B3E31" w:rsidRDefault="00625345"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 13, 2024).</w:t>
      </w:r>
    </w:p>
  </w:footnote>
  <w:footnote w:id="587">
    <w:p w14:paraId="3C4131F2"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.A–C.</w:t>
      </w:r>
    </w:p>
  </w:footnote>
  <w:footnote w:id="588">
    <w:p w14:paraId="2C25D45A" w14:textId="77777777" w:rsidR="00EA0B0F" w:rsidRPr="005B3E31" w:rsidRDefault="00C615BB" w:rsidP="003D74D8">
      <w:pPr>
        <w:pStyle w:val="FootnoteText"/>
        <w:spacing w:line="480" w:lineRule="auto"/>
      </w:pPr>
      <w:r>
        <w:rPr>
          <w:rStyle w:val="FootnoteReference"/>
        </w:rPr>
        <w:footnoteRef/>
      </w:r>
      <w:r>
        <w:t xml:space="preserve"> </w:t>
      </w:r>
      <w:r>
        <w:rPr>
          <w:smallCaps/>
        </w:rPr>
        <w:t xml:space="preserve">Richards J. Heuer Jr. &amp; Randolph H. </w:t>
      </w:r>
      <w:proofErr w:type="spellStart"/>
      <w:r>
        <w:rPr>
          <w:smallCaps/>
        </w:rPr>
        <w:t>Pherson</w:t>
      </w:r>
      <w:proofErr w:type="spellEnd"/>
      <w:r>
        <w:rPr>
          <w:smallCaps/>
        </w:rPr>
        <w:t>, Structured Analytic Techniques for Intelligence Analysis</w:t>
      </w:r>
      <w:r>
        <w:t xml:space="preserve"> (3d ed. 2020) (“Laboratory experiments have shown that even a single dissenting opinion, all by</w:t>
      </w:r>
    </w:p>
    <w:p w14:paraId="42504674" w14:textId="77777777" w:rsidR="00C615BB" w:rsidRPr="005B3E31" w:rsidRDefault="00EA0B0F" w:rsidP="003D74D8">
      <w:pPr>
        <w:pStyle w:val="FootnoteText"/>
        <w:spacing w:line="480" w:lineRule="auto"/>
      </w:pPr>
      <w:r>
        <w:t xml:space="preserve">itself, makes a group’s decisions more nuanced and its decision-making process more rigorous. The research also shows that these benefits from dissenting opinions occur regardless of whether or not the dissenter is correct. The dissent stimulates a reappraisal of the situation and identification of options that otherwise would have gone undetected. To be effective, however, dissent must be genuine—not generated artificially, as in some applications of the Devil’s Advocacy technique.”); </w:t>
      </w:r>
      <w:r>
        <w:rPr>
          <w:smallCaps/>
        </w:rPr>
        <w:t>Randall Kiser, How Leading Lawyers Think: Expert Insights Into Judgment and</w:t>
      </w:r>
      <w:r>
        <w:t xml:space="preserve"> </w:t>
      </w:r>
      <w:r>
        <w:rPr>
          <w:smallCaps/>
        </w:rPr>
        <w:t>Advocacy</w:t>
      </w:r>
      <w:r>
        <w:t xml:space="preserve"> 100 (2011); </w:t>
      </w:r>
      <w:r>
        <w:rPr>
          <w:smallCaps/>
        </w:rPr>
        <w:t>Micah Zenko, Red Team: How to Succeed by Thinking Like the Enemy</w:t>
      </w:r>
      <w:r>
        <w:t xml:space="preserve"> </w:t>
      </w:r>
      <w:proofErr w:type="spellStart"/>
      <w:r>
        <w:t>ch.</w:t>
      </w:r>
      <w:proofErr w:type="spellEnd"/>
      <w:r>
        <w:t xml:space="preserve"> 6 n.17 (2015) (quoting Michael </w:t>
      </w:r>
      <w:proofErr w:type="spellStart"/>
      <w:r>
        <w:t>Walzer</w:t>
      </w:r>
      <w:proofErr w:type="spellEnd"/>
      <w:r>
        <w:t>) (“[T]he absence of dissent means that there wasn’t an adequate deliberation.”).</w:t>
      </w:r>
    </w:p>
  </w:footnote>
  <w:footnote w:id="589">
    <w:p w14:paraId="1CABAE1A"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115–18; </w:t>
      </w:r>
      <w:proofErr w:type="spellStart"/>
      <w:r>
        <w:rPr>
          <w:color w:val="000000" w:themeColor="text1"/>
          <w:sz w:val="20"/>
          <w:szCs w:val="20"/>
        </w:rPr>
        <w:t>Charlan</w:t>
      </w:r>
      <w:proofErr w:type="spellEnd"/>
      <w:r>
        <w:rPr>
          <w:color w:val="000000" w:themeColor="text1"/>
          <w:sz w:val="20"/>
          <w:szCs w:val="20"/>
        </w:rPr>
        <w:t xml:space="preserve"> Jeanne Nemeth, Joanie B. Connell, John D. Rogers &amp; Keith Brown, Improving Decision Making by Means of Dissent, 31 J. Applied Soc. Psych. 48, 55–56 (2001).</w:t>
      </w:r>
    </w:p>
  </w:footnote>
  <w:footnote w:id="590">
    <w:p w14:paraId="0142ECBF" w14:textId="77777777" w:rsidR="00D879FE" w:rsidRDefault="00000000">
      <w:pPr>
        <w:pStyle w:val="FootnoteText"/>
        <w:spacing w:line="480" w:lineRule="auto"/>
      </w:pPr>
      <w:r>
        <w:rPr>
          <w:rStyle w:val="FootnoteReference"/>
        </w:rPr>
        <w:footnoteRef/>
      </w:r>
      <w:r>
        <w:t xml:space="preserve"> </w:t>
      </w:r>
      <w:r>
        <w:rPr>
          <w:smallCaps/>
        </w:rPr>
        <w:t>John Stuart Mill, On Liberty</w:t>
      </w:r>
      <w:r>
        <w:t xml:space="preserve"> </w:t>
      </w:r>
      <w:proofErr w:type="spellStart"/>
      <w:r>
        <w:t>ch.</w:t>
      </w:r>
      <w:proofErr w:type="spellEnd"/>
      <w:r>
        <w:t xml:space="preserve"> II (1859) [AUTHOR: add print page].</w:t>
      </w:r>
    </w:p>
  </w:footnote>
  <w:footnote w:id="591">
    <w:p w14:paraId="7F8111EE" w14:textId="77777777" w:rsidR="00D879FE" w:rsidRDefault="00000000">
      <w:pPr>
        <w:pStyle w:val="FootnoteText"/>
        <w:spacing w:line="480" w:lineRule="auto"/>
      </w:pPr>
      <w:r>
        <w:rPr>
          <w:rStyle w:val="FootnoteReference"/>
        </w:rPr>
        <w:footnoteRef/>
      </w:r>
      <w:r>
        <w:t xml:space="preserve"> </w:t>
      </w:r>
      <w:r>
        <w:rPr>
          <w:smallCaps/>
        </w:rPr>
        <w:t>Stanley Fish, Doing What Comes Naturally: Change, Rhetoric, and the Practice of Theory in Literary and Legal Studies</w:t>
      </w:r>
      <w:r>
        <w:t xml:space="preserve"> 517 (1989).</w:t>
      </w:r>
    </w:p>
  </w:footnote>
  <w:footnote w:id="592">
    <w:p w14:paraId="1599E0A9"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at 217.</w:t>
      </w:r>
    </w:p>
  </w:footnote>
  <w:footnote w:id="593">
    <w:p w14:paraId="4B4C6260"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352.</w:t>
      </w:r>
    </w:p>
  </w:footnote>
  <w:footnote w:id="594">
    <w:p w14:paraId="4C66D271" w14:textId="77777777" w:rsidR="00152091" w:rsidRPr="005B3E31" w:rsidRDefault="00152091" w:rsidP="003D74D8">
      <w:pPr>
        <w:pStyle w:val="FootnoteText"/>
        <w:spacing w:line="480" w:lineRule="auto"/>
      </w:pPr>
      <w:r>
        <w:rPr>
          <w:rStyle w:val="FootnoteReference"/>
        </w:rPr>
        <w:footnoteRef/>
      </w:r>
      <w:r>
        <w:t xml:space="preserve"> </w:t>
      </w:r>
      <w:proofErr w:type="spellStart"/>
      <w:r>
        <w:t>Charlan</w:t>
      </w:r>
      <w:proofErr w:type="spellEnd"/>
      <w:r>
        <w:t xml:space="preserve"> Nemeth, </w:t>
      </w:r>
      <w:r>
        <w:rPr>
          <w:i/>
          <w:iCs/>
        </w:rPr>
        <w:t>In Defense of Troublemakers: The Power of Dissent in</w:t>
      </w:r>
      <w:r>
        <w:t xml:space="preserve"> </w:t>
      </w:r>
      <w:r>
        <w:rPr>
          <w:i/>
          <w:iCs/>
        </w:rPr>
        <w:t xml:space="preserve">Life and Business </w:t>
      </w:r>
      <w:r>
        <w:t>186 (2018)</w:t>
      </w:r>
    </w:p>
  </w:footnote>
  <w:footnote w:id="595">
    <w:p w14:paraId="1FA42387" w14:textId="77777777" w:rsidR="00152091" w:rsidRPr="005B3E31" w:rsidRDefault="0015209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Stefan Schulz-Hardt </w:t>
      </w:r>
      <w:r>
        <w:rPr>
          <w:color w:val="000000" w:themeColor="text1"/>
          <w:sz w:val="20"/>
          <w:szCs w:val="20"/>
        </w:rPr>
        <w:t xml:space="preserve">et al., </w:t>
      </w:r>
      <w:r>
        <w:rPr>
          <w:i/>
          <w:iCs/>
          <w:color w:val="000000" w:themeColor="text1"/>
          <w:sz w:val="20"/>
          <w:szCs w:val="20"/>
          <w:lang w:bidi="en-US"/>
        </w:rPr>
        <w:t>Productive Conflict in Group Decision Making: Genuine and Contrived Dissent as Strategies to Counteract Biased Information Seeking</w:t>
      </w:r>
      <w:r>
        <w:rPr>
          <w:color w:val="000000" w:themeColor="text1"/>
          <w:sz w:val="20"/>
          <w:szCs w:val="20"/>
        </w:rPr>
        <w:t xml:space="preserve">, 88 </w:t>
      </w:r>
      <w:r>
        <w:rPr>
          <w:smallCaps/>
          <w:color w:val="000000" w:themeColor="text1"/>
          <w:sz w:val="20"/>
          <w:szCs w:val="20"/>
          <w:lang w:bidi="en-US"/>
        </w:rPr>
        <w:t xml:space="preserve">Org. </w:t>
      </w:r>
      <w:proofErr w:type="spellStart"/>
      <w:r>
        <w:rPr>
          <w:smallCaps/>
          <w:color w:val="000000" w:themeColor="text1"/>
          <w:sz w:val="20"/>
          <w:szCs w:val="20"/>
          <w:lang w:bidi="en-US"/>
        </w:rPr>
        <w:t>Behav</w:t>
      </w:r>
      <w:proofErr w:type="spellEnd"/>
      <w:r>
        <w:rPr>
          <w:smallCaps/>
          <w:color w:val="000000" w:themeColor="text1"/>
          <w:sz w:val="20"/>
          <w:szCs w:val="20"/>
          <w:lang w:bidi="en-US"/>
        </w:rPr>
        <w:t>. &amp; Hum. Decision Processes</w:t>
      </w:r>
      <w:r>
        <w:rPr>
          <w:color w:val="000000" w:themeColor="text1"/>
          <w:sz w:val="20"/>
          <w:szCs w:val="20"/>
          <w:lang w:bidi="en-US"/>
        </w:rPr>
        <w:t xml:space="preserve"> 563, 582 (2002).</w:t>
      </w:r>
    </w:p>
  </w:footnote>
  <w:footnote w:id="596">
    <w:p w14:paraId="76F3A9C9" w14:textId="77777777" w:rsidR="00152091" w:rsidRPr="005B3E31" w:rsidRDefault="00152091" w:rsidP="003D74D8">
      <w:pPr>
        <w:spacing w:line="480" w:lineRule="auto"/>
        <w:ind w:left="-5" w:right="15"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Charlan</w:t>
      </w:r>
      <w:proofErr w:type="spellEnd"/>
      <w:r>
        <w:rPr>
          <w:color w:val="000000" w:themeColor="text1"/>
          <w:sz w:val="20"/>
          <w:szCs w:val="20"/>
        </w:rPr>
        <w:t xml:space="preserve"> Nemeth et al., </w:t>
      </w:r>
      <w:r>
        <w:rPr>
          <w:i/>
          <w:iCs/>
          <w:color w:val="000000" w:themeColor="text1"/>
          <w:sz w:val="20"/>
          <w:szCs w:val="20"/>
        </w:rPr>
        <w:t>Devil’s Advocate Versus Authentic Dissent: Stimulating Quantity and Quality</w:t>
      </w:r>
      <w:r>
        <w:rPr>
          <w:color w:val="000000" w:themeColor="text1"/>
          <w:sz w:val="20"/>
          <w:szCs w:val="20"/>
        </w:rPr>
        <w:t xml:space="preserve">, 31 </w:t>
      </w:r>
      <w:r>
        <w:rPr>
          <w:smallCaps/>
          <w:color w:val="000000" w:themeColor="text1"/>
          <w:sz w:val="20"/>
          <w:szCs w:val="20"/>
        </w:rPr>
        <w:t>Eur. J. Soc. Psych</w:t>
      </w:r>
      <w:r>
        <w:rPr>
          <w:color w:val="000000" w:themeColor="text1"/>
          <w:sz w:val="20"/>
          <w:szCs w:val="20"/>
        </w:rPr>
        <w:t xml:space="preserve">. 707, 708 (2001); Nemeth et al., </w:t>
      </w:r>
      <w:r>
        <w:rPr>
          <w:i/>
          <w:iCs/>
          <w:color w:val="000000" w:themeColor="text1"/>
          <w:sz w:val="20"/>
          <w:szCs w:val="20"/>
        </w:rPr>
        <w:t>Improving Decision Making</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569, at 48 (“Devil’s advocate was found to stimulate cognitive bolstering of the initial position”). </w:t>
      </w:r>
    </w:p>
  </w:footnote>
  <w:footnote w:id="597">
    <w:p w14:paraId="7CC5899D"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lang w:bidi="en-US"/>
        </w:rPr>
        <w:t>Charlan</w:t>
      </w:r>
      <w:proofErr w:type="spellEnd"/>
      <w:r>
        <w:rPr>
          <w:color w:val="000000" w:themeColor="text1"/>
          <w:sz w:val="20"/>
          <w:szCs w:val="20"/>
          <w:lang w:bidi="en-US"/>
        </w:rPr>
        <w:t xml:space="preserve"> Jeanne Nemeth, </w:t>
      </w:r>
      <w:r>
        <w:rPr>
          <w:i/>
          <w:iCs/>
          <w:color w:val="000000" w:themeColor="text1"/>
          <w:sz w:val="20"/>
          <w:szCs w:val="20"/>
          <w:lang w:bidi="en-US"/>
        </w:rPr>
        <w:t>Minority Influence Theory</w:t>
      </w:r>
      <w:r>
        <w:rPr>
          <w:color w:val="000000" w:themeColor="text1"/>
          <w:sz w:val="20"/>
          <w:szCs w:val="20"/>
          <w:lang w:bidi="en-US"/>
        </w:rPr>
        <w:t>, IRLE Working Paper No. 218–10 (2010), http://irle.berkeley.edu/workingpapers/218-10.pdf (on file with author).</w:t>
      </w:r>
    </w:p>
  </w:footnote>
  <w:footnote w:id="598">
    <w:p w14:paraId="413D4725"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Chip Heath &amp; Rich Gonzalez, </w:t>
      </w:r>
      <w:r>
        <w:rPr>
          <w:i/>
          <w:iCs/>
          <w:color w:val="000000" w:themeColor="text1"/>
          <w:sz w:val="20"/>
          <w:szCs w:val="20"/>
        </w:rPr>
        <w:t xml:space="preserve">Interaction with Others Increases Decision Confidence </w:t>
      </w:r>
      <w:proofErr w:type="gramStart"/>
      <w:r>
        <w:rPr>
          <w:i/>
          <w:iCs/>
          <w:color w:val="000000" w:themeColor="text1"/>
          <w:sz w:val="20"/>
          <w:szCs w:val="20"/>
        </w:rPr>
        <w:t>But</w:t>
      </w:r>
      <w:proofErr w:type="gramEnd"/>
      <w:r>
        <w:rPr>
          <w:i/>
          <w:iCs/>
          <w:color w:val="000000" w:themeColor="text1"/>
          <w:sz w:val="20"/>
          <w:szCs w:val="20"/>
        </w:rPr>
        <w:t xml:space="preserve"> Not Decision Quality</w:t>
      </w:r>
      <w:r>
        <w:rPr>
          <w:color w:val="000000" w:themeColor="text1"/>
          <w:sz w:val="20"/>
          <w:szCs w:val="20"/>
        </w:rPr>
        <w:t xml:space="preserve">, 61 </w:t>
      </w:r>
      <w:r>
        <w:rPr>
          <w:smallCaps/>
          <w:color w:val="000000" w:themeColor="text1"/>
          <w:sz w:val="20"/>
          <w:szCs w:val="20"/>
        </w:rPr>
        <w:t xml:space="preserve">Org. </w:t>
      </w:r>
      <w:proofErr w:type="spellStart"/>
      <w:r>
        <w:rPr>
          <w:smallCaps/>
          <w:color w:val="000000" w:themeColor="text1"/>
          <w:sz w:val="20"/>
          <w:szCs w:val="20"/>
        </w:rPr>
        <w:t>Behav</w:t>
      </w:r>
      <w:proofErr w:type="spellEnd"/>
      <w:r>
        <w:rPr>
          <w:smallCaps/>
          <w:color w:val="000000" w:themeColor="text1"/>
          <w:sz w:val="20"/>
          <w:szCs w:val="20"/>
        </w:rPr>
        <w:t>. &amp; Hum. Decision Processes</w:t>
      </w:r>
      <w:r>
        <w:rPr>
          <w:color w:val="000000" w:themeColor="text1"/>
          <w:sz w:val="20"/>
          <w:szCs w:val="20"/>
        </w:rPr>
        <w:t xml:space="preserve"> 305, 323 (1995).</w:t>
      </w:r>
    </w:p>
  </w:footnote>
  <w:footnote w:id="599">
    <w:p w14:paraId="66DF1AB3"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108; </w:t>
      </w:r>
      <w:r>
        <w:rPr>
          <w:i/>
          <w:iCs/>
          <w:color w:val="000000" w:themeColor="text1"/>
          <w:sz w:val="20"/>
          <w:szCs w:val="20"/>
        </w:rPr>
        <w:t>see also</w:t>
      </w:r>
      <w:r>
        <w:rPr>
          <w:color w:val="000000" w:themeColor="text1"/>
          <w:sz w:val="20"/>
          <w:szCs w:val="20"/>
        </w:rPr>
        <w:t xml:space="preserve"> Jeffrey A. Sonnenfeld, </w:t>
      </w:r>
      <w:r>
        <w:rPr>
          <w:i/>
          <w:iCs/>
          <w:color w:val="000000" w:themeColor="text1"/>
          <w:sz w:val="20"/>
          <w:szCs w:val="20"/>
        </w:rPr>
        <w:t>What Makes Great Boards Great</w:t>
      </w:r>
      <w:r>
        <w:rPr>
          <w:color w:val="000000" w:themeColor="text1"/>
          <w:sz w:val="20"/>
          <w:szCs w:val="20"/>
        </w:rPr>
        <w:t xml:space="preserve">, 80 </w:t>
      </w:r>
      <w:r>
        <w:rPr>
          <w:smallCaps/>
          <w:color w:val="000000" w:themeColor="text1"/>
          <w:sz w:val="20"/>
          <w:szCs w:val="20"/>
        </w:rPr>
        <w:t>Harv. Bus. Rev</w:t>
      </w:r>
      <w:r>
        <w:rPr>
          <w:color w:val="000000" w:themeColor="text1"/>
          <w:sz w:val="20"/>
          <w:szCs w:val="20"/>
        </w:rPr>
        <w:t xml:space="preserve">. 5–7 (2002). </w:t>
      </w:r>
    </w:p>
  </w:footnote>
  <w:footnote w:id="600">
    <w:p w14:paraId="18103114"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64–65 (2011).</w:t>
      </w:r>
    </w:p>
  </w:footnote>
  <w:footnote w:id="601">
    <w:p w14:paraId="40377CE5"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253.</w:t>
      </w:r>
    </w:p>
  </w:footnote>
  <w:footnote w:id="602">
    <w:p w14:paraId="2BBF329C"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supra note 80, at 719; </w:t>
      </w:r>
      <w:r>
        <w:rPr>
          <w:smallCaps/>
          <w:color w:val="000000" w:themeColor="text1"/>
        </w:rPr>
        <w:t>Page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205–10;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57–59.</w:t>
      </w:r>
    </w:p>
  </w:footnote>
  <w:footnote w:id="603">
    <w:p w14:paraId="61056735"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U.S. Army</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618, at 3 (quoting Gen. Mark A. </w:t>
      </w:r>
      <w:proofErr w:type="spellStart"/>
      <w:r>
        <w:rPr>
          <w:color w:val="000000" w:themeColor="text1"/>
          <w:sz w:val="20"/>
          <w:szCs w:val="20"/>
        </w:rPr>
        <w:t>Milley</w:t>
      </w:r>
      <w:proofErr w:type="spellEnd"/>
      <w:r>
        <w:rPr>
          <w:color w:val="000000" w:themeColor="text1"/>
          <w:sz w:val="20"/>
          <w:szCs w:val="20"/>
        </w:rPr>
        <w:t>).</w:t>
      </w:r>
    </w:p>
  </w:footnote>
  <w:footnote w:id="604">
    <w:p w14:paraId="2755429C"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Edling</w:t>
      </w:r>
      <w:proofErr w:type="spellEnd"/>
      <w:r>
        <w:rPr>
          <w:smallCaps/>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_Ref222260093 \h  \* MERGEFORMAT </w:instrText>
      </w:r>
      <w:r>
        <w:rPr>
          <w:color w:val="000000" w:themeColor="text1"/>
        </w:rPr>
      </w:r>
      <w:r>
        <w:rPr>
          <w:color w:val="000000" w:themeColor="text1"/>
        </w:rPr>
        <w:fldChar w:fldCharType="separate"/>
      </w:r>
      <w:r>
        <w:rPr>
          <w:color w:val="000000" w:themeColor="text1"/>
        </w:rPr>
        <w:t>280</w:t>
      </w:r>
      <w:r>
        <w:rPr>
          <w:color w:val="000000" w:themeColor="text1"/>
        </w:rPr>
        <w:fldChar w:fldCharType="end"/>
      </w:r>
      <w:r>
        <w:rPr>
          <w:color w:val="000000" w:themeColor="text1"/>
        </w:rPr>
        <w:t>, at 22.</w:t>
      </w:r>
    </w:p>
  </w:footnote>
  <w:footnote w:id="605">
    <w:p w14:paraId="0CE912CC" w14:textId="77777777" w:rsidR="008E5B61" w:rsidRPr="005B3E31" w:rsidRDefault="008E5B6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L. Rhode &amp; Lucy Buford Ricca, </w:t>
      </w:r>
      <w:r>
        <w:rPr>
          <w:i/>
          <w:iCs/>
          <w:color w:val="000000" w:themeColor="text1"/>
        </w:rPr>
        <w:t>Diversity in the Legal Profession: Perspectives from Managing Partners and General Counsel</w:t>
      </w:r>
      <w:r>
        <w:rPr>
          <w:color w:val="000000" w:themeColor="text1"/>
        </w:rPr>
        <w:t xml:space="preserve">, 83 </w:t>
      </w:r>
      <w:r>
        <w:rPr>
          <w:smallCaps/>
          <w:color w:val="000000" w:themeColor="text1"/>
        </w:rPr>
        <w:t>Fordham L. Rev.</w:t>
      </w:r>
      <w:r>
        <w:rPr>
          <w:color w:val="000000" w:themeColor="text1"/>
        </w:rPr>
        <w:t xml:space="preserve"> 2483 (2015); </w:t>
      </w:r>
      <w:r>
        <w:rPr>
          <w:smallCaps/>
          <w:color w:val="000000" w:themeColor="text1"/>
        </w:rPr>
        <w:t xml:space="preserve">Spencer </w:t>
      </w:r>
      <w:proofErr w:type="spellStart"/>
      <w:r>
        <w:rPr>
          <w:smallCaps/>
          <w:color w:val="000000" w:themeColor="text1"/>
        </w:rPr>
        <w:t>Headworth</w:t>
      </w:r>
      <w:proofErr w:type="spellEnd"/>
      <w:r>
        <w:rPr>
          <w:smallCaps/>
          <w:color w:val="000000" w:themeColor="text1"/>
        </w:rPr>
        <w:t xml:space="preserve">, Robert L. Nelson, Ronit </w:t>
      </w:r>
      <w:proofErr w:type="spellStart"/>
      <w:r>
        <w:rPr>
          <w:smallCaps/>
          <w:color w:val="000000" w:themeColor="text1"/>
        </w:rPr>
        <w:t>Dinovitzer</w:t>
      </w:r>
      <w:proofErr w:type="spellEnd"/>
      <w:r>
        <w:rPr>
          <w:smallCaps/>
          <w:color w:val="000000" w:themeColor="text1"/>
        </w:rPr>
        <w:t xml:space="preserve"> &amp; David B. Wilkins (eds.), Diversity in Practice: Race, Gender, and Class in Legal and Professional Careers</w:t>
      </w:r>
      <w:r>
        <w:rPr>
          <w:color w:val="000000" w:themeColor="text1"/>
        </w:rPr>
        <w:t xml:space="preserve"> 328-57 (Cambridge University Press, 2016); David B. Wilkins &amp; G. </w:t>
      </w:r>
      <w:proofErr w:type="spellStart"/>
      <w:r>
        <w:rPr>
          <w:color w:val="000000" w:themeColor="text1"/>
        </w:rPr>
        <w:t>Mitu</w:t>
      </w:r>
      <w:proofErr w:type="spellEnd"/>
      <w:r>
        <w:rPr>
          <w:color w:val="000000" w:themeColor="text1"/>
        </w:rPr>
        <w:t xml:space="preserve"> Gulati, </w:t>
      </w:r>
      <w:r>
        <w:rPr>
          <w:i/>
          <w:iCs/>
          <w:color w:val="000000" w:themeColor="text1"/>
        </w:rPr>
        <w:t>Why Are There So Few Black Lawyers in Corporate Law Firms?: An Institutional Analysis</w:t>
      </w:r>
      <w:r>
        <w:rPr>
          <w:color w:val="000000" w:themeColor="text1"/>
        </w:rPr>
        <w:t xml:space="preserve">, 84 </w:t>
      </w:r>
      <w:r>
        <w:rPr>
          <w:smallCaps/>
          <w:color w:val="000000" w:themeColor="text1"/>
        </w:rPr>
        <w:t>Cal. L. Rev.</w:t>
      </w:r>
      <w:r>
        <w:rPr>
          <w:color w:val="000000" w:themeColor="text1"/>
        </w:rPr>
        <w:t xml:space="preserve"> 493 (1996).</w:t>
      </w:r>
    </w:p>
  </w:footnote>
  <w:footnote w:id="606">
    <w:p w14:paraId="6482D175" w14:textId="77777777"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Lu Hong &amp; Scott E. Page, </w:t>
      </w:r>
      <w:r>
        <w:rPr>
          <w:i/>
          <w:iCs/>
          <w:color w:val="000000" w:themeColor="text1"/>
          <w:sz w:val="20"/>
          <w:szCs w:val="20"/>
        </w:rPr>
        <w:t>Groups of Diverse Problem Solvers Can Outperform Groups of High-Ability Problem Solvers</w:t>
      </w:r>
      <w:r>
        <w:rPr>
          <w:color w:val="000000" w:themeColor="text1"/>
          <w:sz w:val="20"/>
          <w:szCs w:val="20"/>
        </w:rPr>
        <w:t xml:space="preserve">, 101 </w:t>
      </w:r>
      <w:r>
        <w:rPr>
          <w:smallCaps/>
          <w:color w:val="000000" w:themeColor="text1"/>
          <w:sz w:val="20"/>
          <w:szCs w:val="20"/>
        </w:rPr>
        <w:t xml:space="preserve">Proc. </w:t>
      </w:r>
      <w:proofErr w:type="spellStart"/>
      <w:r>
        <w:rPr>
          <w:smallCaps/>
          <w:color w:val="000000" w:themeColor="text1"/>
          <w:sz w:val="20"/>
          <w:szCs w:val="20"/>
        </w:rPr>
        <w:t>Nat’l</w:t>
      </w:r>
      <w:proofErr w:type="spellEnd"/>
      <w:r>
        <w:rPr>
          <w:smallCaps/>
          <w:color w:val="000000" w:themeColor="text1"/>
          <w:sz w:val="20"/>
          <w:szCs w:val="20"/>
        </w:rPr>
        <w:t xml:space="preserve"> Acad. Sci. U.S.A.</w:t>
      </w:r>
      <w:r>
        <w:rPr>
          <w:color w:val="000000" w:themeColor="text1"/>
          <w:sz w:val="20"/>
          <w:szCs w:val="20"/>
        </w:rPr>
        <w:t xml:space="preserve"> 16385 (2004).</w:t>
      </w:r>
    </w:p>
  </w:footnote>
  <w:footnote w:id="607">
    <w:p w14:paraId="09AA5BEF" w14:textId="77777777" w:rsidR="008E5B61" w:rsidRPr="005B3E31" w:rsidRDefault="008E5B61" w:rsidP="003D74D8">
      <w:pPr>
        <w:spacing w:line="480" w:lineRule="auto"/>
        <w:ind w:left="10" w:hanging="10"/>
        <w:rPr>
          <w:i/>
          <w:iC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103–19; </w:t>
      </w:r>
      <w:r>
        <w:rPr>
          <w:smallCaps/>
          <w:color w:val="000000" w:themeColor="text1"/>
          <w:sz w:val="20"/>
          <w:szCs w:val="20"/>
        </w:rPr>
        <w:t>Scott E. Page, The Diversity Bonus: How Great Teams Pay Off in the Knowledge Economy</w:t>
      </w:r>
      <w:r>
        <w:rPr>
          <w:color w:val="000000" w:themeColor="text1"/>
          <w:sz w:val="20"/>
          <w:szCs w:val="20"/>
        </w:rPr>
        <w:t xml:space="preserve"> 167–71 (Princeton Univ. Press 2017); Eric </w:t>
      </w:r>
      <w:r>
        <w:rPr>
          <w:color w:val="000000" w:themeColor="text1"/>
          <w:sz w:val="20"/>
          <w:szCs w:val="20"/>
          <w:lang w:bidi="en-US"/>
        </w:rPr>
        <w:t>Kearney et al.</w:t>
      </w:r>
      <w:r>
        <w:rPr>
          <w:i/>
          <w:iCs/>
          <w:color w:val="000000" w:themeColor="text1"/>
          <w:sz w:val="20"/>
          <w:szCs w:val="20"/>
        </w:rPr>
        <w:t xml:space="preserve">, When </w:t>
      </w:r>
      <w:proofErr w:type="gramStart"/>
      <w:r>
        <w:rPr>
          <w:i/>
          <w:iCs/>
          <w:color w:val="000000" w:themeColor="text1"/>
          <w:sz w:val="20"/>
          <w:szCs w:val="20"/>
        </w:rPr>
        <w:t>And</w:t>
      </w:r>
      <w:proofErr w:type="gramEnd"/>
      <w:r>
        <w:rPr>
          <w:i/>
          <w:iCs/>
          <w:color w:val="000000" w:themeColor="text1"/>
          <w:sz w:val="20"/>
          <w:szCs w:val="20"/>
        </w:rPr>
        <w:t xml:space="preserve"> How Diversity Benefits Teams: The Importance Of Team Members’ Need For Cognition</w:t>
      </w:r>
      <w:r>
        <w:rPr>
          <w:color w:val="000000" w:themeColor="text1"/>
          <w:sz w:val="20"/>
          <w:szCs w:val="20"/>
        </w:rPr>
        <w:t xml:space="preserve">, 52 </w:t>
      </w:r>
      <w:r>
        <w:rPr>
          <w:smallCaps/>
          <w:color w:val="000000" w:themeColor="text1"/>
          <w:sz w:val="20"/>
          <w:szCs w:val="20"/>
          <w:lang w:bidi="en-US"/>
        </w:rPr>
        <w:t>Acad. Mgmt. J</w:t>
      </w:r>
      <w:r>
        <w:rPr>
          <w:color w:val="000000" w:themeColor="text1"/>
          <w:sz w:val="20"/>
          <w:szCs w:val="20"/>
          <w:lang w:bidi="en-US"/>
        </w:rPr>
        <w:t xml:space="preserve">. 581, 596 (2009). </w:t>
      </w:r>
    </w:p>
  </w:footnote>
  <w:footnote w:id="608">
    <w:p w14:paraId="67959EE9" w14:textId="77777777" w:rsidR="008E5B61" w:rsidRPr="005B3E31" w:rsidRDefault="008E5B61" w:rsidP="003D74D8">
      <w:pPr>
        <w:pStyle w:val="FootnoteText"/>
        <w:spacing w:line="480" w:lineRule="auto"/>
      </w:pPr>
      <w:r>
        <w:rPr>
          <w:rStyle w:val="FootnoteReference"/>
        </w:rPr>
        <w:footnoteRef/>
      </w:r>
      <w:r>
        <w:t xml:space="preserve"> </w:t>
      </w:r>
      <w:proofErr w:type="spellStart"/>
      <w:r>
        <w:t>Charlan</w:t>
      </w:r>
      <w:proofErr w:type="spellEnd"/>
      <w:r>
        <w:t xml:space="preserve"> Nemeth, </w:t>
      </w:r>
      <w:r>
        <w:rPr>
          <w:i/>
          <w:iCs/>
        </w:rPr>
        <w:t>In Defense of Troublemakers: The Power of Dissent in</w:t>
      </w:r>
      <w:r>
        <w:t xml:space="preserve"> </w:t>
      </w:r>
      <w:r>
        <w:rPr>
          <w:i/>
          <w:iCs/>
        </w:rPr>
        <w:t>Life and Business</w:t>
      </w:r>
      <w:r>
        <w:t xml:space="preserve"> 169 (2018)</w:t>
      </w:r>
    </w:p>
  </w:footnote>
  <w:footnote w:id="609">
    <w:p w14:paraId="71FE4E99" w14:textId="77777777" w:rsidR="008E5B61" w:rsidRPr="005B3E31" w:rsidRDefault="008E5B6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 Stuart </w:t>
      </w:r>
      <w:proofErr w:type="spellStart"/>
      <w:r>
        <w:rPr>
          <w:color w:val="000000" w:themeColor="text1"/>
          <w:sz w:val="20"/>
          <w:szCs w:val="20"/>
        </w:rPr>
        <w:t>Bunderson</w:t>
      </w:r>
      <w:proofErr w:type="spellEnd"/>
      <w:r>
        <w:rPr>
          <w:color w:val="000000" w:themeColor="text1"/>
          <w:sz w:val="20"/>
          <w:szCs w:val="20"/>
        </w:rPr>
        <w:t xml:space="preserve"> &amp; Kathleen M. Sutcliffe, </w:t>
      </w:r>
      <w:r>
        <w:rPr>
          <w:i/>
          <w:iCs/>
          <w:color w:val="000000" w:themeColor="text1"/>
          <w:sz w:val="20"/>
          <w:szCs w:val="20"/>
        </w:rPr>
        <w:t>Comparing Alternative Conceptualizations of Functional Diversity in Management Teams: Process and Performance Effects</w:t>
      </w:r>
      <w:r>
        <w:rPr>
          <w:color w:val="000000" w:themeColor="text1"/>
          <w:sz w:val="20"/>
          <w:szCs w:val="20"/>
        </w:rPr>
        <w:t xml:space="preserve">, 45 </w:t>
      </w:r>
      <w:r>
        <w:rPr>
          <w:smallCaps/>
          <w:color w:val="000000" w:themeColor="text1"/>
          <w:sz w:val="20"/>
          <w:szCs w:val="20"/>
        </w:rPr>
        <w:t>Acad. Mgmt. J</w:t>
      </w:r>
      <w:r>
        <w:rPr>
          <w:color w:val="000000" w:themeColor="text1"/>
          <w:sz w:val="20"/>
          <w:szCs w:val="20"/>
        </w:rPr>
        <w:t>. 875, 875–81 (2002).</w:t>
      </w:r>
    </w:p>
  </w:footnote>
  <w:footnote w:id="610">
    <w:p w14:paraId="441A2A62" w14:textId="77777777"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Charlan</w:t>
      </w:r>
      <w:proofErr w:type="spellEnd"/>
      <w:r>
        <w:rPr>
          <w:color w:val="000000" w:themeColor="text1"/>
          <w:sz w:val="20"/>
          <w:szCs w:val="20"/>
        </w:rPr>
        <w:t xml:space="preserve"> Jeanne Nemeth, </w:t>
      </w:r>
      <w:r>
        <w:rPr>
          <w:i/>
          <w:iCs/>
          <w:color w:val="000000" w:themeColor="text1"/>
          <w:sz w:val="20"/>
          <w:szCs w:val="20"/>
        </w:rPr>
        <w:t>Minority Influence Theory</w:t>
      </w:r>
      <w:r>
        <w:rPr>
          <w:color w:val="000000" w:themeColor="text1"/>
          <w:sz w:val="20"/>
          <w:szCs w:val="20"/>
        </w:rPr>
        <w:t xml:space="preserve">, </w:t>
      </w:r>
      <w:r>
        <w:rPr>
          <w:i/>
          <w:iCs/>
          <w:color w:val="000000" w:themeColor="text1"/>
          <w:sz w:val="20"/>
          <w:szCs w:val="20"/>
        </w:rPr>
        <w:t>in</w:t>
      </w:r>
      <w:r>
        <w:rPr>
          <w:color w:val="000000" w:themeColor="text1"/>
          <w:sz w:val="20"/>
          <w:szCs w:val="20"/>
        </w:rPr>
        <w:t xml:space="preserve"> </w:t>
      </w:r>
      <w:r>
        <w:rPr>
          <w:smallCaps/>
          <w:color w:val="000000" w:themeColor="text1"/>
          <w:sz w:val="20"/>
          <w:szCs w:val="20"/>
        </w:rPr>
        <w:t>Handbook of Theories of Social Psychology</w:t>
      </w:r>
      <w:r>
        <w:rPr>
          <w:color w:val="000000" w:themeColor="text1"/>
          <w:sz w:val="20"/>
          <w:szCs w:val="20"/>
        </w:rPr>
        <w:t xml:space="preserve"> (P. Van Lange, A. </w:t>
      </w:r>
      <w:proofErr w:type="spellStart"/>
      <w:r>
        <w:rPr>
          <w:color w:val="000000" w:themeColor="text1"/>
          <w:sz w:val="20"/>
          <w:szCs w:val="20"/>
        </w:rPr>
        <w:t>Kruglanski</w:t>
      </w:r>
      <w:proofErr w:type="spellEnd"/>
      <w:r>
        <w:rPr>
          <w:color w:val="000000" w:themeColor="text1"/>
          <w:sz w:val="20"/>
          <w:szCs w:val="20"/>
        </w:rPr>
        <w:t xml:space="preserve"> &amp; T. Higgins eds., 2012); </w:t>
      </w:r>
      <w:r>
        <w:rPr>
          <w:smallCaps/>
          <w:color w:val="000000" w:themeColor="text1"/>
          <w:sz w:val="20"/>
          <w:szCs w:val="20"/>
        </w:rPr>
        <w:t>Randall Kiser, How Leading Lawyers Think: Expert Insights Into Judgment and Advocacy</w:t>
      </w:r>
      <w:r>
        <w:rPr>
          <w:color w:val="000000" w:themeColor="text1"/>
          <w:sz w:val="20"/>
          <w:szCs w:val="20"/>
        </w:rPr>
        <w:t xml:space="preserve"> 250–51 (Springer 2011) (If you’re in a firm where they only hire all of their attorneys from Yale or Pepperdine or USC – like so many firms do – you’re practicing with a narrow band of backgrounds and approaches to life.”)</w:t>
      </w:r>
    </w:p>
  </w:footnote>
  <w:footnote w:id="611">
    <w:p w14:paraId="3AD8D389" w14:textId="77777777" w:rsidR="00A30EBC" w:rsidRPr="005B3E31" w:rsidRDefault="00A30EBC"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251 (2011).</w:t>
      </w:r>
    </w:p>
  </w:footnote>
  <w:footnote w:id="612">
    <w:p w14:paraId="2B37F1C2" w14:textId="77777777" w:rsidR="00A30EBC" w:rsidRPr="005B3E31" w:rsidRDefault="00A30E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Paul’t</w:t>
      </w:r>
      <w:proofErr w:type="spellEnd"/>
      <w:r>
        <w:rPr>
          <w:color w:val="000000" w:themeColor="text1"/>
        </w:rPr>
        <w:t xml:space="preserve"> Hart, </w:t>
      </w:r>
      <w:r>
        <w:rPr>
          <w:i/>
          <w:iCs/>
          <w:color w:val="000000" w:themeColor="text1"/>
        </w:rPr>
        <w:t>supra</w:t>
      </w:r>
      <w:r>
        <w:rPr>
          <w:color w:val="000000" w:themeColor="text1"/>
        </w:rPr>
        <w:t xml:space="preserve"> note 168, at 257–58.</w:t>
      </w:r>
    </w:p>
  </w:footnote>
  <w:footnote w:id="613">
    <w:p w14:paraId="1C4261CA" w14:textId="77777777" w:rsidR="001B249F" w:rsidRPr="005B3E31" w:rsidRDefault="001B249F" w:rsidP="003D74D8">
      <w:pPr>
        <w:pStyle w:val="FootnoteText"/>
        <w:spacing w:line="480" w:lineRule="auto"/>
      </w:pPr>
      <w:r>
        <w:rPr>
          <w:rStyle w:val="FootnoteReference"/>
        </w:rPr>
        <w:footnoteRef/>
      </w:r>
      <w:r>
        <w:t xml:space="preserve"> Cass R. Sunstein, </w:t>
      </w:r>
      <w:r>
        <w:rPr>
          <w:i/>
          <w:iCs/>
        </w:rPr>
        <w:t>Conformity and Dissent</w:t>
      </w:r>
      <w:r>
        <w:t xml:space="preserve"> 7 (Univ. of Chi. Pub. L. &amp; Legal Theory, Working Paper No. 34, 2002).</w:t>
      </w:r>
    </w:p>
  </w:footnote>
  <w:footnote w:id="614">
    <w:p w14:paraId="39AE52B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Lawrence M. Friedman, </w:t>
      </w:r>
      <w:r>
        <w:rPr>
          <w:i/>
          <w:iCs/>
          <w:smallCaps/>
          <w:color w:val="000000" w:themeColor="text1"/>
        </w:rPr>
        <w:t>A History of American Law</w:t>
      </w:r>
      <w:r>
        <w:rPr>
          <w:color w:val="000000" w:themeColor="text1"/>
          <w:lang w:bidi="en-US"/>
        </w:rPr>
        <w:t xml:space="preserve"> 179–86 </w:t>
      </w:r>
      <w:r>
        <w:rPr>
          <w:color w:val="000000" w:themeColor="text1"/>
        </w:rPr>
        <w:t>(1973).</w:t>
      </w:r>
    </w:p>
  </w:footnote>
  <w:footnote w:id="615">
    <w:p w14:paraId="6FA7B8CD" w14:textId="77777777" w:rsidR="00011299" w:rsidRPr="005B3E31" w:rsidRDefault="000112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Alfred F. Young, </w:t>
      </w:r>
      <w:r>
        <w:rPr>
          <w:i/>
          <w:iCs/>
          <w:color w:val="000000" w:themeColor="text1"/>
        </w:rPr>
        <w:t>Conservatives, the Constitution, and the “Genius of the People”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How Democratic Is the Constitution?</w:t>
      </w:r>
      <w:r>
        <w:rPr>
          <w:color w:val="000000" w:themeColor="text1"/>
        </w:rPr>
        <w:t xml:space="preserve"> 184, 199–200 (Robert A. Goldwin &amp; William A. </w:t>
      </w:r>
      <w:proofErr w:type="spellStart"/>
      <w:r>
        <w:rPr>
          <w:color w:val="000000" w:themeColor="text1"/>
        </w:rPr>
        <w:t>Schambra</w:t>
      </w:r>
      <w:proofErr w:type="spellEnd"/>
      <w:r>
        <w:rPr>
          <w:color w:val="000000" w:themeColor="text1"/>
        </w:rPr>
        <w:t xml:space="preserve"> eds., 1980)</w:t>
      </w:r>
    </w:p>
  </w:footnote>
  <w:footnote w:id="616">
    <w:p w14:paraId="1069828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Jon </w:t>
      </w:r>
      <w:proofErr w:type="spellStart"/>
      <w:r>
        <w:rPr>
          <w:smallCaps/>
          <w:color w:val="000000" w:themeColor="text1"/>
        </w:rPr>
        <w:t>Elster</w:t>
      </w:r>
      <w:proofErr w:type="spellEnd"/>
      <w:r>
        <w:rPr>
          <w:smallCaps/>
          <w:color w:val="000000" w:themeColor="text1"/>
        </w:rPr>
        <w:t>, Securities Against Misrule: Juries, Assemblies, Elections</w:t>
      </w:r>
      <w:r>
        <w:rPr>
          <w:color w:val="000000" w:themeColor="text1"/>
        </w:rPr>
        <w:t xml:space="preserve"> 167 (2013). </w:t>
      </w:r>
    </w:p>
  </w:footnote>
  <w:footnote w:id="617">
    <w:p w14:paraId="3AC0C6F6" w14:textId="77777777" w:rsidR="00D879FE" w:rsidRDefault="00000000">
      <w:pPr>
        <w:pStyle w:val="FootnoteText"/>
        <w:spacing w:line="480" w:lineRule="auto"/>
      </w:pPr>
      <w:r>
        <w:rPr>
          <w:rStyle w:val="FootnoteReference"/>
        </w:rPr>
        <w:footnoteRef/>
      </w:r>
      <w:r>
        <w:t xml:space="preserve"> 1 </w:t>
      </w:r>
      <w:r>
        <w:rPr>
          <w:smallCaps/>
        </w:rPr>
        <w:t>Joseph Story, Commentaries on the Constitution of the United States</w:t>
      </w:r>
      <w:r>
        <w:t xml:space="preserve"> § 398 (1833).</w:t>
      </w:r>
    </w:p>
  </w:footnote>
  <w:footnote w:id="618">
    <w:p w14:paraId="109DB060" w14:textId="77777777" w:rsidR="00D879FE" w:rsidRDefault="00000000">
      <w:pPr>
        <w:pStyle w:val="FootnoteText"/>
        <w:spacing w:line="480" w:lineRule="auto"/>
      </w:pPr>
      <w:r>
        <w:rPr>
          <w:rStyle w:val="FootnoteReference"/>
        </w:rPr>
        <w:footnoteRef/>
      </w:r>
      <w:r>
        <w:t xml:space="preserve"> Saul Cornell, </w:t>
      </w:r>
      <w:r>
        <w:rPr>
          <w:i/>
        </w:rPr>
        <w:t>Learning to Read Like an Eighteenth-Century Lawyer</w:t>
      </w:r>
      <w:r>
        <w:t xml:space="preserve">, 33 </w:t>
      </w:r>
      <w:r>
        <w:rPr>
          <w:smallCaps/>
        </w:rPr>
        <w:t xml:space="preserve">Wm. &amp; Mary Bill </w:t>
      </w:r>
      <w:proofErr w:type="spellStart"/>
      <w:r>
        <w:rPr>
          <w:smallCaps/>
        </w:rPr>
        <w:t>Rts</w:t>
      </w:r>
      <w:proofErr w:type="spellEnd"/>
      <w:r>
        <w:rPr>
          <w:smallCaps/>
        </w:rPr>
        <w:t>. J.</w:t>
      </w:r>
      <w:r>
        <w:t xml:space="preserve"> 439, 456–57 (2024); </w:t>
      </w:r>
      <w:r>
        <w:rPr>
          <w:i/>
        </w:rPr>
        <w:t>see also</w:t>
      </w:r>
      <w:r>
        <w:t xml:space="preserve"> </w:t>
      </w:r>
      <w:r>
        <w:rPr>
          <w:smallCaps/>
        </w:rPr>
        <w:t>Jonathan Gienapp, The Second Creation: Fixing the American Constitution in the Founding Era</w:t>
      </w:r>
      <w:r>
        <w:t xml:space="preserve"> 115, 123 (2018).</w:t>
      </w:r>
    </w:p>
  </w:footnote>
  <w:footnote w:id="619">
    <w:p w14:paraId="0C8400A9" w14:textId="77777777" w:rsidR="00926E86" w:rsidRPr="005B3E31" w:rsidRDefault="00926E86" w:rsidP="003D74D8">
      <w:pPr>
        <w:pStyle w:val="FootnoteText"/>
        <w:spacing w:line="480" w:lineRule="auto"/>
      </w:pPr>
      <w:r>
        <w:rPr>
          <w:rStyle w:val="FootnoteReference"/>
        </w:rPr>
        <w:footnoteRef/>
      </w:r>
      <w:r>
        <w:t xml:space="preserve"> </w:t>
      </w:r>
      <w:r>
        <w:rPr>
          <w:smallCaps/>
        </w:rPr>
        <w:t xml:space="preserve">Patrick J. McKenna &amp; David H. </w:t>
      </w:r>
      <w:proofErr w:type="spellStart"/>
      <w:r>
        <w:rPr>
          <w:smallCaps/>
        </w:rPr>
        <w:t>Maister</w:t>
      </w:r>
      <w:proofErr w:type="spellEnd"/>
      <w:r>
        <w:rPr>
          <w:smallCaps/>
        </w:rPr>
        <w:t>, Coaching the Team: Building Trust and Performance</w:t>
      </w:r>
      <w:r>
        <w:t xml:space="preserve"> 172–73 (2002).</w:t>
      </w:r>
    </w:p>
  </w:footnote>
  <w:footnote w:id="620">
    <w:p w14:paraId="3F1A0632" w14:textId="77777777" w:rsidR="00BF64C5" w:rsidRPr="005B3E31" w:rsidRDefault="00BF64C5" w:rsidP="003D74D8">
      <w:pPr>
        <w:pStyle w:val="FootnoteText"/>
        <w:spacing w:line="480" w:lineRule="auto"/>
      </w:pPr>
      <w:r>
        <w:rPr>
          <w:rStyle w:val="FootnoteReference"/>
        </w:rPr>
        <w:footnoteRef/>
      </w:r>
      <w:r>
        <w:rPr>
          <w:i/>
          <w:iCs/>
        </w:rPr>
        <w:t xml:space="preserve"> Id. </w:t>
      </w:r>
    </w:p>
  </w:footnote>
  <w:footnote w:id="621">
    <w:p w14:paraId="646C8BD8" w14:textId="77777777" w:rsidR="00926E86" w:rsidRPr="005B3E31" w:rsidRDefault="00926E86" w:rsidP="003D74D8">
      <w:pPr>
        <w:pStyle w:val="FootnoteText"/>
        <w:spacing w:line="480" w:lineRule="auto"/>
      </w:pPr>
      <w:r>
        <w:rPr>
          <w:rStyle w:val="FootnoteReference"/>
        </w:rPr>
        <w:footnoteRef/>
      </w:r>
      <w:r>
        <w:t xml:space="preserve"> Heidi K. Brown, *Fear and Lawyering: Create a Work Culture of 'Psychological Safety’ that Encourages Taking Intellectual and Creative Risks*, A.B.A. J. (May 1, 2019).</w:t>
      </w:r>
    </w:p>
  </w:footnote>
  <w:footnote w:id="622">
    <w:p w14:paraId="333DDBF3"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Elizabeth W. Morrison, </w:t>
      </w:r>
      <w:r>
        <w:rPr>
          <w:i/>
          <w:iCs/>
          <w:color w:val="000000" w:themeColor="text1"/>
        </w:rPr>
        <w:t>Employee Voice and Silence</w:t>
      </w:r>
      <w:r>
        <w:rPr>
          <w:color w:val="000000" w:themeColor="text1"/>
        </w:rPr>
        <w:t xml:space="preserve">, 1 </w:t>
      </w:r>
      <w:r>
        <w:rPr>
          <w:smallCaps/>
          <w:color w:val="000000" w:themeColor="text1"/>
        </w:rPr>
        <w:t xml:space="preserve">Ann. Rev. Organizational Psych. &amp; Organizational </w:t>
      </w:r>
      <w:proofErr w:type="spellStart"/>
      <w:r>
        <w:rPr>
          <w:smallCaps/>
          <w:color w:val="000000" w:themeColor="text1"/>
        </w:rPr>
        <w:t>Behav</w:t>
      </w:r>
      <w:proofErr w:type="spellEnd"/>
      <w:r>
        <w:rPr>
          <w:color w:val="000000" w:themeColor="text1"/>
        </w:rPr>
        <w:t xml:space="preserve">. 173, 181 (2014); </w:t>
      </w:r>
      <w:r>
        <w:rPr>
          <w:i/>
          <w:iCs/>
          <w:color w:val="000000" w:themeColor="text1"/>
        </w:rPr>
        <w:t>see also</w:t>
      </w:r>
      <w:r>
        <w:rPr>
          <w:color w:val="000000" w:themeColor="text1"/>
        </w:rPr>
        <w:t xml:space="preserve"> Neil Hamilton &amp; Verna Monson, </w:t>
      </w:r>
      <w:r>
        <w:rPr>
          <w:i/>
          <w:iCs/>
          <w:color w:val="000000" w:themeColor="text1"/>
        </w:rPr>
        <w:t>The Positive Empirical Relationship of Professionalism to Effectiveness in the Practice of Law</w:t>
      </w:r>
      <w:r>
        <w:rPr>
          <w:color w:val="000000" w:themeColor="text1"/>
        </w:rPr>
        <w:t xml:space="preserve">, 24 </w:t>
      </w:r>
      <w:r>
        <w:rPr>
          <w:smallCaps/>
          <w:color w:val="000000" w:themeColor="text1"/>
        </w:rPr>
        <w:t>Geo. J. Legal Ethics</w:t>
      </w:r>
      <w:r>
        <w:rPr>
          <w:color w:val="000000" w:themeColor="text1"/>
        </w:rPr>
        <w:t xml:space="preserve"> 137, 182 (2011) (“underlying factors associated with organizational silence, </w:t>
      </w:r>
      <w:proofErr w:type="spellStart"/>
      <w:r>
        <w:rPr>
          <w:color w:val="000000" w:themeColor="text1"/>
        </w:rPr>
        <w:t>includ</w:t>
      </w:r>
      <w:proofErr w:type="spellEnd"/>
      <w:r>
        <w:rPr>
          <w:color w:val="000000" w:themeColor="text1"/>
        </w:rPr>
        <w:t>[e] (1) managers' unwillingness to take negative feedback, (2) implicit beliefs that subordinates are 'self-interested and untrustworthy,' and (3) a belief that the absence of dissenting views signifies real consensus and is a sign of organizational health”).</w:t>
      </w:r>
    </w:p>
  </w:footnote>
  <w:footnote w:id="623">
    <w:p w14:paraId="672BC421" w14:textId="77777777" w:rsidR="00926E86" w:rsidRPr="005B3E31" w:rsidRDefault="00926E86" w:rsidP="003D74D8">
      <w:pPr>
        <w:pStyle w:val="FootnoteText"/>
        <w:spacing w:line="480" w:lineRule="auto"/>
      </w:pPr>
      <w:r>
        <w:rPr>
          <w:rStyle w:val="FootnoteReference"/>
        </w:rPr>
        <w:footnoteRef/>
      </w:r>
      <w:r>
        <w:t xml:space="preserve"> Steven J. Harper, The Lawyer Bubble: A Profession in Crisis (2013) (quoting a partner, on his firm’s vote over a merger, that “If you voted against the transaction, it would be career suicide”).</w:t>
      </w:r>
    </w:p>
  </w:footnote>
  <w:footnote w:id="624">
    <w:p w14:paraId="15101170" w14:textId="77777777" w:rsidR="00926E86" w:rsidRPr="005B3E31" w:rsidRDefault="00926E86" w:rsidP="003D74D8">
      <w:pPr>
        <w:pStyle w:val="FootnoteText"/>
        <w:spacing w:line="480" w:lineRule="auto"/>
      </w:pPr>
      <w:r>
        <w:rPr>
          <w:rStyle w:val="FootnoteReference"/>
        </w:rPr>
        <w:footnoteRef/>
      </w:r>
      <w:r>
        <w:t xml:space="preserve">Robin V. Spivey, </w:t>
      </w:r>
      <w:r>
        <w:rPr>
          <w:i/>
          <w:iCs/>
        </w:rPr>
        <w:t>The Devil is in the Details: The Legal Profession as a Model for Authentic Dissent</w:t>
      </w:r>
      <w:r>
        <w:t xml:space="preserve">, 22 </w:t>
      </w:r>
      <w:r>
        <w:rPr>
          <w:smallCaps/>
        </w:rPr>
        <w:t xml:space="preserve">Int’l J. Intelligence &amp; </w:t>
      </w:r>
      <w:proofErr w:type="spellStart"/>
      <w:r>
        <w:rPr>
          <w:smallCaps/>
        </w:rPr>
        <w:t>CounterIntelligence</w:t>
      </w:r>
      <w:proofErr w:type="spellEnd"/>
      <w:r>
        <w:t xml:space="preserve"> 632, 639 (2009).</w:t>
      </w:r>
    </w:p>
  </w:footnote>
  <w:footnote w:id="625">
    <w:p w14:paraId="2479BB4C"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R. </w:t>
      </w:r>
      <w:proofErr w:type="spellStart"/>
      <w:r>
        <w:rPr>
          <w:color w:val="000000" w:themeColor="text1"/>
        </w:rPr>
        <w:t>Detert</w:t>
      </w:r>
      <w:proofErr w:type="spellEnd"/>
      <w:r>
        <w:rPr>
          <w:color w:val="000000" w:themeColor="text1"/>
        </w:rPr>
        <w:t xml:space="preserve"> &amp; Amy C. Edmondson, </w:t>
      </w:r>
      <w:r>
        <w:rPr>
          <w:i/>
          <w:iCs/>
          <w:color w:val="000000" w:themeColor="text1"/>
        </w:rPr>
        <w:t>Implicit Voice Theories: Taken-for-Granted Rules of Self-Censorship at Work</w:t>
      </w:r>
      <w:r>
        <w:rPr>
          <w:color w:val="000000" w:themeColor="text1"/>
        </w:rPr>
        <w:t xml:space="preserve">, 54 </w:t>
      </w:r>
      <w:r>
        <w:rPr>
          <w:smallCaps/>
          <w:color w:val="000000" w:themeColor="text1"/>
        </w:rPr>
        <w:t>Acad. Mgmt. J.</w:t>
      </w:r>
      <w:r>
        <w:rPr>
          <w:color w:val="000000" w:themeColor="text1"/>
        </w:rPr>
        <w:t xml:space="preserve"> 461, 481–84 (2011).</w:t>
      </w:r>
    </w:p>
  </w:footnote>
  <w:footnote w:id="626">
    <w:p w14:paraId="6D1322A1" w14:textId="77777777" w:rsidR="003B04F8" w:rsidRPr="005B3E31" w:rsidRDefault="003B04F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_Ref222258968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w:t>
      </w:r>
      <w:r>
        <w:rPr>
          <w:color w:val="000000" w:themeColor="text1"/>
          <w:lang w:bidi="en-US"/>
        </w:rPr>
        <w:t>706–07.</w:t>
      </w:r>
    </w:p>
  </w:footnote>
  <w:footnote w:id="627">
    <w:p w14:paraId="12247A65" w14:textId="77777777" w:rsidR="006A51A8" w:rsidRPr="005B3E31" w:rsidRDefault="006A51A8"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38 (2014).</w:t>
      </w:r>
    </w:p>
  </w:footnote>
  <w:footnote w:id="628">
    <w:p w14:paraId="1C782A91" w14:textId="77777777" w:rsidR="00926E86" w:rsidRPr="005B3E31" w:rsidRDefault="00926E86" w:rsidP="003D74D8">
      <w:pPr>
        <w:pStyle w:val="FootnoteText"/>
        <w:spacing w:line="480" w:lineRule="auto"/>
      </w:pPr>
      <w:r>
        <w:rPr>
          <w:rStyle w:val="FootnoteReference"/>
        </w:rPr>
        <w:footnoteRef/>
      </w:r>
      <w:r>
        <w:t xml:space="preserve"> Heidi K. Brown, </w:t>
      </w:r>
      <w:r>
        <w:rPr>
          <w:i/>
          <w:iCs/>
        </w:rPr>
        <w:t xml:space="preserve">Untangling Fear in Lawyering: A Four-Step Journey </w:t>
      </w:r>
    </w:p>
    <w:p w14:paraId="4905C727" w14:textId="77777777" w:rsidR="00926E86" w:rsidRPr="005B3E31" w:rsidRDefault="00926E86" w:rsidP="003D74D8">
      <w:pPr>
        <w:pStyle w:val="FootnoteText"/>
        <w:spacing w:line="480" w:lineRule="auto"/>
      </w:pPr>
      <w:r>
        <w:rPr>
          <w:i/>
          <w:iCs/>
        </w:rPr>
        <w:t>Toward Powerful Advocacy</w:t>
      </w:r>
      <w:r>
        <w:t xml:space="preserve"> (2019) (quoting Gaston </w:t>
      </w:r>
      <w:proofErr w:type="spellStart"/>
      <w:r>
        <w:t>Kroub</w:t>
      </w:r>
      <w:proofErr w:type="spellEnd"/>
      <w:r>
        <w:t>)</w:t>
      </w:r>
    </w:p>
  </w:footnote>
  <w:footnote w:id="629">
    <w:p w14:paraId="7DB61222" w14:textId="77777777" w:rsidR="00926E86" w:rsidRPr="005B3E31" w:rsidRDefault="00926E86" w:rsidP="003D74D8">
      <w:pPr>
        <w:pStyle w:val="FootnoteText"/>
        <w:spacing w:line="480" w:lineRule="auto"/>
      </w:pPr>
      <w:r>
        <w:rPr>
          <w:rStyle w:val="FootnoteReference"/>
        </w:rPr>
        <w:footnoteRef/>
      </w:r>
      <w:r>
        <w:t xml:space="preserve"> </w:t>
      </w:r>
      <w:proofErr w:type="spellStart"/>
      <w:r>
        <w:t>Charlan</w:t>
      </w:r>
      <w:proofErr w:type="spellEnd"/>
      <w:r>
        <w:t xml:space="preserve"> Nemeth, </w:t>
      </w:r>
      <w:r>
        <w:rPr>
          <w:i/>
          <w:iCs/>
        </w:rPr>
        <w:t>In Defense of Troublemakers: The Power of Dissent in</w:t>
      </w:r>
      <w:r>
        <w:t xml:space="preserve"> </w:t>
      </w:r>
      <w:r>
        <w:rPr>
          <w:i/>
          <w:iCs/>
        </w:rPr>
        <w:t>Life and Business</w:t>
      </w:r>
      <w:r>
        <w:t xml:space="preserve"> (2018).</w:t>
      </w:r>
    </w:p>
  </w:footnote>
  <w:footnote w:id="630">
    <w:p w14:paraId="4CE2A2EE"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5, 21; </w:t>
      </w:r>
      <w:r>
        <w:rPr>
          <w:smallCaps/>
          <w:color w:val="000000" w:themeColor="text1"/>
        </w:rPr>
        <w:t xml:space="preserve">Jeffrey W. </w:t>
      </w:r>
      <w:proofErr w:type="spellStart"/>
      <w:r>
        <w:rPr>
          <w:smallCaps/>
          <w:color w:val="000000" w:themeColor="text1"/>
        </w:rPr>
        <w:t>Kassing</w:t>
      </w:r>
      <w:proofErr w:type="spellEnd"/>
      <w:r>
        <w:rPr>
          <w:smallCaps/>
          <w:color w:val="000000" w:themeColor="text1"/>
        </w:rPr>
        <w:t>, Dissent in Organizations</w:t>
      </w:r>
      <w:r>
        <w:rPr>
          <w:i/>
          <w:iCs/>
          <w:color w:val="000000" w:themeColor="text1"/>
        </w:rPr>
        <w:t xml:space="preserve"> </w:t>
      </w:r>
      <w:r>
        <w:rPr>
          <w:color w:val="000000" w:themeColor="text1"/>
        </w:rPr>
        <w:t xml:space="preserve">87–102 (2011); </w:t>
      </w:r>
      <w:r>
        <w:rPr>
          <w:i/>
          <w:iCs/>
          <w:color w:val="000000" w:themeColor="text1"/>
        </w:rPr>
        <w:t>see also</w:t>
      </w:r>
      <w:r>
        <w:rPr>
          <w:color w:val="000000" w:themeColor="text1"/>
        </w:rPr>
        <w:t xml:space="preserve"> </w:t>
      </w:r>
      <w:r>
        <w:rPr>
          <w:smallCaps/>
          <w:color w:val="000000" w:themeColor="text1"/>
        </w:rPr>
        <w:t>Elisabeth Noelle-Neumann, The Spiral of Silence: Public Opinion — Our Social Skin</w:t>
      </w:r>
      <w:r>
        <w:rPr>
          <w:color w:val="000000" w:themeColor="text1"/>
        </w:rPr>
        <w:t xml:space="preserve"> 6–7 (1984).</w:t>
      </w:r>
    </w:p>
  </w:footnote>
  <w:footnote w:id="631">
    <w:p w14:paraId="2D91529D"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Cass R. Sunstein &amp; Reid Hastie, Wiser: Getting Beyond Groupthink to Make Groups Smarter</w:t>
      </w:r>
      <w:r>
        <w:rPr>
          <w:color w:val="000000" w:themeColor="text1"/>
          <w:sz w:val="20"/>
          <w:szCs w:val="20"/>
        </w:rPr>
        <w:t xml:space="preserve"> 107–09 (2014).</w:t>
      </w:r>
    </w:p>
  </w:footnote>
  <w:footnote w:id="632">
    <w:p w14:paraId="3B1B15D2"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Morrison &amp; Milliken,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_Ref222258968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80</w:t>
      </w:r>
      <w:r>
        <w:rPr>
          <w:color w:val="000000" w:themeColor="text1"/>
          <w:sz w:val="20"/>
          <w:szCs w:val="20"/>
        </w:rPr>
        <w:fldChar w:fldCharType="end"/>
      </w:r>
      <w:r>
        <w:rPr>
          <w:color w:val="000000" w:themeColor="text1"/>
          <w:sz w:val="20"/>
          <w:szCs w:val="20"/>
        </w:rPr>
        <w:t>, at 708, 716.</w:t>
      </w:r>
    </w:p>
  </w:footnote>
  <w:footnote w:id="633">
    <w:p w14:paraId="1920E964" w14:textId="77777777"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Stefan Schulz-Hardt et al., </w:t>
      </w:r>
      <w:r>
        <w:rPr>
          <w:i/>
          <w:iCs/>
          <w:color w:val="000000" w:themeColor="text1"/>
          <w:sz w:val="20"/>
          <w:szCs w:val="20"/>
        </w:rPr>
        <w:t>Group Decision Making in Hidden Profile Situations</w:t>
      </w:r>
      <w:r>
        <w:rPr>
          <w:color w:val="000000" w:themeColor="text1"/>
          <w:sz w:val="20"/>
          <w:szCs w:val="20"/>
        </w:rPr>
        <w:t xml:space="preserve">, 91 </w:t>
      </w:r>
      <w:r>
        <w:rPr>
          <w:smallCaps/>
          <w:color w:val="000000" w:themeColor="text1"/>
          <w:sz w:val="20"/>
          <w:szCs w:val="20"/>
        </w:rPr>
        <w:t>J. Personality &amp; Soc. Psych</w:t>
      </w:r>
      <w:r>
        <w:rPr>
          <w:color w:val="000000" w:themeColor="text1"/>
          <w:sz w:val="20"/>
          <w:szCs w:val="20"/>
        </w:rPr>
        <w:t xml:space="preserve">. 1080, 1082 (2006); </w:t>
      </w:r>
      <w:r>
        <w:rPr>
          <w:i/>
          <w:iCs/>
          <w:color w:val="000000" w:themeColor="text1"/>
          <w:sz w:val="20"/>
          <w:szCs w:val="20"/>
        </w:rPr>
        <w:t>see also</w:t>
      </w:r>
      <w:r>
        <w:rPr>
          <w:color w:val="000000" w:themeColor="text1"/>
          <w:sz w:val="20"/>
          <w:szCs w:val="20"/>
        </w:rPr>
        <w:t xml:space="preserve"> </w:t>
      </w:r>
      <w:proofErr w:type="spellStart"/>
      <w:r>
        <w:rPr>
          <w:color w:val="000000" w:themeColor="text1"/>
          <w:sz w:val="20"/>
          <w:szCs w:val="20"/>
        </w:rPr>
        <w:t>Wittenbam</w:t>
      </w:r>
      <w:proofErr w:type="spellEnd"/>
      <w:r>
        <w:rPr>
          <w:color w:val="000000" w:themeColor="text1"/>
          <w:sz w:val="20"/>
          <w:szCs w:val="20"/>
        </w:rPr>
        <w:t xml:space="preserve"> et al., </w:t>
      </w:r>
      <w:r>
        <w:rPr>
          <w:i/>
          <w:iCs/>
          <w:color w:val="000000" w:themeColor="text1"/>
          <w:sz w:val="20"/>
          <w:szCs w:val="20"/>
          <w:lang w:bidi="en-US"/>
        </w:rPr>
        <w:t>From Cooperative to Motivated Information Sharing in Groups: Moving Beyond the Hidden Profile Paradigm</w:t>
      </w:r>
      <w:r>
        <w:rPr>
          <w:color w:val="000000" w:themeColor="text1"/>
          <w:sz w:val="20"/>
          <w:szCs w:val="20"/>
        </w:rPr>
        <w:t xml:space="preserve">, 71 </w:t>
      </w:r>
      <w:r>
        <w:rPr>
          <w:smallCaps/>
          <w:color w:val="000000" w:themeColor="text1"/>
          <w:sz w:val="20"/>
          <w:szCs w:val="20"/>
        </w:rPr>
        <w:t xml:space="preserve">Commc’n </w:t>
      </w:r>
      <w:r>
        <w:rPr>
          <w:smallCaps/>
          <w:color w:val="000000" w:themeColor="text1"/>
          <w:sz w:val="20"/>
          <w:szCs w:val="20"/>
          <w:lang w:bidi="en-US"/>
        </w:rPr>
        <w:t>Monographs</w:t>
      </w:r>
      <w:r>
        <w:rPr>
          <w:color w:val="000000" w:themeColor="text1"/>
          <w:sz w:val="20"/>
          <w:szCs w:val="20"/>
        </w:rPr>
        <w:t xml:space="preserve"> 286, 287 (2004); </w:t>
      </w:r>
      <w:r>
        <w:rPr>
          <w:i/>
          <w:iCs/>
          <w:color w:val="000000" w:themeColor="text1"/>
          <w:sz w:val="20"/>
          <w:szCs w:val="20"/>
        </w:rPr>
        <w:t>see also</w:t>
      </w:r>
      <w:r>
        <w:rPr>
          <w:color w:val="000000" w:themeColor="text1"/>
          <w:sz w:val="20"/>
          <w:szCs w:val="20"/>
        </w:rPr>
        <w:t xml:space="preserve"> </w:t>
      </w:r>
      <w:proofErr w:type="spellStart"/>
      <w:r>
        <w:rPr>
          <w:color w:val="000000" w:themeColor="text1"/>
          <w:sz w:val="20"/>
          <w:szCs w:val="20"/>
        </w:rPr>
        <w:t>Stasser</w:t>
      </w:r>
      <w:proofErr w:type="spellEnd"/>
      <w:r>
        <w:rPr>
          <w:color w:val="000000" w:themeColor="text1"/>
          <w:sz w:val="20"/>
          <w:szCs w:val="20"/>
        </w:rPr>
        <w:t xml:space="preserve"> &amp; Titus, </w:t>
      </w:r>
      <w:r>
        <w:rPr>
          <w:i/>
          <w:iCs/>
          <w:color w:val="000000" w:themeColor="text1"/>
          <w:sz w:val="20"/>
          <w:szCs w:val="20"/>
        </w:rPr>
        <w:t xml:space="preserve">infra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_Ref222258633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636</w:t>
      </w:r>
      <w:r>
        <w:rPr>
          <w:color w:val="000000" w:themeColor="text1"/>
          <w:sz w:val="20"/>
          <w:szCs w:val="20"/>
        </w:rPr>
        <w:fldChar w:fldCharType="end"/>
      </w:r>
      <w:r>
        <w:rPr>
          <w:color w:val="000000" w:themeColor="text1"/>
          <w:sz w:val="20"/>
          <w:szCs w:val="20"/>
        </w:rPr>
        <w:t>, at 1467.</w:t>
      </w:r>
    </w:p>
  </w:footnote>
  <w:footnote w:id="634">
    <w:p w14:paraId="1EA65B7A" w14:textId="77777777" w:rsidR="00926E86" w:rsidRPr="005B3E31" w:rsidRDefault="00926E86"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24 (2014).</w:t>
      </w:r>
    </w:p>
  </w:footnote>
  <w:footnote w:id="635">
    <w:p w14:paraId="6F1008FF" w14:textId="77777777"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Li Lu </w:t>
      </w:r>
      <w:r>
        <w:rPr>
          <w:color w:val="000000" w:themeColor="text1"/>
          <w:sz w:val="20"/>
          <w:szCs w:val="20"/>
        </w:rPr>
        <w:t xml:space="preserve">et al., </w:t>
      </w:r>
      <w:r>
        <w:rPr>
          <w:i/>
          <w:iCs/>
          <w:color w:val="000000" w:themeColor="text1"/>
          <w:sz w:val="20"/>
          <w:szCs w:val="20"/>
          <w:lang w:bidi="en-US"/>
        </w:rPr>
        <w:t>Twenty-Five Years of Hidden Profiles in Group Decision Making: A Meta-Analysis</w:t>
      </w:r>
      <w:r>
        <w:rPr>
          <w:color w:val="000000" w:themeColor="text1"/>
          <w:sz w:val="20"/>
          <w:szCs w:val="20"/>
        </w:rPr>
        <w:t xml:space="preserve">, 16 </w:t>
      </w:r>
      <w:r>
        <w:rPr>
          <w:smallCaps/>
          <w:color w:val="000000" w:themeColor="text1"/>
          <w:sz w:val="20"/>
          <w:szCs w:val="20"/>
          <w:lang w:bidi="en-US"/>
        </w:rPr>
        <w:t>Personality &amp; Soc. Psych. Rev</w:t>
      </w:r>
      <w:r>
        <w:rPr>
          <w:color w:val="000000" w:themeColor="text1"/>
          <w:sz w:val="20"/>
          <w:szCs w:val="20"/>
          <w:lang w:bidi="en-US"/>
        </w:rPr>
        <w:t>. 54, 60 (2012</w:t>
      </w:r>
      <w:r>
        <w:rPr>
          <w:color w:val="000000" w:themeColor="text1"/>
          <w:sz w:val="20"/>
          <w:szCs w:val="20"/>
        </w:rPr>
        <w:t>); Schulz-Hardt et al., supra note 609, at 1080.</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fldChar w:fldCharType="end"/>
      </w:r>
    </w:p>
  </w:footnote>
  <w:footnote w:id="636">
    <w:p w14:paraId="553608E2" w14:textId="77777777" w:rsidR="00926E86" w:rsidRPr="005B3E31" w:rsidRDefault="00926E86"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637">
    <w:p w14:paraId="14FFB5AC" w14:textId="77777777" w:rsidR="0089302D" w:rsidRPr="005B3E31" w:rsidRDefault="0089302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Richards J. Heuer Jr., Psychology of Intelligence Analysis</w:t>
      </w:r>
      <w:r>
        <w:rPr>
          <w:color w:val="000000" w:themeColor="text1"/>
        </w:rPr>
        <w:t xml:space="preserve"> 181 (1999); </w:t>
      </w:r>
      <w:r>
        <w:rPr>
          <w:smallCaps/>
          <w:color w:val="000000" w:themeColor="text1"/>
        </w:rPr>
        <w:t xml:space="preserve">Randolph H. </w:t>
      </w:r>
      <w:proofErr w:type="spellStart"/>
      <w:r>
        <w:rPr>
          <w:smallCaps/>
          <w:color w:val="000000" w:themeColor="text1"/>
        </w:rPr>
        <w:t>Pherson</w:t>
      </w:r>
      <w:proofErr w:type="spellEnd"/>
      <w:r>
        <w:rPr>
          <w:smallCaps/>
          <w:color w:val="000000" w:themeColor="text1"/>
        </w:rPr>
        <w:t xml:space="preserve"> &amp; Richards J. Heuer Jr., Structured Analytic Techniques for Intelligence Analysis (2d ed. 2014).</w:t>
      </w:r>
    </w:p>
  </w:footnote>
  <w:footnote w:id="638">
    <w:p w14:paraId="30E94CB8" w14:textId="77777777"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Detert</w:t>
      </w:r>
      <w:proofErr w:type="spellEnd"/>
      <w:r>
        <w:rPr>
          <w:color w:val="000000" w:themeColor="text1"/>
        </w:rPr>
        <w:t xml:space="preserve"> &amp; Edmondson, </w:t>
      </w:r>
      <w:r>
        <w:rPr>
          <w:i/>
          <w:iCs/>
          <w:color w:val="000000" w:themeColor="text1"/>
        </w:rPr>
        <w:t>supra</w:t>
      </w:r>
      <w:r>
        <w:rPr>
          <w:color w:val="000000" w:themeColor="text1"/>
        </w:rPr>
        <w:t xml:space="preserve"> note 601, at 484 (explaining that managers “do have discretion about whether to proactively manage them or to let them be silent killers of voice. Proactive management would involve acknowledging that people hold beliefs that foster silence, explicitly stating theories that contradict those beliefs, and continuously working to dispel them by modeling, inviting, and rewarding speaking up”); </w:t>
      </w:r>
      <w:r>
        <w:rPr>
          <w:i/>
          <w:iCs/>
          <w:color w:val="000000" w:themeColor="text1"/>
        </w:rPr>
        <w:t>see also</w:t>
      </w:r>
      <w:r>
        <w:rPr>
          <w:color w:val="000000" w:themeColor="text1"/>
        </w:rPr>
        <w:t xml:space="preserve"> Monica C. Higgins et al., </w:t>
      </w:r>
      <w:r>
        <w:rPr>
          <w:i/>
          <w:iCs/>
          <w:color w:val="000000" w:themeColor="text1"/>
        </w:rPr>
        <w:t>When Is Psychological Safety Helpful in Organizations? A Longitudinal Study</w:t>
      </w:r>
      <w:r>
        <w:rPr>
          <w:color w:val="000000" w:themeColor="text1"/>
        </w:rPr>
        <w:t xml:space="preserve">, 8 </w:t>
      </w:r>
      <w:r>
        <w:rPr>
          <w:smallCaps/>
          <w:color w:val="000000" w:themeColor="text1"/>
        </w:rPr>
        <w:t>Acad. Mgmt. Discoveries</w:t>
      </w:r>
      <w:r>
        <w:rPr>
          <w:color w:val="000000" w:themeColor="text1"/>
        </w:rPr>
        <w:t xml:space="preserve"> 77, 92–96 (2022).</w:t>
      </w:r>
    </w:p>
  </w:footnote>
  <w:footnote w:id="639">
    <w:p w14:paraId="01310265" w14:textId="77777777" w:rsidR="00117252" w:rsidRPr="005B3E31" w:rsidRDefault="00117252" w:rsidP="003D74D8">
      <w:pPr>
        <w:pStyle w:val="FootnoteText"/>
        <w:spacing w:line="480" w:lineRule="auto"/>
      </w:pPr>
      <w:r>
        <w:rPr>
          <w:rStyle w:val="FootnoteReference"/>
        </w:rPr>
        <w:footnoteRef/>
      </w:r>
      <w:r>
        <w:t xml:space="preserve"> Michael A. Roberto, </w:t>
      </w:r>
      <w:r>
        <w:rPr>
          <w:i/>
          <w:iCs/>
        </w:rPr>
        <w:t>Why Great Leaders Don’t Take Yes for an Answer:</w:t>
      </w:r>
      <w:r>
        <w:t xml:space="preserve"> </w:t>
      </w:r>
      <w:r>
        <w:rPr>
          <w:i/>
          <w:iCs/>
        </w:rPr>
        <w:t>Managing for Conflict and Consensus</w:t>
      </w:r>
      <w:r>
        <w:t xml:space="preserve"> 84 (2005).</w:t>
      </w:r>
    </w:p>
  </w:footnote>
  <w:footnote w:id="640">
    <w:p w14:paraId="50357E1C" w14:textId="77777777" w:rsidR="00816414" w:rsidRPr="005B3E31" w:rsidRDefault="00816414"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641">
    <w:p w14:paraId="2F33D277"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Fred O. Walumbwa &amp; John </w:t>
      </w:r>
      <w:proofErr w:type="spellStart"/>
      <w:r>
        <w:rPr>
          <w:color w:val="000000" w:themeColor="text1"/>
          <w:sz w:val="20"/>
          <w:szCs w:val="20"/>
          <w:lang w:bidi="en-US"/>
        </w:rPr>
        <w:t>Schaubroeck</w:t>
      </w:r>
      <w:proofErr w:type="spellEnd"/>
      <w:r>
        <w:rPr>
          <w:color w:val="000000" w:themeColor="text1"/>
          <w:sz w:val="20"/>
          <w:szCs w:val="20"/>
        </w:rPr>
        <w:t xml:space="preserve">, </w:t>
      </w:r>
      <w:r>
        <w:rPr>
          <w:i/>
          <w:iCs/>
          <w:color w:val="000000" w:themeColor="text1"/>
          <w:sz w:val="20"/>
          <w:szCs w:val="20"/>
          <w:lang w:bidi="en-US"/>
        </w:rPr>
        <w:t>Leader Personality Traits and Employee Voice Behavior: Mediating Roles of Ethical Leadership and Work Group Psychological Safety</w:t>
      </w:r>
      <w:r>
        <w:rPr>
          <w:color w:val="000000" w:themeColor="text1"/>
          <w:sz w:val="20"/>
          <w:szCs w:val="20"/>
        </w:rPr>
        <w:t xml:space="preserve">, 94 </w:t>
      </w:r>
      <w:r>
        <w:rPr>
          <w:smallCaps/>
          <w:color w:val="000000" w:themeColor="text1"/>
          <w:sz w:val="20"/>
          <w:szCs w:val="20"/>
          <w:lang w:bidi="en-US"/>
        </w:rPr>
        <w:t>J. Applied Psych</w:t>
      </w:r>
      <w:r>
        <w:rPr>
          <w:color w:val="000000" w:themeColor="text1"/>
          <w:sz w:val="20"/>
          <w:szCs w:val="20"/>
          <w:lang w:bidi="en-US"/>
        </w:rPr>
        <w:t xml:space="preserve">. 1275, 1276 (2009). </w:t>
      </w:r>
    </w:p>
  </w:footnote>
  <w:footnote w:id="642">
    <w:p w14:paraId="721DD972"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2–6; </w:t>
      </w:r>
      <w:r>
        <w:rPr>
          <w:smallCaps/>
          <w:color w:val="000000" w:themeColor="text1"/>
          <w:sz w:val="20"/>
          <w:szCs w:val="20"/>
        </w:rPr>
        <w:t>U.S. Army, The Red Team Handbook</w:t>
      </w:r>
      <w:r>
        <w:rPr>
          <w:color w:val="000000" w:themeColor="text1"/>
          <w:sz w:val="20"/>
          <w:szCs w:val="20"/>
        </w:rPr>
        <w:t xml:space="preserve"> 3 (2022); </w:t>
      </w:r>
      <w:proofErr w:type="spellStart"/>
      <w:r>
        <w:rPr>
          <w:color w:val="000000" w:themeColor="text1"/>
          <w:sz w:val="20"/>
          <w:szCs w:val="20"/>
        </w:rPr>
        <w:t>Tost</w:t>
      </w:r>
      <w:proofErr w:type="spellEnd"/>
      <w:r>
        <w:rPr>
          <w:color w:val="000000" w:themeColor="text1"/>
          <w:sz w:val="20"/>
          <w:szCs w:val="20"/>
        </w:rPr>
        <w:t xml:space="preserve">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559</w:t>
      </w:r>
      <w:r>
        <w:rPr>
          <w:color w:val="000000" w:themeColor="text1"/>
          <w:sz w:val="20"/>
          <w:szCs w:val="20"/>
        </w:rPr>
        <w:fldChar w:fldCharType="end"/>
      </w:r>
      <w:r>
        <w:rPr>
          <w:color w:val="000000" w:themeColor="text1"/>
          <w:sz w:val="20"/>
          <w:szCs w:val="20"/>
        </w:rPr>
        <w:t>, at 11.</w:t>
      </w:r>
    </w:p>
  </w:footnote>
  <w:footnote w:id="643">
    <w:p w14:paraId="7E2BEFC8" w14:textId="77777777"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158.</w:t>
      </w:r>
    </w:p>
  </w:footnote>
  <w:footnote w:id="644">
    <w:p w14:paraId="769AD825" w14:textId="77777777" w:rsidR="00FE0E3F" w:rsidRPr="005B3E31" w:rsidRDefault="00FE0E3F" w:rsidP="003D74D8">
      <w:pPr>
        <w:pStyle w:val="FootnoteText"/>
        <w:spacing w:line="480" w:lineRule="auto"/>
      </w:pPr>
      <w:r>
        <w:rPr>
          <w:rStyle w:val="FootnoteReference"/>
        </w:rPr>
        <w:footnoteRef/>
      </w:r>
      <w:r>
        <w:t xml:space="preserve"> Nicholas </w:t>
      </w:r>
      <w:proofErr w:type="spellStart"/>
      <w:r>
        <w:t>Varchaver</w:t>
      </w:r>
      <w:proofErr w:type="spellEnd"/>
      <w:r>
        <w:t xml:space="preserve">, </w:t>
      </w:r>
      <w:r>
        <w:rPr>
          <w:i/>
          <w:iCs/>
        </w:rPr>
        <w:t>Diamonds Are This Firm’s Best Friend</w:t>
      </w:r>
      <w:r>
        <w:t>, Am. Law., Dec. 1995, at 10.</w:t>
      </w:r>
    </w:p>
  </w:footnote>
  <w:footnote w:id="645">
    <w:p w14:paraId="2D62F376" w14:textId="77777777" w:rsidR="00694DEF" w:rsidRPr="005B3E31" w:rsidRDefault="00694DEF"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646">
    <w:p w14:paraId="4822BE9F" w14:textId="77777777" w:rsidR="00466192" w:rsidRPr="005B3E31" w:rsidRDefault="00466192" w:rsidP="003D74D8">
      <w:pPr>
        <w:pStyle w:val="FootnoteText"/>
        <w:spacing w:line="480" w:lineRule="auto"/>
      </w:pPr>
      <w:r>
        <w:rPr>
          <w:rStyle w:val="FootnoteReference"/>
        </w:rPr>
        <w:footnoteRef/>
      </w:r>
      <w:r>
        <w:t xml:space="preserve"> </w:t>
      </w:r>
      <w:r>
        <w:rPr>
          <w:smallCaps/>
        </w:rPr>
        <w:t xml:space="preserve"> Patrick J. McKenna &amp; David H. </w:t>
      </w:r>
      <w:proofErr w:type="spellStart"/>
      <w:r>
        <w:rPr>
          <w:smallCaps/>
        </w:rPr>
        <w:t>Maister</w:t>
      </w:r>
      <w:proofErr w:type="spellEnd"/>
      <w:r>
        <w:rPr>
          <w:smallCaps/>
        </w:rPr>
        <w:t xml:space="preserve">, Coaching the Team: Building </w:t>
      </w:r>
    </w:p>
    <w:p w14:paraId="77F7C1E9" w14:textId="77777777" w:rsidR="00466192" w:rsidRPr="005B3E31" w:rsidRDefault="00466192" w:rsidP="003D74D8">
      <w:pPr>
        <w:pStyle w:val="FootnoteText"/>
        <w:spacing w:line="480" w:lineRule="auto"/>
      </w:pPr>
      <w:r>
        <w:rPr>
          <w:smallCaps/>
        </w:rPr>
        <w:t>Trust and Performance 159–60 (2002)</w:t>
      </w:r>
    </w:p>
  </w:footnote>
  <w:footnote w:id="647">
    <w:p w14:paraId="76D6F3EA" w14:textId="77777777" w:rsidR="000E6581" w:rsidRPr="005B3E31" w:rsidRDefault="000E6581" w:rsidP="003D74D8">
      <w:pPr>
        <w:pStyle w:val="FootnoteText"/>
        <w:spacing w:line="480" w:lineRule="auto"/>
      </w:pPr>
      <w:r>
        <w:rPr>
          <w:rStyle w:val="FootnoteReference"/>
        </w:rPr>
        <w:footnoteRef/>
      </w:r>
      <w:r>
        <w:rPr>
          <w:i/>
          <w:iCs/>
        </w:rPr>
        <w:t xml:space="preserve"> </w:t>
      </w:r>
      <w:r>
        <w:t>Kiser, supra note 557, at 100 (quoting an attorney interviewed for the study).</w:t>
      </w:r>
    </w:p>
  </w:footnote>
  <w:footnote w:id="648">
    <w:p w14:paraId="2F5843FB" w14:textId="77777777" w:rsidR="0058327C" w:rsidRPr="005B3E31" w:rsidRDefault="0058327C" w:rsidP="003D74D8">
      <w:pPr>
        <w:pStyle w:val="FootnoteText"/>
        <w:spacing w:line="480" w:lineRule="auto"/>
      </w:pPr>
      <w:r>
        <w:rPr>
          <w:rStyle w:val="FootnoteReference"/>
        </w:rPr>
        <w:footnoteRef/>
      </w:r>
      <w:r>
        <w:t xml:space="preserve"> Deborah L. Rhode, </w:t>
      </w:r>
      <w:r>
        <w:rPr>
          <w:i/>
          <w:iCs/>
        </w:rPr>
        <w:t>Leadership in Law</w:t>
      </w:r>
      <w:r>
        <w:t xml:space="preserve">, 69 </w:t>
      </w:r>
      <w:r>
        <w:rPr>
          <w:smallCaps/>
        </w:rPr>
        <w:t>Stan. L. Rev.</w:t>
      </w:r>
      <w:r>
        <w:t xml:space="preserve"> 1603, 1618 (2017). (“To minimize these tendencies, leaders need to create their own checks and balances and to seek constructive criticism. Candid dialogue on ethical issues is essential to informed </w:t>
      </w:r>
      <w:proofErr w:type="spellStart"/>
      <w:r>
        <w:t>decisionmaking</w:t>
      </w:r>
      <w:proofErr w:type="spellEnd"/>
      <w:r>
        <w:t>. Every leader’s internal moral compass needs to be checked against external reference points. Recognizing the ways in which one may be wrong is crucial in determining what is likely to be right. . . . The best leaders invite questions and criticism about what they should want done.”).</w:t>
      </w:r>
    </w:p>
  </w:footnote>
  <w:footnote w:id="649">
    <w:p w14:paraId="6834C448"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9–13; </w:t>
      </w:r>
      <w:r>
        <w:rPr>
          <w:i/>
          <w:iCs/>
          <w:color w:val="000000" w:themeColor="text1"/>
          <w:sz w:val="20"/>
          <w:szCs w:val="20"/>
        </w:rPr>
        <w:t>see also</w:t>
      </w:r>
      <w:r>
        <w:rPr>
          <w:color w:val="000000" w:themeColor="text1"/>
          <w:sz w:val="20"/>
          <w:szCs w:val="20"/>
        </w:rPr>
        <w:t xml:space="preserve"> </w:t>
      </w:r>
      <w:proofErr w:type="spellStart"/>
      <w:r>
        <w:rPr>
          <w:color w:val="000000" w:themeColor="text1"/>
          <w:sz w:val="20"/>
          <w:szCs w:val="20"/>
        </w:rPr>
        <w:t>Jinyun</w:t>
      </w:r>
      <w:proofErr w:type="spellEnd"/>
      <w:r>
        <w:rPr>
          <w:color w:val="000000" w:themeColor="text1"/>
          <w:sz w:val="20"/>
          <w:szCs w:val="20"/>
        </w:rPr>
        <w:t xml:space="preserve"> Duan et al., </w:t>
      </w:r>
      <w:r>
        <w:rPr>
          <w:i/>
          <w:iCs/>
          <w:color w:val="000000" w:themeColor="text1"/>
          <w:sz w:val="20"/>
          <w:szCs w:val="20"/>
        </w:rPr>
        <w:t>T</w:t>
      </w:r>
      <w:r>
        <w:rPr>
          <w:i/>
          <w:iCs/>
          <w:color w:val="000000" w:themeColor="text1"/>
          <w:sz w:val="20"/>
          <w:szCs w:val="20"/>
          <w:lang w:bidi="en-US"/>
        </w:rPr>
        <w:t>ransformational Leadership and Employee Voice Behavior</w:t>
      </w:r>
      <w:r>
        <w:rPr>
          <w:color w:val="000000" w:themeColor="text1"/>
          <w:sz w:val="20"/>
          <w:szCs w:val="20"/>
        </w:rPr>
        <w:t xml:space="preserve">, 38 </w:t>
      </w:r>
      <w:r>
        <w:rPr>
          <w:smallCaps/>
          <w:color w:val="000000" w:themeColor="text1"/>
          <w:sz w:val="20"/>
          <w:szCs w:val="20"/>
          <w:lang w:bidi="en-US"/>
        </w:rPr>
        <w:t xml:space="preserve">J. Org. </w:t>
      </w:r>
      <w:proofErr w:type="spellStart"/>
      <w:r>
        <w:rPr>
          <w:smallCaps/>
          <w:color w:val="000000" w:themeColor="text1"/>
          <w:sz w:val="20"/>
          <w:szCs w:val="20"/>
          <w:lang w:bidi="en-US"/>
        </w:rPr>
        <w:t>Behav</w:t>
      </w:r>
      <w:proofErr w:type="spellEnd"/>
      <w:r>
        <w:rPr>
          <w:color w:val="000000" w:themeColor="text1"/>
          <w:sz w:val="20"/>
          <w:szCs w:val="20"/>
          <w:lang w:bidi="en-US"/>
        </w:rPr>
        <w:t>. 650, 658–64 (2017).</w:t>
      </w:r>
    </w:p>
  </w:footnote>
  <w:footnote w:id="650">
    <w:p w14:paraId="4B5ADEAA"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84.</w:t>
      </w:r>
    </w:p>
  </w:footnote>
  <w:footnote w:id="651">
    <w:p w14:paraId="781CF7CC" w14:textId="77777777" w:rsidR="00DB69B1" w:rsidRPr="005B3E31" w:rsidRDefault="00DB69B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E. </w:t>
      </w:r>
      <w:proofErr w:type="spellStart"/>
      <w:r>
        <w:rPr>
          <w:color w:val="000000" w:themeColor="text1"/>
        </w:rPr>
        <w:t>Maggs</w:t>
      </w:r>
      <w:proofErr w:type="spellEnd"/>
      <w:r>
        <w:rPr>
          <w:color w:val="000000" w:themeColor="text1"/>
        </w:rPr>
        <w:t xml:space="preserve">, </w:t>
      </w:r>
      <w:r>
        <w:rPr>
          <w:i/>
          <w:iCs/>
          <w:color w:val="000000" w:themeColor="text1"/>
        </w:rPr>
        <w:t>A Concise Guide to the Records of the Federal Constitutional Convention of 1787 as a Source of the Original Meaning of the U.S. Constitution</w:t>
      </w:r>
      <w:r>
        <w:rPr>
          <w:color w:val="000000" w:themeColor="text1"/>
        </w:rPr>
        <w:t xml:space="preserve">, 80 </w:t>
      </w:r>
      <w:r>
        <w:rPr>
          <w:smallCaps/>
          <w:color w:val="000000" w:themeColor="text1"/>
        </w:rPr>
        <w:t>Geo. Wash. L. Rev.</w:t>
      </w:r>
      <w:r>
        <w:rPr>
          <w:color w:val="000000" w:themeColor="text1"/>
        </w:rPr>
        <w:t xml:space="preserve"> 1707, 1713 (2012)</w:t>
      </w:r>
    </w:p>
  </w:footnote>
  <w:footnote w:id="652">
    <w:p w14:paraId="0A5B375C"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45–46; </w:t>
      </w:r>
      <w:proofErr w:type="spellStart"/>
      <w:r>
        <w:rPr>
          <w:color w:val="000000" w:themeColor="text1"/>
          <w:sz w:val="20"/>
          <w:szCs w:val="20"/>
        </w:rPr>
        <w:t>Daan</w:t>
      </w:r>
      <w:proofErr w:type="spellEnd"/>
      <w:r>
        <w:rPr>
          <w:color w:val="000000" w:themeColor="text1"/>
          <w:sz w:val="20"/>
          <w:szCs w:val="20"/>
        </w:rPr>
        <w:t xml:space="preserve"> van Knippenberg et al., </w:t>
      </w:r>
      <w:r>
        <w:rPr>
          <w:i/>
          <w:iCs/>
          <w:color w:val="000000" w:themeColor="text1"/>
          <w:sz w:val="20"/>
          <w:szCs w:val="20"/>
        </w:rPr>
        <w:t>Work Group Diversity and Group Performance: An Integrative Model and Research Agenda</w:t>
      </w:r>
      <w:r>
        <w:rPr>
          <w:color w:val="000000" w:themeColor="text1"/>
          <w:sz w:val="20"/>
          <w:szCs w:val="20"/>
        </w:rPr>
        <w:t xml:space="preserve">, 89 </w:t>
      </w:r>
      <w:r>
        <w:rPr>
          <w:smallCaps/>
          <w:color w:val="000000" w:themeColor="text1"/>
          <w:sz w:val="20"/>
          <w:szCs w:val="20"/>
        </w:rPr>
        <w:t>J. Applied Psych</w:t>
      </w:r>
      <w:r>
        <w:rPr>
          <w:color w:val="000000" w:themeColor="text1"/>
          <w:sz w:val="20"/>
          <w:szCs w:val="20"/>
        </w:rPr>
        <w:t xml:space="preserve">. 1008, 1013 (2004). </w:t>
      </w:r>
    </w:p>
  </w:footnote>
  <w:footnote w:id="653">
    <w:p w14:paraId="68678DA0"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Daan</w:t>
      </w:r>
      <w:proofErr w:type="spellEnd"/>
      <w:r>
        <w:rPr>
          <w:color w:val="000000" w:themeColor="text1"/>
          <w:sz w:val="20"/>
          <w:szCs w:val="20"/>
        </w:rPr>
        <w:t xml:space="preserve"> van Knippenberg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_Ref219024503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628</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1013. </w:t>
      </w:r>
    </w:p>
  </w:footnote>
  <w:footnote w:id="654">
    <w:p w14:paraId="67B11EB8"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lang w:bidi="en-US"/>
        </w:rPr>
        <w:t>Amy Coney Barrett, Listening to the Law: Reflections on the Court and Constitution</w:t>
      </w:r>
      <w:r>
        <w:rPr>
          <w:color w:val="000000" w:themeColor="text1"/>
          <w:sz w:val="20"/>
          <w:szCs w:val="20"/>
          <w:lang w:bidi="en-US"/>
        </w:rPr>
        <w:t xml:space="preserve"> 62 (2025).</w:t>
      </w:r>
    </w:p>
  </w:footnote>
  <w:footnote w:id="655">
    <w:p w14:paraId="10F472C1"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Justice Elena Kagan</w:t>
      </w:r>
      <w:r>
        <w:rPr>
          <w:color w:val="000000" w:themeColor="text1"/>
          <w:sz w:val="20"/>
          <w:szCs w:val="20"/>
        </w:rPr>
        <w:t>, Conversation with Dean Martha Minow, Harvard Law School (Sep. 2014).</w:t>
      </w:r>
    </w:p>
  </w:footnote>
  <w:footnote w:id="656">
    <w:p w14:paraId="0CE31DE6"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 </w:t>
      </w:r>
      <w:r>
        <w:rPr>
          <w:i/>
          <w:iCs/>
          <w:color w:val="000000" w:themeColor="text1"/>
          <w:sz w:val="20"/>
          <w:szCs w:val="20"/>
        </w:rPr>
        <w:t>see also</w:t>
      </w:r>
      <w:r>
        <w:rPr>
          <w:color w:val="000000" w:themeColor="text1"/>
          <w:sz w:val="20"/>
          <w:szCs w:val="20"/>
        </w:rPr>
        <w:t xml:space="preserve"> </w:t>
      </w:r>
      <w:r>
        <w:rPr>
          <w:color w:val="000000" w:themeColor="text1"/>
          <w:sz w:val="20"/>
          <w:szCs w:val="20"/>
          <w:lang w:bidi="en-US"/>
        </w:rPr>
        <w:t>Sushil Bikhchandan</w:t>
      </w:r>
      <w:r>
        <w:rPr>
          <w:color w:val="000000" w:themeColor="text1"/>
          <w:sz w:val="20"/>
          <w:szCs w:val="20"/>
        </w:rPr>
        <w:t xml:space="preserve">i et al., </w:t>
      </w:r>
      <w:r>
        <w:rPr>
          <w:i/>
          <w:iCs/>
          <w:color w:val="000000" w:themeColor="text1"/>
          <w:sz w:val="20"/>
          <w:szCs w:val="20"/>
          <w:lang w:bidi="en-US"/>
        </w:rPr>
        <w:t xml:space="preserve">Learning </w:t>
      </w:r>
      <w:proofErr w:type="gramStart"/>
      <w:r>
        <w:rPr>
          <w:i/>
          <w:iCs/>
          <w:color w:val="000000" w:themeColor="text1"/>
          <w:sz w:val="20"/>
          <w:szCs w:val="20"/>
          <w:lang w:bidi="en-US"/>
        </w:rPr>
        <w:t>From</w:t>
      </w:r>
      <w:proofErr w:type="gramEnd"/>
      <w:r>
        <w:rPr>
          <w:i/>
          <w:iCs/>
          <w:color w:val="000000" w:themeColor="text1"/>
          <w:sz w:val="20"/>
          <w:szCs w:val="20"/>
          <w:lang w:bidi="en-US"/>
        </w:rPr>
        <w:t xml:space="preserve"> the Behavior of Others: Conformity, Fads, and Informational Cascades</w:t>
      </w:r>
      <w:r>
        <w:rPr>
          <w:color w:val="000000" w:themeColor="text1"/>
          <w:sz w:val="20"/>
          <w:szCs w:val="20"/>
          <w:lang w:bidi="en-US"/>
        </w:rPr>
        <w:t xml:space="preserve">, 12 </w:t>
      </w:r>
      <w:r>
        <w:rPr>
          <w:smallCaps/>
          <w:color w:val="000000" w:themeColor="text1"/>
          <w:sz w:val="20"/>
          <w:szCs w:val="20"/>
          <w:lang w:bidi="en-US"/>
        </w:rPr>
        <w:t>J. Econ. Perspectives</w:t>
      </w:r>
      <w:r>
        <w:rPr>
          <w:color w:val="000000" w:themeColor="text1"/>
          <w:sz w:val="20"/>
          <w:szCs w:val="20"/>
          <w:lang w:bidi="en-US"/>
        </w:rPr>
        <w:t>, 151, 159–63 (1998)</w:t>
      </w:r>
      <w:r>
        <w:rPr>
          <w:color w:val="000000" w:themeColor="text1"/>
          <w:sz w:val="20"/>
          <w:szCs w:val="20"/>
        </w:rPr>
        <w:t xml:space="preserve">; </w:t>
      </w:r>
      <w:r>
        <w:rPr>
          <w:smallCaps/>
          <w:color w:val="000000" w:themeColor="text1"/>
          <w:sz w:val="20"/>
          <w:szCs w:val="20"/>
        </w:rPr>
        <w:t xml:space="preserve">Randolph H. </w:t>
      </w:r>
      <w:proofErr w:type="spellStart"/>
      <w:r>
        <w:rPr>
          <w:smallCaps/>
          <w:color w:val="000000" w:themeColor="text1"/>
          <w:sz w:val="20"/>
          <w:szCs w:val="20"/>
        </w:rPr>
        <w:t>Pherson</w:t>
      </w:r>
      <w:proofErr w:type="spellEnd"/>
      <w:r>
        <w:rPr>
          <w:smallCaps/>
          <w:color w:val="000000" w:themeColor="text1"/>
          <w:sz w:val="20"/>
          <w:szCs w:val="20"/>
        </w:rPr>
        <w:t xml:space="preserve"> &amp; Richards J. Heuer Jr., </w:t>
      </w:r>
      <w:r>
        <w:rPr>
          <w:smallCaps/>
          <w:color w:val="000000" w:themeColor="text1"/>
          <w:sz w:val="20"/>
          <w:szCs w:val="20"/>
          <w:lang w:bidi="en-US"/>
        </w:rPr>
        <w:t>Structured Analytic Techniques for Intelligence Analysis</w:t>
      </w:r>
      <w:r>
        <w:rPr>
          <w:color w:val="000000" w:themeColor="text1"/>
          <w:sz w:val="20"/>
          <w:szCs w:val="20"/>
          <w:lang w:bidi="en-US"/>
        </w:rPr>
        <w:t xml:space="preserve"> </w:t>
      </w:r>
      <w:r>
        <w:rPr>
          <w:color w:val="000000" w:themeColor="text1"/>
          <w:sz w:val="20"/>
          <w:szCs w:val="20"/>
        </w:rPr>
        <w:t>351 (2011).</w:t>
      </w:r>
    </w:p>
  </w:footnote>
  <w:footnote w:id="657">
    <w:p w14:paraId="7FFEB47A"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w:t>
      </w:r>
    </w:p>
  </w:footnote>
  <w:footnote w:id="658">
    <w:p w14:paraId="695EA7CD" w14:textId="77777777" w:rsidR="006416DF" w:rsidRPr="005B3E31" w:rsidRDefault="006416DF" w:rsidP="003D74D8">
      <w:pPr>
        <w:pStyle w:val="FootnoteText"/>
        <w:spacing w:line="480" w:lineRule="auto"/>
      </w:pPr>
      <w:r>
        <w:rPr>
          <w:rStyle w:val="FootnoteReference"/>
        </w:rPr>
        <w:footnoteRef/>
      </w:r>
      <w:r>
        <w:t xml:space="preserve"> </w:t>
      </w:r>
      <w:r>
        <w:rPr>
          <w:smallCaps/>
        </w:rPr>
        <w:t>Michael A. Roberto, Why Great Leaders Don’t Take Yes for an Answer:</w:t>
      </w:r>
      <w:r>
        <w:t xml:space="preserve"> </w:t>
      </w:r>
      <w:r>
        <w:rPr>
          <w:smallCaps/>
        </w:rPr>
        <w:t>Managing for Conflict and Consensus</w:t>
      </w:r>
      <w:r>
        <w:t xml:space="preserve"> 48–49 (2005); </w:t>
      </w:r>
      <w:r>
        <w:rPr>
          <w:i/>
          <w:iCs/>
        </w:rPr>
        <w:t>see also</w:t>
      </w:r>
      <w:r>
        <w:t xml:space="preserve"> Gary Katzenstein, </w:t>
      </w:r>
      <w:r>
        <w:rPr>
          <w:i/>
          <w:iCs/>
        </w:rPr>
        <w:t xml:space="preserve">The Debate on Structured Debate: Toward a Unified </w:t>
      </w:r>
    </w:p>
    <w:p w14:paraId="6F584A7F" w14:textId="77777777" w:rsidR="006416DF" w:rsidRPr="005B3E31" w:rsidRDefault="006416DF" w:rsidP="003D74D8">
      <w:pPr>
        <w:pStyle w:val="FootnoteText"/>
        <w:spacing w:line="480" w:lineRule="auto"/>
      </w:pPr>
      <w:r>
        <w:rPr>
          <w:i/>
          <w:iCs/>
        </w:rPr>
        <w:t>Theory</w:t>
      </w:r>
      <w:r>
        <w:t xml:space="preserve">, 66 </w:t>
      </w:r>
      <w:r>
        <w:rPr>
          <w:smallCaps/>
        </w:rPr>
        <w:t xml:space="preserve">Org. </w:t>
      </w:r>
      <w:proofErr w:type="spellStart"/>
      <w:r>
        <w:rPr>
          <w:smallCaps/>
        </w:rPr>
        <w:t>Behav</w:t>
      </w:r>
      <w:proofErr w:type="spellEnd"/>
      <w:r>
        <w:rPr>
          <w:smallCaps/>
        </w:rPr>
        <w:t>. &amp; Hum. Decision Processes</w:t>
      </w:r>
      <w:r>
        <w:t>316, 321 (1996)</w:t>
      </w:r>
    </w:p>
  </w:footnote>
  <w:footnote w:id="659">
    <w:p w14:paraId="292EE0FA" w14:textId="77777777" w:rsidR="0082615B" w:rsidRPr="005B3E31" w:rsidRDefault="0082615B" w:rsidP="003D74D8">
      <w:pPr>
        <w:pStyle w:val="FootnoteText"/>
        <w:spacing w:line="480" w:lineRule="auto"/>
      </w:pPr>
      <w:r>
        <w:rPr>
          <w:rStyle w:val="FootnoteReference"/>
        </w:rPr>
        <w:footnoteRef/>
      </w:r>
      <w:r>
        <w:t xml:space="preserve"> </w:t>
      </w:r>
      <w:proofErr w:type="spellStart"/>
      <w:r>
        <w:t>Jeklic</w:t>
      </w:r>
      <w:proofErr w:type="spellEnd"/>
      <w:r>
        <w:t>, supra note 560, at 414.</w:t>
      </w:r>
    </w:p>
  </w:footnote>
  <w:footnote w:id="660">
    <w:p w14:paraId="06798D72"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Garold</w:t>
      </w:r>
      <w:proofErr w:type="spellEnd"/>
      <w:r>
        <w:rPr>
          <w:color w:val="000000" w:themeColor="text1"/>
          <w:sz w:val="20"/>
          <w:szCs w:val="20"/>
        </w:rPr>
        <w:t xml:space="preserve"> </w:t>
      </w:r>
      <w:proofErr w:type="spellStart"/>
      <w:r>
        <w:rPr>
          <w:color w:val="000000" w:themeColor="text1"/>
          <w:sz w:val="20"/>
          <w:szCs w:val="20"/>
        </w:rPr>
        <w:t>Stasser</w:t>
      </w:r>
      <w:proofErr w:type="spellEnd"/>
      <w:r>
        <w:rPr>
          <w:color w:val="000000" w:themeColor="text1"/>
          <w:sz w:val="20"/>
          <w:szCs w:val="20"/>
        </w:rPr>
        <w:t xml:space="preserve"> &amp; William Titus, </w:t>
      </w:r>
      <w:r>
        <w:rPr>
          <w:i/>
          <w:iCs/>
          <w:color w:val="000000" w:themeColor="text1"/>
          <w:sz w:val="20"/>
          <w:szCs w:val="20"/>
        </w:rPr>
        <w:t>Pooling of Unshared Information in Group Decision Making</w:t>
      </w:r>
      <w:r>
        <w:rPr>
          <w:color w:val="000000" w:themeColor="text1"/>
          <w:sz w:val="20"/>
          <w:szCs w:val="20"/>
        </w:rPr>
        <w:t xml:space="preserve">, 48 </w:t>
      </w:r>
      <w:r>
        <w:rPr>
          <w:smallCaps/>
          <w:color w:val="000000" w:themeColor="text1"/>
          <w:sz w:val="20"/>
          <w:szCs w:val="20"/>
        </w:rPr>
        <w:t>J. Personality &amp; Soc. Psych.</w:t>
      </w:r>
      <w:r>
        <w:rPr>
          <w:color w:val="000000" w:themeColor="text1"/>
          <w:sz w:val="20"/>
          <w:szCs w:val="20"/>
        </w:rPr>
        <w:t xml:space="preserve"> 1467, 1477 (1985).</w:t>
      </w:r>
    </w:p>
  </w:footnote>
  <w:footnote w:id="661">
    <w:p w14:paraId="003411DB"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Gardner</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33.</w:t>
      </w:r>
    </w:p>
  </w:footnote>
  <w:footnote w:id="662">
    <w:p w14:paraId="689D9DF4" w14:textId="77777777" w:rsidR="00926E86" w:rsidRPr="005B3E31" w:rsidRDefault="00926E86" w:rsidP="003D74D8">
      <w:pPr>
        <w:pStyle w:val="FootnoteText"/>
        <w:spacing w:line="480" w:lineRule="auto"/>
      </w:pPr>
      <w:r>
        <w:rPr>
          <w:rStyle w:val="FootnoteReference"/>
        </w:rPr>
        <w:footnoteRef/>
      </w:r>
      <w:r>
        <w:t xml:space="preserve"> Goodman-</w:t>
      </w:r>
      <w:proofErr w:type="spellStart"/>
      <w:r>
        <w:t>Delahunty</w:t>
      </w:r>
      <w:proofErr w:type="spellEnd"/>
      <w:r>
        <w:t xml:space="preserve"> et al., </w:t>
      </w:r>
      <w:r>
        <w:rPr>
          <w:i/>
          <w:iCs/>
        </w:rPr>
        <w:t>supra</w:t>
      </w:r>
      <w:r>
        <w:t xml:space="preserve"> note 86, at 151–53.</w:t>
      </w:r>
    </w:p>
  </w:footnote>
  <w:footnote w:id="663">
    <w:p w14:paraId="01C1779B"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Rappaport, supra note 562; see also </w:t>
      </w:r>
      <w:proofErr w:type="spellStart"/>
      <w:r>
        <w:rPr>
          <w:smallCaps/>
          <w:color w:val="000000" w:themeColor="text1"/>
        </w:rPr>
        <w:t>Kassing</w:t>
      </w:r>
      <w:proofErr w:type="spellEnd"/>
      <w:r>
        <w:rPr>
          <w:color w:val="000000" w:themeColor="text1"/>
        </w:rPr>
        <w:t xml:space="preserve">, </w:t>
      </w:r>
      <w:r>
        <w:rPr>
          <w:i/>
          <w:iCs/>
          <w:color w:val="000000" w:themeColor="text1"/>
        </w:rPr>
        <w:t>supra</w:t>
      </w:r>
      <w:r>
        <w:rPr>
          <w:color w:val="000000" w:themeColor="text1"/>
        </w:rPr>
        <w:t xml:space="preserve"> note 606, at 176–77.</w:t>
      </w:r>
    </w:p>
  </w:footnote>
  <w:footnote w:id="664">
    <w:p w14:paraId="76162EA0"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237 (2011).</w:t>
      </w:r>
    </w:p>
  </w:footnote>
  <w:footnote w:id="665">
    <w:p w14:paraId="4C07AE9B"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279, 282 (2000).</w:t>
      </w:r>
    </w:p>
  </w:footnote>
  <w:footnote w:id="666">
    <w:p w14:paraId="5DC25217"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Pherson</w:t>
      </w:r>
      <w:proofErr w:type="spellEnd"/>
      <w:r>
        <w:rPr>
          <w:color w:val="000000" w:themeColor="text1"/>
          <w:sz w:val="20"/>
          <w:szCs w:val="20"/>
        </w:rPr>
        <w:t xml:space="preserve"> &amp; Heuer, </w:t>
      </w:r>
      <w:r>
        <w:rPr>
          <w:i/>
          <w:iCs/>
          <w:color w:val="000000" w:themeColor="text1"/>
          <w:sz w:val="20"/>
          <w:szCs w:val="20"/>
        </w:rPr>
        <w:t>supra</w:t>
      </w:r>
      <w:r>
        <w:rPr>
          <w:color w:val="000000" w:themeColor="text1"/>
          <w:sz w:val="20"/>
          <w:szCs w:val="20"/>
        </w:rPr>
        <w:t xml:space="preserve"> note 97, at 286–87.</w:t>
      </w:r>
    </w:p>
  </w:footnote>
  <w:footnote w:id="667">
    <w:p w14:paraId="02D417C6"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Andrew H. Van De Ven &amp; André L. </w:t>
      </w:r>
      <w:proofErr w:type="spellStart"/>
      <w:r>
        <w:rPr>
          <w:color w:val="000000" w:themeColor="text1"/>
          <w:sz w:val="20"/>
          <w:szCs w:val="20"/>
        </w:rPr>
        <w:t>Delbecq</w:t>
      </w:r>
      <w:proofErr w:type="spellEnd"/>
      <w:r>
        <w:rPr>
          <w:color w:val="000000" w:themeColor="text1"/>
          <w:sz w:val="20"/>
          <w:szCs w:val="20"/>
        </w:rPr>
        <w:t xml:space="preserve">, </w:t>
      </w:r>
      <w:r>
        <w:rPr>
          <w:i/>
          <w:iCs/>
          <w:color w:val="000000" w:themeColor="text1"/>
          <w:sz w:val="20"/>
          <w:szCs w:val="20"/>
        </w:rPr>
        <w:t>The Effectiveness of Nominal, Delphi, and Interacting Group Decision Making Processes</w:t>
      </w:r>
      <w:r>
        <w:rPr>
          <w:color w:val="000000" w:themeColor="text1"/>
          <w:sz w:val="20"/>
          <w:szCs w:val="20"/>
        </w:rPr>
        <w:t>, 17 </w:t>
      </w:r>
      <w:r>
        <w:rPr>
          <w:smallCaps/>
          <w:color w:val="000000" w:themeColor="text1"/>
          <w:sz w:val="20"/>
          <w:szCs w:val="20"/>
        </w:rPr>
        <w:t>Acad. Mgmt. J.</w:t>
      </w:r>
      <w:r>
        <w:rPr>
          <w:color w:val="000000" w:themeColor="text1"/>
          <w:sz w:val="20"/>
          <w:szCs w:val="20"/>
        </w:rPr>
        <w:t xml:space="preserve"> 605, 619 (1974).</w:t>
      </w:r>
    </w:p>
  </w:footnote>
  <w:footnote w:id="668">
    <w:p w14:paraId="1DA0AB1F"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131–33.</w:t>
      </w:r>
    </w:p>
  </w:footnote>
  <w:footnote w:id="669">
    <w:p w14:paraId="37D193D7"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285–88.</w:t>
      </w:r>
    </w:p>
  </w:footnote>
  <w:footnote w:id="670">
    <w:p w14:paraId="7E2165D6"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xml:space="preserve">, at 286. </w:t>
      </w:r>
    </w:p>
  </w:footnote>
  <w:footnote w:id="671">
    <w:p w14:paraId="624CAE90" w14:textId="77777777" w:rsidR="00F1323A" w:rsidRPr="005B3E31" w:rsidRDefault="00F1323A" w:rsidP="003D74D8">
      <w:pPr>
        <w:pStyle w:val="FootnoteText"/>
        <w:spacing w:line="480" w:lineRule="auto"/>
      </w:pPr>
      <w:r>
        <w:rPr>
          <w:rStyle w:val="FootnoteReference"/>
        </w:rPr>
        <w:footnoteRef/>
      </w:r>
      <w:r>
        <w:t xml:space="preserve"> </w:t>
      </w:r>
      <w:r>
        <w:rPr>
          <w:smallCaps/>
        </w:rPr>
        <w:t xml:space="preserve">Patrick J. McKenna &amp; David H. </w:t>
      </w:r>
      <w:proofErr w:type="spellStart"/>
      <w:r>
        <w:rPr>
          <w:smallCaps/>
        </w:rPr>
        <w:t>Maister</w:t>
      </w:r>
      <w:proofErr w:type="spellEnd"/>
      <w:r>
        <w:rPr>
          <w:smallCaps/>
        </w:rPr>
        <w:t xml:space="preserve">, Coaching the Team: Building </w:t>
      </w:r>
    </w:p>
    <w:p w14:paraId="32D1B2D7" w14:textId="77777777" w:rsidR="00F1323A" w:rsidRPr="005B3E31" w:rsidRDefault="00F1323A" w:rsidP="003D74D8">
      <w:pPr>
        <w:pStyle w:val="FootnoteText"/>
        <w:spacing w:line="480" w:lineRule="auto"/>
      </w:pPr>
      <w:r>
        <w:rPr>
          <w:smallCaps/>
        </w:rPr>
        <w:t>Trust and Performance 179–80 (2002).</w:t>
      </w:r>
    </w:p>
  </w:footnote>
  <w:footnote w:id="672">
    <w:p w14:paraId="31C6A47E" w14:textId="77777777" w:rsidR="00466192" w:rsidRPr="005B3E31" w:rsidRDefault="00466192" w:rsidP="003D74D8">
      <w:pPr>
        <w:pStyle w:val="FootnoteText"/>
        <w:spacing w:line="480" w:lineRule="auto"/>
      </w:pPr>
      <w:r>
        <w:rPr>
          <w:rStyle w:val="FootnoteReference"/>
        </w:rPr>
        <w:footnoteRef/>
      </w:r>
      <w:r>
        <w:t xml:space="preserve"> </w:t>
      </w:r>
      <w:r>
        <w:rPr>
          <w:smallCaps/>
        </w:rPr>
        <w:t xml:space="preserve"> Randall Kiser, Beyond Right and Wrong: The Power of Effective Decision Making for Attorneys and Clients</w:t>
      </w:r>
      <w:r>
        <w:t xml:space="preserve"> 395 (2010).</w:t>
      </w:r>
    </w:p>
  </w:footnote>
  <w:footnote w:id="673">
    <w:p w14:paraId="2CA14D11"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Leon Festinger &amp; James M. </w:t>
      </w:r>
      <w:proofErr w:type="spellStart"/>
      <w:r>
        <w:rPr>
          <w:color w:val="000000" w:themeColor="text1"/>
          <w:sz w:val="20"/>
          <w:szCs w:val="20"/>
        </w:rPr>
        <w:t>Carlsmith</w:t>
      </w:r>
      <w:proofErr w:type="spellEnd"/>
      <w:r>
        <w:rPr>
          <w:color w:val="000000" w:themeColor="text1"/>
          <w:sz w:val="20"/>
          <w:szCs w:val="20"/>
        </w:rPr>
        <w:t xml:space="preserve">, </w:t>
      </w:r>
      <w:r>
        <w:rPr>
          <w:i/>
          <w:iCs/>
          <w:color w:val="000000" w:themeColor="text1"/>
          <w:sz w:val="20"/>
          <w:szCs w:val="20"/>
        </w:rPr>
        <w:t>Cognitive Consequences of Forced Compliance</w:t>
      </w:r>
      <w:r>
        <w:rPr>
          <w:color w:val="000000" w:themeColor="text1"/>
          <w:sz w:val="20"/>
          <w:szCs w:val="20"/>
        </w:rPr>
        <w:t xml:space="preserve">, 58 </w:t>
      </w:r>
      <w:r>
        <w:rPr>
          <w:smallCaps/>
          <w:color w:val="000000" w:themeColor="text1"/>
          <w:sz w:val="20"/>
          <w:szCs w:val="20"/>
        </w:rPr>
        <w:t>J. Abnormal &amp; Soc. Psychol.</w:t>
      </w:r>
      <w:r>
        <w:rPr>
          <w:color w:val="000000" w:themeColor="text1"/>
          <w:sz w:val="20"/>
          <w:szCs w:val="20"/>
        </w:rPr>
        <w:t xml:space="preserve"> 203, 209 (1959); </w:t>
      </w:r>
      <w:r>
        <w:rPr>
          <w:color w:val="000000" w:themeColor="text1"/>
          <w:sz w:val="20"/>
          <w:szCs w:val="20"/>
          <w:lang w:bidi="en-US"/>
        </w:rPr>
        <w:t xml:space="preserve">Norman </w:t>
      </w:r>
      <w:proofErr w:type="spellStart"/>
      <w:r>
        <w:rPr>
          <w:color w:val="000000" w:themeColor="text1"/>
          <w:sz w:val="20"/>
          <w:szCs w:val="20"/>
          <w:lang w:bidi="en-US"/>
        </w:rPr>
        <w:t>Dalkey</w:t>
      </w:r>
      <w:proofErr w:type="spellEnd"/>
      <w:r>
        <w:rPr>
          <w:color w:val="000000" w:themeColor="text1"/>
          <w:sz w:val="20"/>
          <w:szCs w:val="20"/>
          <w:lang w:bidi="en-US"/>
        </w:rPr>
        <w:t xml:space="preserve"> &amp; Olaf Helmer</w:t>
      </w:r>
      <w:r>
        <w:rPr>
          <w:color w:val="000000" w:themeColor="text1"/>
          <w:sz w:val="20"/>
          <w:szCs w:val="20"/>
        </w:rPr>
        <w:t xml:space="preserve">, </w:t>
      </w:r>
      <w:r>
        <w:rPr>
          <w:i/>
          <w:iCs/>
          <w:color w:val="000000" w:themeColor="text1"/>
          <w:sz w:val="20"/>
          <w:szCs w:val="20"/>
        </w:rPr>
        <w:t>An Experimental Application of the Delphi Method to the Use of Experts</w:t>
      </w:r>
      <w:r>
        <w:rPr>
          <w:color w:val="000000" w:themeColor="text1"/>
          <w:sz w:val="20"/>
          <w:szCs w:val="20"/>
        </w:rPr>
        <w:t xml:space="preserve">, 9 </w:t>
      </w:r>
      <w:r>
        <w:rPr>
          <w:smallCaps/>
          <w:color w:val="000000" w:themeColor="text1"/>
          <w:sz w:val="20"/>
          <w:szCs w:val="20"/>
        </w:rPr>
        <w:t>Mgmt. Sci.</w:t>
      </w:r>
      <w:r>
        <w:rPr>
          <w:color w:val="000000" w:themeColor="text1"/>
          <w:sz w:val="20"/>
          <w:szCs w:val="20"/>
        </w:rPr>
        <w:t xml:space="preserve"> 458, </w:t>
      </w:r>
      <w:r>
        <w:rPr>
          <w:color w:val="000000" w:themeColor="text1"/>
          <w:sz w:val="20"/>
          <w:szCs w:val="20"/>
          <w:lang w:bidi="en-US"/>
        </w:rPr>
        <w:t>458–67 (1963).</w:t>
      </w:r>
    </w:p>
  </w:footnote>
  <w:footnote w:id="674">
    <w:p w14:paraId="4316501B"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Dalkey</w:t>
      </w:r>
      <w:proofErr w:type="spellEnd"/>
      <w:r>
        <w:rPr>
          <w:color w:val="000000" w:themeColor="text1"/>
          <w:sz w:val="20"/>
          <w:szCs w:val="20"/>
        </w:rPr>
        <w:t xml:space="preserve"> &amp; Helmer, </w:t>
      </w:r>
      <w:r>
        <w:rPr>
          <w:i/>
          <w:iCs/>
          <w:color w:val="000000" w:themeColor="text1"/>
          <w:sz w:val="20"/>
          <w:szCs w:val="20"/>
        </w:rPr>
        <w:t>supra</w:t>
      </w:r>
      <w:r>
        <w:rPr>
          <w:color w:val="000000" w:themeColor="text1"/>
          <w:sz w:val="20"/>
          <w:szCs w:val="20"/>
        </w:rPr>
        <w:t xml:space="preserve"> note 649, at 459; Kiser, supra note 557, at 237; </w:t>
      </w:r>
      <w:r>
        <w:rPr>
          <w:color w:val="000000" w:themeColor="text1"/>
          <w:sz w:val="20"/>
          <w:szCs w:val="20"/>
          <w:lang w:bidi="en-US"/>
        </w:rPr>
        <w:t>Amos Tversky &amp; Daniel Kahneman</w:t>
      </w:r>
      <w:r>
        <w:rPr>
          <w:color w:val="000000" w:themeColor="text1"/>
          <w:sz w:val="20"/>
          <w:szCs w:val="20"/>
        </w:rPr>
        <w:t xml:space="preserve">, </w:t>
      </w:r>
      <w:r>
        <w:rPr>
          <w:i/>
          <w:iCs/>
          <w:color w:val="000000" w:themeColor="text1"/>
          <w:sz w:val="20"/>
          <w:szCs w:val="20"/>
          <w:lang w:bidi="en-US"/>
        </w:rPr>
        <w:t>Judgment Under Uncertainty: Heuristics and Biases</w:t>
      </w:r>
      <w:r>
        <w:rPr>
          <w:color w:val="000000" w:themeColor="text1"/>
          <w:sz w:val="20"/>
          <w:szCs w:val="20"/>
        </w:rPr>
        <w:t xml:space="preserve">, 185 </w:t>
      </w:r>
      <w:r>
        <w:rPr>
          <w:smallCaps/>
          <w:color w:val="000000" w:themeColor="text1"/>
          <w:sz w:val="20"/>
          <w:szCs w:val="20"/>
        </w:rPr>
        <w:t>Sci. J</w:t>
      </w:r>
      <w:r>
        <w:rPr>
          <w:color w:val="000000" w:themeColor="text1"/>
          <w:sz w:val="20"/>
          <w:szCs w:val="20"/>
        </w:rPr>
        <w:t xml:space="preserve">. 1124, </w:t>
      </w:r>
      <w:r>
        <w:rPr>
          <w:color w:val="000000" w:themeColor="text1"/>
          <w:sz w:val="20"/>
          <w:szCs w:val="20"/>
          <w:lang w:bidi="en-US"/>
        </w:rPr>
        <w:t>1124–31</w:t>
      </w:r>
      <w:r>
        <w:rPr>
          <w:color w:val="000000" w:themeColor="text1"/>
          <w:sz w:val="20"/>
          <w:szCs w:val="20"/>
        </w:rPr>
        <w:t xml:space="preserve"> (1974).</w:t>
      </w:r>
    </w:p>
  </w:footnote>
  <w:footnote w:id="675">
    <w:p w14:paraId="4A0BE7DC"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Sunstein &amp; Hastie, </w:t>
      </w:r>
      <w:r>
        <w:rPr>
          <w:i/>
          <w:iCs/>
          <w:color w:val="000000" w:themeColor="text1"/>
          <w:sz w:val="20"/>
          <w:szCs w:val="20"/>
        </w:rPr>
        <w:t>supra</w:t>
      </w:r>
      <w:r>
        <w:rPr>
          <w:color w:val="000000" w:themeColor="text1"/>
          <w:sz w:val="20"/>
          <w:szCs w:val="20"/>
        </w:rPr>
        <w:t xml:space="preserve"> note 603, at 24.</w:t>
      </w:r>
    </w:p>
  </w:footnote>
  <w:footnote w:id="676">
    <w:p w14:paraId="45CACAC6" w14:textId="77777777" w:rsidR="00B04266" w:rsidRPr="005B3E31" w:rsidRDefault="00B04266" w:rsidP="003D74D8">
      <w:pPr>
        <w:pStyle w:val="FootnoteText"/>
        <w:spacing w:line="480" w:lineRule="auto"/>
      </w:pPr>
      <w:r>
        <w:rPr>
          <w:rStyle w:val="FootnoteReference"/>
        </w:rPr>
        <w:footnoteRef/>
      </w:r>
      <w:r>
        <w:t xml:space="preserve"> </w:t>
      </w:r>
      <w:r>
        <w:rPr>
          <w:smallCaps/>
        </w:rPr>
        <w:t xml:space="preserve">Randall Kiser, Soft Skills for the Effective Lawyer </w:t>
      </w:r>
      <w:r>
        <w:t>215 (2017).</w:t>
      </w:r>
    </w:p>
  </w:footnote>
  <w:footnote w:id="677">
    <w:p w14:paraId="0FD1DE55" w14:textId="77777777" w:rsidR="00A6440D" w:rsidRPr="005B3E31" w:rsidRDefault="00A6440D" w:rsidP="003D74D8">
      <w:pPr>
        <w:pStyle w:val="FootnoteText"/>
        <w:spacing w:line="480" w:lineRule="auto"/>
      </w:pPr>
      <w:r>
        <w:rPr>
          <w:rStyle w:val="FootnoteReference"/>
        </w:rPr>
        <w:footnoteRef/>
      </w:r>
      <w:r>
        <w:t xml:space="preserve"> </w:t>
      </w:r>
      <w:r>
        <w:rPr>
          <w:smallCaps/>
        </w:rPr>
        <w:t>Randall Kiser, Beyond Right and Wrong: The Power of Effective Decision</w:t>
      </w:r>
      <w:r>
        <w:rPr>
          <w:i/>
          <w:iCs/>
        </w:rPr>
        <w:t xml:space="preserve"> </w:t>
      </w:r>
      <w:r>
        <w:rPr>
          <w:smallCaps/>
        </w:rPr>
        <w:t>Making for Attorneys and Clients 350 (2010).</w:t>
      </w:r>
    </w:p>
  </w:footnote>
  <w:footnote w:id="678">
    <w:p w14:paraId="014B128A"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Gary </w:t>
      </w:r>
      <w:r>
        <w:rPr>
          <w:color w:val="000000" w:themeColor="text1"/>
          <w:sz w:val="20"/>
          <w:szCs w:val="20"/>
        </w:rPr>
        <w:t xml:space="preserve">Klein, </w:t>
      </w:r>
      <w:r>
        <w:rPr>
          <w:i/>
          <w:iCs/>
          <w:color w:val="000000" w:themeColor="text1"/>
          <w:sz w:val="20"/>
          <w:szCs w:val="20"/>
        </w:rPr>
        <w:t>Performing a Project Premortem</w:t>
      </w:r>
      <w:r>
        <w:rPr>
          <w:color w:val="000000" w:themeColor="text1"/>
          <w:sz w:val="20"/>
          <w:szCs w:val="20"/>
        </w:rPr>
        <w:t xml:space="preserve">, 85 </w:t>
      </w:r>
      <w:r>
        <w:rPr>
          <w:smallCaps/>
          <w:color w:val="000000" w:themeColor="text1"/>
          <w:sz w:val="20"/>
          <w:szCs w:val="20"/>
        </w:rPr>
        <w:t>Harv. Bus. Rev.</w:t>
      </w:r>
      <w:r>
        <w:rPr>
          <w:color w:val="000000" w:themeColor="text1"/>
          <w:sz w:val="20"/>
          <w:szCs w:val="20"/>
        </w:rPr>
        <w:t xml:space="preserve"> 18, 18 (2007).</w:t>
      </w:r>
    </w:p>
  </w:footnote>
  <w:footnote w:id="679">
    <w:p w14:paraId="3812D954" w14:textId="77777777" w:rsidR="00B04266" w:rsidRPr="005B3E31" w:rsidRDefault="00B04266" w:rsidP="003D74D8">
      <w:pPr>
        <w:pStyle w:val="FootnoteText"/>
        <w:spacing w:line="480" w:lineRule="auto"/>
      </w:pPr>
      <w:r>
        <w:rPr>
          <w:rStyle w:val="FootnoteReference"/>
        </w:rPr>
        <w:footnoteRef/>
      </w:r>
      <w:r>
        <w:t xml:space="preserve"> Christine Jolls &amp; Cass R. Sunstein, </w:t>
      </w:r>
      <w:r>
        <w:rPr>
          <w:i/>
          <w:iCs/>
        </w:rPr>
        <w:t>Debiasing through Law</w:t>
      </w:r>
      <w:r>
        <w:t xml:space="preserve">, 35 </w:t>
      </w:r>
      <w:r>
        <w:rPr>
          <w:smallCaps/>
        </w:rPr>
        <w:t>J. Legal Stud.</w:t>
      </w:r>
      <w:r>
        <w:t xml:space="preserve"> 199, 201 (2006).</w:t>
      </w:r>
    </w:p>
  </w:footnote>
  <w:footnote w:id="680">
    <w:p w14:paraId="462830E6"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201, 236.</w:t>
      </w:r>
    </w:p>
  </w:footnote>
  <w:footnote w:id="681">
    <w:p w14:paraId="0EE8D481" w14:textId="77777777" w:rsidR="00B04266" w:rsidRPr="005B3E31" w:rsidRDefault="00B04266" w:rsidP="003D74D8">
      <w:pPr>
        <w:pStyle w:val="FootnoteText"/>
        <w:spacing w:line="480" w:lineRule="auto"/>
      </w:pPr>
      <w:r>
        <w:rPr>
          <w:rStyle w:val="FootnoteReference"/>
        </w:rPr>
        <w:footnoteRef/>
      </w:r>
      <w:r>
        <w:t xml:space="preserve"> </w:t>
      </w:r>
      <w:proofErr w:type="spellStart"/>
      <w:r>
        <w:t>Alafair</w:t>
      </w:r>
      <w:proofErr w:type="spellEnd"/>
      <w:r>
        <w:t xml:space="preserve"> S. Burke, </w:t>
      </w:r>
      <w:r>
        <w:rPr>
          <w:i/>
          <w:iCs/>
        </w:rPr>
        <w:t>Improving Prosecutorial Decision Making: Some Lessons of Cognitive Science</w:t>
      </w:r>
      <w:r>
        <w:t xml:space="preserve">, 47 </w:t>
      </w:r>
      <w:r>
        <w:rPr>
          <w:smallCaps/>
        </w:rPr>
        <w:t>Wm. &amp; Mary L. Rev.</w:t>
      </w:r>
      <w:r>
        <w:t xml:space="preserve"> 1587, 1621–23 (2006).</w:t>
      </w:r>
    </w:p>
  </w:footnote>
  <w:footnote w:id="682">
    <w:p w14:paraId="152D1063"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Doron </w:t>
      </w:r>
      <w:proofErr w:type="spellStart"/>
      <w:r>
        <w:rPr>
          <w:color w:val="000000" w:themeColor="text1"/>
        </w:rPr>
        <w:t>Teichman</w:t>
      </w:r>
      <w:proofErr w:type="spellEnd"/>
      <w:r>
        <w:rPr>
          <w:color w:val="000000" w:themeColor="text1"/>
        </w:rPr>
        <w:t xml:space="preserve">, </w:t>
      </w:r>
      <w:proofErr w:type="spellStart"/>
      <w:r>
        <w:rPr>
          <w:color w:val="000000" w:themeColor="text1"/>
        </w:rPr>
        <w:t>Eyal</w:t>
      </w:r>
      <w:proofErr w:type="spellEnd"/>
      <w:r>
        <w:rPr>
          <w:color w:val="000000" w:themeColor="text1"/>
        </w:rPr>
        <w:t xml:space="preserve"> Zamir &amp; Ilana </w:t>
      </w:r>
      <w:proofErr w:type="spellStart"/>
      <w:r>
        <w:rPr>
          <w:color w:val="000000" w:themeColor="text1"/>
        </w:rPr>
        <w:t>Ritov</w:t>
      </w:r>
      <w:proofErr w:type="spellEnd"/>
      <w:r>
        <w:rPr>
          <w:color w:val="000000" w:themeColor="text1"/>
        </w:rPr>
        <w:t xml:space="preserve">, </w:t>
      </w:r>
      <w:r>
        <w:rPr>
          <w:i/>
          <w:iCs/>
          <w:color w:val="000000" w:themeColor="text1"/>
        </w:rPr>
        <w:t>Biases in Legal Decision-Making: Comparing Prosecutors, Defense Attorneys, Law Students, and Laypersons,</w:t>
      </w:r>
      <w:r>
        <w:rPr>
          <w:color w:val="000000" w:themeColor="text1"/>
        </w:rPr>
        <w:t xml:space="preserve"> 20 </w:t>
      </w:r>
      <w:r>
        <w:rPr>
          <w:smallCaps/>
          <w:color w:val="000000" w:themeColor="text1"/>
        </w:rPr>
        <w:t>J. Empirical Legal Stud.</w:t>
      </w:r>
      <w:r>
        <w:rPr>
          <w:color w:val="000000" w:themeColor="text1"/>
        </w:rPr>
        <w:t xml:space="preserve"> 852, 858 (2023).</w:t>
      </w:r>
    </w:p>
  </w:footnote>
  <w:footnote w:id="683">
    <w:p w14:paraId="7CDA704A"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shd w:val="clear" w:color="auto" w:fill="FFFFFF"/>
        </w:rPr>
        <w:t>Goodman-</w:t>
      </w:r>
      <w:proofErr w:type="spellStart"/>
      <w:r>
        <w:rPr>
          <w:color w:val="000000" w:themeColor="text1"/>
          <w:shd w:val="clear" w:color="auto" w:fill="FFFFFF"/>
        </w:rPr>
        <w:t>Delahunty</w:t>
      </w:r>
      <w:proofErr w:type="spellEnd"/>
      <w:r>
        <w:rPr>
          <w:color w:val="000000" w:themeColor="text1"/>
          <w:shd w:val="clear" w:color="auto" w:fill="FFFFFF"/>
        </w:rPr>
        <w:t xml:space="preserve"> et al., supra note 86, at 151.</w:t>
      </w:r>
    </w:p>
  </w:footnote>
  <w:footnote w:id="684">
    <w:p w14:paraId="6312CE47"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 xml:space="preserve">Daniel Kahneman &amp; Amos Tversky, Conflict Resolution: A Cognitive </w:t>
      </w:r>
      <w:r>
        <w:rPr>
          <w:color w:val="000000" w:themeColor="text1"/>
          <w:sz w:val="20"/>
          <w:szCs w:val="20"/>
        </w:rPr>
        <w:t>Perspective, in Barriers to Conflict Resolution 44, 47 (Kenneth J. Arrow et al. eds., 1995).</w:t>
      </w:r>
    </w:p>
  </w:footnote>
  <w:footnote w:id="685">
    <w:p w14:paraId="63805C52"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Goodman-</w:t>
      </w:r>
      <w:proofErr w:type="spellStart"/>
      <w:r>
        <w:rPr>
          <w:color w:val="000000" w:themeColor="text1"/>
          <w:sz w:val="20"/>
          <w:szCs w:val="20"/>
        </w:rPr>
        <w:t>Delahunty</w:t>
      </w:r>
      <w:proofErr w:type="spellEnd"/>
      <w:r>
        <w:rPr>
          <w:color w:val="000000" w:themeColor="text1"/>
          <w:sz w:val="20"/>
          <w:szCs w:val="20"/>
        </w:rPr>
        <w:t xml:space="preserve">,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_Ref222258836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86</w:t>
      </w:r>
      <w:r>
        <w:rPr>
          <w:color w:val="000000" w:themeColor="text1"/>
          <w:sz w:val="20"/>
          <w:szCs w:val="20"/>
        </w:rPr>
        <w:fldChar w:fldCharType="end"/>
      </w:r>
      <w:r>
        <w:rPr>
          <w:color w:val="000000" w:themeColor="text1"/>
          <w:sz w:val="20"/>
          <w:szCs w:val="20"/>
        </w:rPr>
        <w:t>, at 133, 153.</w:t>
      </w:r>
    </w:p>
  </w:footnote>
  <w:footnote w:id="686">
    <w:p w14:paraId="4E62B085"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283–84.</w:t>
      </w:r>
    </w:p>
  </w:footnote>
  <w:footnote w:id="687">
    <w:p w14:paraId="3B1ACC63"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smallCaps/>
          <w:color w:val="000000" w:themeColor="text1"/>
          <w:sz w:val="20"/>
          <w:szCs w:val="20"/>
        </w:rPr>
        <w:t xml:space="preserve"> </w:t>
      </w:r>
      <w:r>
        <w:rPr>
          <w:color w:val="000000" w:themeColor="text1"/>
          <w:sz w:val="20"/>
          <w:szCs w:val="20"/>
        </w:rPr>
        <w:t xml:space="preserve">at 227–31. </w:t>
      </w:r>
    </w:p>
  </w:footnote>
  <w:footnote w:id="688">
    <w:p w14:paraId="0E1FC54A"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p>
  </w:footnote>
  <w:footnote w:id="689">
    <w:p w14:paraId="73E05AC2"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w:t>
      </w:r>
    </w:p>
  </w:footnote>
  <w:footnote w:id="690">
    <w:p w14:paraId="19A093D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Philip C.C. Huang, Civil Justice in China: Representation and Practice in the Qing</w:t>
      </w:r>
      <w:r>
        <w:rPr>
          <w:color w:val="000000" w:themeColor="text1"/>
        </w:rPr>
        <w:t xml:space="preserve"> 71–72 (1996).</w:t>
      </w:r>
    </w:p>
  </w:footnote>
  <w:footnote w:id="691">
    <w:p w14:paraId="405457E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71–72.</w:t>
      </w:r>
    </w:p>
  </w:footnote>
  <w:footnote w:id="692">
    <w:p w14:paraId="7EBD069D"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Aude </w:t>
      </w:r>
      <w:proofErr w:type="spellStart"/>
      <w:r>
        <w:rPr>
          <w:color w:val="000000" w:themeColor="text1"/>
        </w:rPr>
        <w:t>Chatelard</w:t>
      </w:r>
      <w:proofErr w:type="spellEnd"/>
      <w:r>
        <w:rPr>
          <w:color w:val="000000" w:themeColor="text1"/>
        </w:rPr>
        <w:t xml:space="preserve">, </w:t>
      </w:r>
      <w:r>
        <w:rPr>
          <w:i/>
          <w:iCs/>
          <w:color w:val="000000" w:themeColor="text1"/>
        </w:rPr>
        <w:t>Women in Republican Rome: Legally Minors but Citizens in Civil Society</w:t>
      </w:r>
      <w:r>
        <w:rPr>
          <w:color w:val="000000" w:themeColor="text1"/>
        </w:rPr>
        <w:t xml:space="preserve">, </w:t>
      </w:r>
      <w:r>
        <w:rPr>
          <w:smallCaps/>
          <w:color w:val="000000" w:themeColor="text1"/>
        </w:rPr>
        <w:t>43 Clio: Women, Gender, History 23, 30–31</w:t>
      </w:r>
      <w:r>
        <w:rPr>
          <w:color w:val="000000" w:themeColor="text1"/>
        </w:rPr>
        <w:t xml:space="preserve"> (2016); Birgit </w:t>
      </w:r>
      <w:proofErr w:type="spellStart"/>
      <w:r>
        <w:rPr>
          <w:color w:val="000000" w:themeColor="text1"/>
        </w:rPr>
        <w:t>Feldner</w:t>
      </w:r>
      <w:proofErr w:type="spellEnd"/>
      <w:r>
        <w:rPr>
          <w:color w:val="000000" w:themeColor="text1"/>
        </w:rPr>
        <w:t>, </w:t>
      </w:r>
      <w:r>
        <w:rPr>
          <w:i/>
          <w:iCs/>
          <w:color w:val="000000" w:themeColor="text1"/>
        </w:rPr>
        <w:t xml:space="preserve">Women’s Exclusion </w:t>
      </w:r>
      <w:proofErr w:type="gramStart"/>
      <w:r>
        <w:rPr>
          <w:i/>
          <w:iCs/>
          <w:color w:val="000000" w:themeColor="text1"/>
        </w:rPr>
        <w:t>From</w:t>
      </w:r>
      <w:proofErr w:type="gramEnd"/>
      <w:r>
        <w:rPr>
          <w:i/>
          <w:iCs/>
          <w:color w:val="000000" w:themeColor="text1"/>
        </w:rPr>
        <w:t xml:space="preserve"> the Roman Officium</w:t>
      </w:r>
      <w:r>
        <w:rPr>
          <w:color w:val="000000" w:themeColor="text1"/>
        </w:rPr>
        <w:t xml:space="preserve"> (17. September 2002), in forum </w:t>
      </w:r>
      <w:proofErr w:type="spellStart"/>
      <w:r>
        <w:rPr>
          <w:color w:val="000000" w:themeColor="text1"/>
        </w:rPr>
        <w:t>historiae</w:t>
      </w:r>
      <w:proofErr w:type="spellEnd"/>
      <w:r>
        <w:rPr>
          <w:color w:val="000000" w:themeColor="text1"/>
        </w:rPr>
        <w:t xml:space="preserve"> </w:t>
      </w:r>
      <w:proofErr w:type="spellStart"/>
      <w:r>
        <w:rPr>
          <w:color w:val="000000" w:themeColor="text1"/>
        </w:rPr>
        <w:t>iuris</w:t>
      </w:r>
      <w:proofErr w:type="spellEnd"/>
      <w:r>
        <w:rPr>
          <w:color w:val="000000" w:themeColor="text1"/>
        </w:rPr>
        <w:t>, </w:t>
      </w:r>
      <w:hyperlink r:id="rId2" w:tooltip="Link Zitiervorschlag" w:history="1">
        <w:r>
          <w:rPr>
            <w:rStyle w:val="Hyperlink"/>
            <w:color w:val="000000" w:themeColor="text1"/>
          </w:rPr>
          <w:t>https://forhistiur.net/2002-09-feldner/</w:t>
        </w:r>
      </w:hyperlink>
      <w:r>
        <w:rPr>
          <w:color w:val="000000" w:themeColor="text1"/>
        </w:rPr>
        <w:t xml:space="preserve">; </w:t>
      </w:r>
      <w:r>
        <w:rPr>
          <w:i/>
          <w:iCs/>
          <w:color w:val="000000" w:themeColor="text1"/>
        </w:rPr>
        <w:t>Orit Malka, Disqualified Witnesses Between Tannaitic Halakha and Roman Law, 37 Law &amp; Hist. Rev. 903, 930 &amp; n.113</w:t>
      </w:r>
      <w:r>
        <w:rPr>
          <w:color w:val="000000" w:themeColor="text1"/>
        </w:rPr>
        <w:t xml:space="preserve"> (2019).</w:t>
      </w:r>
    </w:p>
  </w:footnote>
  <w:footnote w:id="693">
    <w:p w14:paraId="34B3C31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Michael Gagarin, </w:t>
      </w:r>
      <w:r>
        <w:rPr>
          <w:i/>
          <w:iCs/>
          <w:color w:val="000000" w:themeColor="text1"/>
        </w:rPr>
        <w:t>Women in Athenian Courts</w:t>
      </w:r>
      <w:r>
        <w:rPr>
          <w:color w:val="000000" w:themeColor="text1"/>
        </w:rPr>
        <w:t>, 1 Dike 39, 49–50 (1998).</w:t>
      </w:r>
    </w:p>
  </w:footnote>
  <w:footnote w:id="694">
    <w:p w14:paraId="6F507EE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R.N. Swanson, Arbitration, Delegation, Conservation: Marginalized Mechanisms for Dispute Resolution in the Pre-Reformation English Church, 56 Studies in Church History 165, 170–72</w:t>
      </w:r>
      <w:r>
        <w:rPr>
          <w:color w:val="000000" w:themeColor="text1"/>
        </w:rPr>
        <w:t xml:space="preserve"> (2020).</w:t>
      </w:r>
    </w:p>
  </w:footnote>
  <w:footnote w:id="695">
    <w:p w14:paraId="7E21688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Delgado et al., </w:t>
      </w:r>
      <w:r>
        <w:rPr>
          <w:i/>
          <w:iCs/>
          <w:color w:val="000000" w:themeColor="text1"/>
        </w:rPr>
        <w:t>supra</w:t>
      </w:r>
      <w:r>
        <w:rPr>
          <w:color w:val="000000" w:themeColor="text1"/>
        </w:rPr>
        <w:t xml:space="preserve"> note 349, at 1394 (quoting Richard L. Abel, </w:t>
      </w:r>
      <w:proofErr w:type="spellStart"/>
      <w:r>
        <w:rPr>
          <w:i/>
          <w:iCs/>
          <w:color w:val="000000" w:themeColor="text1"/>
        </w:rPr>
        <w:t>Delegalization</w:t>
      </w:r>
      <w:proofErr w:type="spellEnd"/>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Alternative </w:t>
      </w:r>
      <w:proofErr w:type="spellStart"/>
      <w:r>
        <w:rPr>
          <w:smallCaps/>
          <w:color w:val="000000" w:themeColor="text1"/>
        </w:rPr>
        <w:t>Rechtsformen</w:t>
      </w:r>
      <w:proofErr w:type="spellEnd"/>
      <w:r>
        <w:rPr>
          <w:smallCaps/>
          <w:color w:val="000000" w:themeColor="text1"/>
        </w:rPr>
        <w:t xml:space="preserve"> und </w:t>
      </w:r>
      <w:proofErr w:type="spellStart"/>
      <w:r>
        <w:rPr>
          <w:smallCaps/>
          <w:color w:val="000000" w:themeColor="text1"/>
        </w:rPr>
        <w:t>Alternativen</w:t>
      </w:r>
      <w:proofErr w:type="spellEnd"/>
      <w:r>
        <w:rPr>
          <w:smallCaps/>
          <w:color w:val="000000" w:themeColor="text1"/>
        </w:rPr>
        <w:t xml:space="preserve"> </w:t>
      </w:r>
      <w:proofErr w:type="spellStart"/>
      <w:r>
        <w:rPr>
          <w:smallCaps/>
          <w:color w:val="000000" w:themeColor="text1"/>
        </w:rPr>
        <w:t>zum</w:t>
      </w:r>
      <w:proofErr w:type="spellEnd"/>
      <w:r>
        <w:rPr>
          <w:smallCaps/>
          <w:color w:val="000000" w:themeColor="text1"/>
        </w:rPr>
        <w:t xml:space="preserve"> </w:t>
      </w:r>
      <w:proofErr w:type="spellStart"/>
      <w:r>
        <w:rPr>
          <w:smallCaps/>
          <w:color w:val="000000" w:themeColor="text1"/>
        </w:rPr>
        <w:t>Recht</w:t>
      </w:r>
      <w:proofErr w:type="spellEnd"/>
      <w:r>
        <w:rPr>
          <w:color w:val="000000" w:themeColor="text1"/>
        </w:rPr>
        <w:t xml:space="preserve"> 27, 40 (1980)); </w:t>
      </w:r>
      <w:r>
        <w:rPr>
          <w:i/>
          <w:iCs/>
          <w:color w:val="000000" w:themeColor="text1"/>
        </w:rPr>
        <w:t>see also</w:t>
      </w:r>
      <w:r>
        <w:rPr>
          <w:color w:val="000000" w:themeColor="text1"/>
        </w:rPr>
        <w:t xml:space="preserve"> Charles B. Craver, </w:t>
      </w:r>
      <w:r>
        <w:rPr>
          <w:i/>
          <w:iCs/>
          <w:color w:val="000000" w:themeColor="text1"/>
        </w:rPr>
        <w:t xml:space="preserve">Do Alternative Dispute Resolution Procedures Disadvantage Women and </w:t>
      </w:r>
      <w:proofErr w:type="gramStart"/>
      <w:r>
        <w:rPr>
          <w:i/>
          <w:iCs/>
          <w:color w:val="000000" w:themeColor="text1"/>
        </w:rPr>
        <w:t>Minorities?</w:t>
      </w:r>
      <w:r>
        <w:rPr>
          <w:color w:val="000000" w:themeColor="text1"/>
        </w:rPr>
        <w:t>,</w:t>
      </w:r>
      <w:proofErr w:type="gramEnd"/>
      <w:r>
        <w:rPr>
          <w:color w:val="000000" w:themeColor="text1"/>
        </w:rPr>
        <w:t xml:space="preserve"> 70 </w:t>
      </w:r>
      <w:r>
        <w:rPr>
          <w:smallCaps/>
          <w:color w:val="000000" w:themeColor="text1"/>
        </w:rPr>
        <w:t>SMU L. Rev.</w:t>
      </w:r>
      <w:r>
        <w:rPr>
          <w:color w:val="000000" w:themeColor="text1"/>
        </w:rPr>
        <w:t xml:space="preserve"> 891, 895 (2017) (summarizing Delgado’s argument). </w:t>
      </w:r>
      <w:r>
        <w:rPr>
          <w:i/>
          <w:iCs/>
          <w:color w:val="000000" w:themeColor="text1"/>
        </w:rPr>
        <w:t>But see id.</w:t>
      </w:r>
      <w:r>
        <w:rPr>
          <w:color w:val="000000" w:themeColor="text1"/>
        </w:rPr>
        <w:t xml:space="preserve"> at 891, 912 (concluding that “adjudication is not clearly preferable to ADR procedures for minority group members and women”).</w:t>
      </w:r>
    </w:p>
  </w:footnote>
  <w:footnote w:id="696">
    <w:p w14:paraId="62B4634D"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Trina Grillo, </w:t>
      </w:r>
      <w:r>
        <w:rPr>
          <w:i/>
          <w:iCs/>
          <w:color w:val="000000" w:themeColor="text1"/>
        </w:rPr>
        <w:t>The Mediation Alternative: Process Dangers for Women,</w:t>
      </w:r>
      <w:r>
        <w:rPr>
          <w:color w:val="000000" w:themeColor="text1"/>
        </w:rPr>
        <w:t xml:space="preserve"> 100 </w:t>
      </w:r>
      <w:r>
        <w:rPr>
          <w:smallCaps/>
          <w:color w:val="000000" w:themeColor="text1"/>
        </w:rPr>
        <w:t>Yale L.J.</w:t>
      </w:r>
      <w:r>
        <w:rPr>
          <w:color w:val="000000" w:themeColor="text1"/>
        </w:rPr>
        <w:t xml:space="preserve"> 1545, 1572 (1991).</w:t>
      </w:r>
    </w:p>
  </w:footnote>
  <w:footnote w:id="697">
    <w:p w14:paraId="3D5273D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Frank E.A. Sander, </w:t>
      </w:r>
      <w:r>
        <w:rPr>
          <w:i/>
          <w:iCs/>
          <w:color w:val="000000" w:themeColor="text1"/>
        </w:rPr>
        <w:t>Alternative Methods of Dispute Resolution: An Overview</w:t>
      </w:r>
      <w:r>
        <w:rPr>
          <w:color w:val="000000" w:themeColor="text1"/>
        </w:rPr>
        <w:t xml:space="preserve">, 37 </w:t>
      </w:r>
      <w:r>
        <w:rPr>
          <w:smallCaps/>
          <w:color w:val="000000" w:themeColor="text1"/>
        </w:rPr>
        <w:t>U. Fla. L. Rev.</w:t>
      </w:r>
      <w:r>
        <w:rPr>
          <w:color w:val="000000" w:themeColor="text1"/>
        </w:rPr>
        <w:t xml:space="preserve"> 1, 14 (1985).</w:t>
      </w:r>
    </w:p>
  </w:footnote>
  <w:footnote w:id="698">
    <w:p w14:paraId="1F32C40B"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Eric K. Yamamoto, </w:t>
      </w:r>
      <w:r>
        <w:rPr>
          <w:i/>
          <w:iCs/>
          <w:color w:val="000000" w:themeColor="text1"/>
        </w:rPr>
        <w:t>Critical Procedure: ADR and the Justices’ “Second Wave” Constriction of Court Access and Claim Development</w:t>
      </w:r>
      <w:r>
        <w:rPr>
          <w:color w:val="000000" w:themeColor="text1"/>
        </w:rPr>
        <w:t xml:space="preserve">, 70 </w:t>
      </w:r>
      <w:r>
        <w:rPr>
          <w:smallCaps/>
          <w:color w:val="000000" w:themeColor="text1"/>
        </w:rPr>
        <w:t>SMU L. Rev.</w:t>
      </w:r>
      <w:r>
        <w:rPr>
          <w:color w:val="000000" w:themeColor="text1"/>
        </w:rPr>
        <w:t xml:space="preserve"> 765, 807 (2017) (quoting Jessica Silver-Greenberg &amp; Michael Corkery, </w:t>
      </w:r>
      <w:r>
        <w:rPr>
          <w:i/>
          <w:iCs/>
          <w:color w:val="000000" w:themeColor="text1"/>
        </w:rPr>
        <w:t>In Arbitration, a “Privatization of the Justice System,”</w:t>
      </w:r>
      <w:r>
        <w:rPr>
          <w:color w:val="000000" w:themeColor="text1"/>
        </w:rPr>
        <w:t xml:space="preserve"> </w:t>
      </w:r>
      <w:r>
        <w:rPr>
          <w:smallCaps/>
          <w:color w:val="000000" w:themeColor="text1"/>
        </w:rPr>
        <w:t>N.Y. Times</w:t>
      </w:r>
      <w:r>
        <w:rPr>
          <w:color w:val="000000" w:themeColor="text1"/>
        </w:rPr>
        <w:t xml:space="preserve"> (Nov. 1, 2015), http://www.nytimes.com/2015/11/02/business/dealbook/in-arbitration-a-privatization-of-the-justice-system.html (quoting Myriam Gilles)); Cynthia </w:t>
      </w:r>
      <w:proofErr w:type="spellStart"/>
      <w:r>
        <w:rPr>
          <w:color w:val="000000" w:themeColor="text1"/>
        </w:rPr>
        <w:t>Estlund</w:t>
      </w:r>
      <w:proofErr w:type="spellEnd"/>
      <w:r>
        <w:rPr>
          <w:color w:val="000000" w:themeColor="text1"/>
        </w:rPr>
        <w:t xml:space="preserve">, </w:t>
      </w:r>
      <w:r>
        <w:rPr>
          <w:i/>
          <w:iCs/>
          <w:color w:val="000000" w:themeColor="text1"/>
        </w:rPr>
        <w:t>The Black Hole of Mandatory Arbitration</w:t>
      </w:r>
      <w:r>
        <w:rPr>
          <w:color w:val="000000" w:themeColor="text1"/>
        </w:rPr>
        <w:t xml:space="preserve">, 96 </w:t>
      </w:r>
      <w:r>
        <w:rPr>
          <w:smallCaps/>
          <w:color w:val="000000" w:themeColor="text1"/>
        </w:rPr>
        <w:t>N.C. L. Rev.</w:t>
      </w:r>
      <w:r>
        <w:rPr>
          <w:color w:val="000000" w:themeColor="text1"/>
        </w:rPr>
        <w:t xml:space="preserve"> 679, 682 (2018).</w:t>
      </w:r>
    </w:p>
  </w:footnote>
  <w:footnote w:id="699">
    <w:p w14:paraId="799791A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w:t>
      </w:r>
      <w:proofErr w:type="spellStart"/>
      <w:r>
        <w:rPr>
          <w:color w:val="000000" w:themeColor="text1"/>
        </w:rPr>
        <w:t>Sternlight</w:t>
      </w:r>
      <w:proofErr w:type="spellEnd"/>
      <w:r>
        <w:rPr>
          <w:color w:val="000000" w:themeColor="text1"/>
        </w:rPr>
        <w:t xml:space="preserve">, </w:t>
      </w:r>
      <w:r>
        <w:rPr>
          <w:i/>
          <w:iCs/>
          <w:color w:val="000000" w:themeColor="text1"/>
        </w:rPr>
        <w:t>Disarming Employees: How American Employers Are Using Mandatory Arbitration to Deprive Workers of Legal Protection</w:t>
      </w:r>
      <w:r>
        <w:rPr>
          <w:color w:val="000000" w:themeColor="text1"/>
        </w:rPr>
        <w:t xml:space="preserve">, 80 </w:t>
      </w:r>
      <w:r>
        <w:rPr>
          <w:smallCaps/>
          <w:color w:val="000000" w:themeColor="text1"/>
        </w:rPr>
        <w:t>Brook. L. Rev.</w:t>
      </w:r>
      <w:r>
        <w:rPr>
          <w:color w:val="000000" w:themeColor="text1"/>
        </w:rPr>
        <w:t xml:space="preserve"> 1309, 1353 (2015).</w:t>
      </w:r>
    </w:p>
  </w:footnote>
  <w:footnote w:id="700">
    <w:p w14:paraId="46BC2563"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1652, 1656–57 (2023); J. Maria Glover, </w:t>
      </w:r>
      <w:r>
        <w:rPr>
          <w:i/>
          <w:iCs/>
          <w:color w:val="000000" w:themeColor="text1"/>
        </w:rPr>
        <w:t>Mass Arbitration</w:t>
      </w:r>
      <w:r>
        <w:rPr>
          <w:color w:val="000000" w:themeColor="text1"/>
        </w:rPr>
        <w:t xml:space="preserve">, 74 </w:t>
      </w:r>
      <w:r>
        <w:rPr>
          <w:smallCaps/>
          <w:color w:val="000000" w:themeColor="text1"/>
        </w:rPr>
        <w:t>Stan. L. Rev.</w:t>
      </w:r>
      <w:r>
        <w:rPr>
          <w:color w:val="000000" w:themeColor="text1"/>
        </w:rPr>
        <w:t xml:space="preserve"> 1283, 1308–09 (2022).</w:t>
      </w:r>
    </w:p>
  </w:footnote>
  <w:footnote w:id="701">
    <w:p w14:paraId="3AF31FC1"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w:t>
      </w:r>
      <w:proofErr w:type="spellStart"/>
      <w:r>
        <w:rPr>
          <w:color w:val="000000" w:themeColor="text1"/>
        </w:rPr>
        <w:t>Sternlight</w:t>
      </w:r>
      <w:proofErr w:type="spellEnd"/>
      <w:r>
        <w:rPr>
          <w:color w:val="000000" w:themeColor="text1"/>
        </w:rPr>
        <w:t>, Mandatory Arbitration Stymies Progress Towards Justice in Employment Law: Where To, #</w:t>
      </w:r>
      <w:proofErr w:type="gramStart"/>
      <w:r>
        <w:rPr>
          <w:color w:val="000000" w:themeColor="text1"/>
        </w:rPr>
        <w:t>MeToo?,</w:t>
      </w:r>
      <w:proofErr w:type="gramEnd"/>
      <w:r>
        <w:rPr>
          <w:color w:val="000000" w:themeColor="text1"/>
        </w:rPr>
        <w:t xml:space="preserve"> 54 Harv. C.R.-C.L. L. Rev. 155, 157, 159 (2019).</w:t>
      </w:r>
    </w:p>
  </w:footnote>
  <w:footnote w:id="702">
    <w:p w14:paraId="1C16125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&amp; Alexander J.S. Colvin, </w:t>
      </w:r>
      <w:r>
        <w:rPr>
          <w:i/>
          <w:iCs/>
          <w:color w:val="000000" w:themeColor="text1"/>
        </w:rPr>
        <w:t>The Arbitration Epidemic</w:t>
      </w:r>
      <w:r>
        <w:rPr>
          <w:color w:val="000000" w:themeColor="text1"/>
        </w:rPr>
        <w:t xml:space="preserve">, </w:t>
      </w:r>
      <w:r>
        <w:rPr>
          <w:smallCaps/>
          <w:color w:val="000000" w:themeColor="text1"/>
        </w:rPr>
        <w:t xml:space="preserve">Econ. </w:t>
      </w:r>
      <w:proofErr w:type="spellStart"/>
      <w:r>
        <w:rPr>
          <w:smallCaps/>
          <w:color w:val="000000" w:themeColor="text1"/>
        </w:rPr>
        <w:t>Pol’y</w:t>
      </w:r>
      <w:proofErr w:type="spellEnd"/>
      <w:r>
        <w:rPr>
          <w:smallCaps/>
          <w:color w:val="000000" w:themeColor="text1"/>
        </w:rPr>
        <w:t xml:space="preserve"> Inst</w:t>
      </w:r>
      <w:r>
        <w:rPr>
          <w:color w:val="000000" w:themeColor="text1"/>
        </w:rPr>
        <w:t>. 22–23 (2015).</w:t>
      </w:r>
    </w:p>
  </w:footnote>
  <w:footnote w:id="703">
    <w:p w14:paraId="15C99A26"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704">
    <w:p w14:paraId="722B6CC8"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A. Benjamin Spencer, </w:t>
      </w:r>
      <w:r>
        <w:rPr>
          <w:i/>
          <w:iCs/>
          <w:color w:val="000000" w:themeColor="text1"/>
        </w:rPr>
        <w:t>The Restrictive Ethos in Civil Procedure, 78 Geo. Wash. L. Rev. 353, 353–54</w:t>
      </w:r>
      <w:r>
        <w:rPr>
          <w:color w:val="000000" w:themeColor="text1"/>
        </w:rPr>
        <w:t xml:space="preserve"> (2010).</w:t>
      </w:r>
    </w:p>
  </w:footnote>
  <w:footnote w:id="705">
    <w:p w14:paraId="06F931B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R. Miller, </w:t>
      </w:r>
      <w:r>
        <w:rPr>
          <w:i/>
          <w:iCs/>
          <w:color w:val="000000" w:themeColor="text1"/>
        </w:rPr>
        <w:t xml:space="preserve">What Are Courts For? Have We Forsaken the Procedural Gold </w:t>
      </w:r>
      <w:proofErr w:type="gramStart"/>
      <w:r>
        <w:rPr>
          <w:i/>
          <w:iCs/>
          <w:color w:val="000000" w:themeColor="text1"/>
        </w:rPr>
        <w:t>Standard?</w:t>
      </w:r>
      <w:r>
        <w:rPr>
          <w:color w:val="000000" w:themeColor="text1"/>
        </w:rPr>
        <w:t>,</w:t>
      </w:r>
      <w:proofErr w:type="gramEnd"/>
      <w:r>
        <w:rPr>
          <w:color w:val="000000" w:themeColor="text1"/>
        </w:rPr>
        <w:t xml:space="preserve"> 78 </w:t>
      </w:r>
      <w:r>
        <w:rPr>
          <w:smallCaps/>
          <w:color w:val="000000" w:themeColor="text1"/>
        </w:rPr>
        <w:t>La. L. Rev.</w:t>
      </w:r>
      <w:r>
        <w:rPr>
          <w:color w:val="000000" w:themeColor="text1"/>
        </w:rPr>
        <w:t xml:space="preserve"> 739, 746, 769 (2018).</w:t>
      </w:r>
    </w:p>
  </w:footnote>
  <w:footnote w:id="706">
    <w:p w14:paraId="20F4F31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Lonny Hoffman,</w:t>
      </w:r>
      <w:r>
        <w:rPr>
          <w:i/>
          <w:iCs/>
          <w:color w:val="000000" w:themeColor="text1"/>
        </w:rPr>
        <w:t xml:space="preserve"> Plausible Theory, Implausible Conclusions</w:t>
      </w:r>
      <w:r>
        <w:rPr>
          <w:color w:val="000000" w:themeColor="text1"/>
        </w:rPr>
        <w:t xml:space="preserve">, 83 </w:t>
      </w:r>
      <w:r>
        <w:rPr>
          <w:smallCaps/>
          <w:color w:val="000000" w:themeColor="text1"/>
        </w:rPr>
        <w:t>U. Chi. L. Rev. Online</w:t>
      </w:r>
      <w:r>
        <w:rPr>
          <w:color w:val="000000" w:themeColor="text1"/>
        </w:rPr>
        <w:t xml:space="preserve"> 143, 152 (2016).</w:t>
      </w:r>
    </w:p>
  </w:footnote>
  <w:footnote w:id="707">
    <w:p w14:paraId="701EFA1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708">
    <w:p w14:paraId="50F3BBE6"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G. Ross, The Honest Hour: The Ethics of Time-Based Billing by Attorneys</w:t>
      </w:r>
      <w:r>
        <w:rPr>
          <w:color w:val="000000" w:themeColor="text1"/>
        </w:rPr>
        <w:t xml:space="preserve"> 157–63 (1996).</w:t>
      </w:r>
    </w:p>
  </w:footnote>
  <w:footnote w:id="709">
    <w:p w14:paraId="317C4F15"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Douglas R. Richmond, </w:t>
      </w:r>
      <w:r>
        <w:rPr>
          <w:i/>
          <w:iCs/>
          <w:color w:val="000000" w:themeColor="text1"/>
        </w:rPr>
        <w:t>The New Law Firm Economy, Billable Hours, and Professional Responsibility</w:t>
      </w:r>
      <w:r>
        <w:rPr>
          <w:color w:val="000000" w:themeColor="text1"/>
        </w:rPr>
        <w:t xml:space="preserve">, 29 </w:t>
      </w:r>
      <w:r>
        <w:rPr>
          <w:smallCaps/>
          <w:color w:val="000000" w:themeColor="text1"/>
        </w:rPr>
        <w:t>Hofstra L. Rev.</w:t>
      </w:r>
      <w:r>
        <w:rPr>
          <w:color w:val="000000" w:themeColor="text1"/>
        </w:rPr>
        <w:t xml:space="preserve"> 207, 229 (2000).</w:t>
      </w:r>
    </w:p>
  </w:footnote>
  <w:footnote w:id="710">
    <w:p w14:paraId="08F29B05"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McKenzie v. </w:t>
      </w:r>
      <w:proofErr w:type="spellStart"/>
      <w:r>
        <w:rPr>
          <w:color w:val="000000" w:themeColor="text1"/>
        </w:rPr>
        <w:t>Kennickell</w:t>
      </w:r>
      <w:proofErr w:type="spellEnd"/>
      <w:r>
        <w:rPr>
          <w:color w:val="000000" w:themeColor="text1"/>
        </w:rPr>
        <w:t>, 645 F. Supp. 437, 450 (D.D.C. 1986).</w:t>
      </w:r>
    </w:p>
  </w:footnote>
  <w:footnote w:id="711">
    <w:p w14:paraId="5E31BFBE"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Berberena</w:t>
      </w:r>
      <w:proofErr w:type="spellEnd"/>
      <w:r>
        <w:rPr>
          <w:color w:val="000000" w:themeColor="text1"/>
        </w:rPr>
        <w:t xml:space="preserve"> v. </w:t>
      </w:r>
      <w:proofErr w:type="spellStart"/>
      <w:r>
        <w:rPr>
          <w:color w:val="000000" w:themeColor="text1"/>
        </w:rPr>
        <w:t>Coler</w:t>
      </w:r>
      <w:proofErr w:type="spellEnd"/>
      <w:r>
        <w:rPr>
          <w:color w:val="000000" w:themeColor="text1"/>
        </w:rPr>
        <w:t>, 753 F.2d 629, 633 (7th Cir. 1985).</w:t>
      </w:r>
    </w:p>
  </w:footnote>
  <w:footnote w:id="712">
    <w:p w14:paraId="3595CD51"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Irma Russell et al., </w:t>
      </w:r>
      <w:r>
        <w:rPr>
          <w:i/>
          <w:iCs/>
          <w:color w:val="000000" w:themeColor="text1"/>
        </w:rPr>
        <w:t>The Lawyer's Duty of Competence in a Climate-Imperiled World</w:t>
      </w:r>
      <w:r>
        <w:rPr>
          <w:color w:val="000000" w:themeColor="text1"/>
        </w:rPr>
        <w:t xml:space="preserve">, 92 </w:t>
      </w:r>
      <w:r>
        <w:rPr>
          <w:smallCaps/>
          <w:color w:val="000000" w:themeColor="text1"/>
        </w:rPr>
        <w:t>UMKC L. Rev.</w:t>
      </w:r>
      <w:r>
        <w:rPr>
          <w:color w:val="000000" w:themeColor="text1"/>
        </w:rPr>
        <w:t xml:space="preserve"> 859, 866 (2024) (quoting Model Rules of Pro. Conduct r. 1.1 </w:t>
      </w:r>
      <w:proofErr w:type="spellStart"/>
      <w:r>
        <w:rPr>
          <w:color w:val="000000" w:themeColor="text1"/>
        </w:rPr>
        <w:t>cmt</w:t>
      </w:r>
      <w:proofErr w:type="spellEnd"/>
      <w:r>
        <w:rPr>
          <w:color w:val="000000" w:themeColor="text1"/>
        </w:rPr>
        <w:t xml:space="preserve">. 5 (Am. Bar </w:t>
      </w:r>
      <w:proofErr w:type="spellStart"/>
      <w:r>
        <w:rPr>
          <w:color w:val="000000" w:themeColor="text1"/>
        </w:rPr>
        <w:t>Ass’n</w:t>
      </w:r>
      <w:proofErr w:type="spellEnd"/>
      <w:r>
        <w:rPr>
          <w:color w:val="000000" w:themeColor="text1"/>
        </w:rPr>
        <w:t xml:space="preserve"> 2023)).</w:t>
      </w:r>
    </w:p>
  </w:footnote>
  <w:footnote w:id="713">
    <w:p w14:paraId="4EF2687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714">
    <w:p w14:paraId="449EF82C"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Heidi K. Gardner, Smart Collaboration: How Professionals and Their Firms Succeed by Breaking Down Silos</w:t>
      </w:r>
      <w:r>
        <w:rPr>
          <w:color w:val="000000" w:themeColor="text1"/>
        </w:rPr>
        <w:t xml:space="preserve"> 13, 208–09 (2017);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715">
    <w:p w14:paraId="21A3806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Gardner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211.</w:t>
      </w:r>
    </w:p>
  </w:footnote>
  <w:footnote w:id="716">
    <w:p w14:paraId="1881059F" w14:textId="77777777" w:rsidR="00A405B1" w:rsidRPr="005B3E31" w:rsidRDefault="00A405B1" w:rsidP="00A405B1">
      <w:pPr>
        <w:pStyle w:val="FootnoteText"/>
        <w:spacing w:line="480" w:lineRule="auto"/>
      </w:pPr>
      <w:r>
        <w:rPr>
          <w:rStyle w:val="FootnoteReference"/>
        </w:rPr>
        <w:footnoteRef/>
      </w:r>
      <w:r>
        <w:rPr>
          <w:i/>
          <w:iCs/>
        </w:rPr>
        <w:t xml:space="preserve"> Id.</w:t>
      </w:r>
      <w:r>
        <w:t xml:space="preserve"> at 37.</w:t>
      </w:r>
      <w:r>
        <w:rPr>
          <w:i/>
          <w:iCs/>
        </w:rPr>
        <w:t xml:space="preserve"> </w:t>
      </w:r>
    </w:p>
  </w:footnote>
  <w:footnote w:id="717">
    <w:p w14:paraId="28C16C5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37.</w:t>
      </w:r>
    </w:p>
  </w:footnote>
  <w:footnote w:id="718">
    <w:p w14:paraId="4E739744"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Thank you to Sixth Circuit Court of Appeals Judge Chad A. </w:t>
      </w:r>
      <w:proofErr w:type="spellStart"/>
      <w:r>
        <w:rPr>
          <w:color w:val="000000" w:themeColor="text1"/>
        </w:rPr>
        <w:t>Readler</w:t>
      </w:r>
      <w:proofErr w:type="spellEnd"/>
      <w:r>
        <w:rPr>
          <w:color w:val="000000" w:themeColor="text1"/>
        </w:rPr>
        <w:t xml:space="preserve"> for giving our class an opportunity to speak with Michael.  </w:t>
      </w:r>
    </w:p>
  </w:footnote>
  <w:footnote w:id="719">
    <w:p w14:paraId="437EF62D" w14:textId="77777777" w:rsidR="00D879FE" w:rsidRDefault="00000000">
      <w:pPr>
        <w:pStyle w:val="FootnoteText"/>
        <w:spacing w:line="480" w:lineRule="auto"/>
      </w:pPr>
      <w:r>
        <w:rPr>
          <w:rStyle w:val="FootnoteReference"/>
        </w:rPr>
        <w:footnoteRef/>
      </w:r>
      <w:r>
        <w:t xml:space="preserve"> </w:t>
      </w:r>
      <w:r>
        <w:rPr>
          <w:smallCaps/>
        </w:rPr>
        <w:t>McGuire</w:t>
      </w:r>
      <w:r>
        <w:t xml:space="preserve">, </w:t>
      </w:r>
      <w:r>
        <w:rPr>
          <w:i/>
        </w:rPr>
        <w:t>supra</w:t>
      </w:r>
      <w:r>
        <w:t>, at 110.</w:t>
      </w:r>
    </w:p>
  </w:footnote>
  <w:footnote w:id="720">
    <w:p w14:paraId="78B6FA74"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J. Langlois, </w:t>
      </w:r>
      <w:r>
        <w:rPr>
          <w:i/>
          <w:iCs/>
          <w:color w:val="000000" w:themeColor="text1"/>
        </w:rPr>
        <w:t>Dress Rehearsal: The Moot Court Program at Georgetown Law Center’s Supreme Court Institute</w:t>
      </w:r>
      <w:r>
        <w:rPr>
          <w:color w:val="000000" w:themeColor="text1"/>
        </w:rPr>
        <w:t xml:space="preserve">, 7 </w:t>
      </w:r>
      <w:r>
        <w:rPr>
          <w:smallCaps/>
          <w:color w:val="000000" w:themeColor="text1"/>
        </w:rPr>
        <w:t xml:space="preserve">J. App. </w:t>
      </w:r>
      <w:proofErr w:type="spellStart"/>
      <w:r>
        <w:rPr>
          <w:smallCaps/>
          <w:color w:val="000000" w:themeColor="text1"/>
        </w:rPr>
        <w:t>Prac</w:t>
      </w:r>
      <w:proofErr w:type="spellEnd"/>
      <w:r>
        <w:rPr>
          <w:smallCaps/>
          <w:color w:val="000000" w:themeColor="text1"/>
        </w:rPr>
        <w:t>. &amp; Process</w:t>
      </w:r>
      <w:r>
        <w:rPr>
          <w:color w:val="000000" w:themeColor="text1"/>
        </w:rPr>
        <w:t xml:space="preserve"> 231, 243 (2005) (quoting Interview with Richard J. Lazarus, Professor, Georgetown University Law Center).</w:t>
      </w:r>
    </w:p>
  </w:footnote>
  <w:footnote w:id="721">
    <w:p w14:paraId="1EB339BD" w14:textId="77777777" w:rsidR="00481776" w:rsidRPr="005B3E31" w:rsidRDefault="00481776" w:rsidP="003D74D8">
      <w:pPr>
        <w:pStyle w:val="FootnoteText"/>
        <w:spacing w:line="480" w:lineRule="auto"/>
      </w:pPr>
      <w:r>
        <w:rPr>
          <w:rStyle w:val="FootnoteReference"/>
        </w:rPr>
        <w:footnoteRef/>
      </w:r>
      <w:r>
        <w:t xml:space="preserve"> Nicholas </w:t>
      </w:r>
      <w:proofErr w:type="spellStart"/>
      <w:r>
        <w:t>Varchaver</w:t>
      </w:r>
      <w:proofErr w:type="spellEnd"/>
      <w:r>
        <w:t xml:space="preserve">, </w:t>
      </w:r>
      <w:r>
        <w:rPr>
          <w:i/>
          <w:iCs/>
        </w:rPr>
        <w:t>Diamonds Are This Firm’s Best Friend</w:t>
      </w:r>
      <w:r>
        <w:t xml:space="preserve">, </w:t>
      </w:r>
      <w:r>
        <w:rPr>
          <w:smallCaps/>
        </w:rPr>
        <w:t>Am. Law.</w:t>
      </w:r>
      <w:r>
        <w:t>, Dec. 1995, at 10.</w:t>
      </w:r>
    </w:p>
  </w:footnote>
  <w:footnote w:id="722">
    <w:p w14:paraId="5CBADC67" w14:textId="77777777" w:rsidR="00481776" w:rsidRPr="005B3E31" w:rsidRDefault="00481776" w:rsidP="003D74D8">
      <w:pPr>
        <w:pStyle w:val="FootnoteText"/>
        <w:spacing w:line="480" w:lineRule="auto"/>
      </w:pPr>
      <w:r>
        <w:rPr>
          <w:rStyle w:val="FootnoteReference"/>
        </w:rPr>
        <w:footnoteRef/>
      </w:r>
      <w:r>
        <w:t xml:space="preserve"> </w:t>
      </w:r>
      <w:r>
        <w:rPr>
          <w:color w:val="000000" w:themeColor="text1"/>
        </w:rPr>
        <w:t xml:space="preserve">Langlois, </w:t>
      </w:r>
      <w:r>
        <w:rPr>
          <w:i/>
          <w:iCs/>
          <w:color w:val="000000" w:themeColor="text1"/>
        </w:rPr>
        <w:t>supra</w:t>
      </w:r>
      <w:r>
        <w:rPr>
          <w:color w:val="000000" w:themeColor="text1"/>
        </w:rPr>
        <w:t xml:space="preserve"> note 677, at 235–36.</w:t>
      </w:r>
    </w:p>
  </w:footnote>
  <w:footnote w:id="723">
    <w:p w14:paraId="07A645F8"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Democratic Party of Wash. State v. Reed, 388 F.3d 1281, 1286 (9th Cir. 2004); Otto v. City of Boca Raton, 981 F.3d 854, 871 (11th Cir. 2020). </w:t>
      </w:r>
    </w:p>
  </w:footnote>
  <w:footnote w:id="724">
    <w:p w14:paraId="10D6F9D0"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Motion for Attorneys’ Fees at 15, Brown v. Entm't </w:t>
      </w:r>
      <w:proofErr w:type="spellStart"/>
      <w:r>
        <w:rPr>
          <w:color w:val="000000" w:themeColor="text1"/>
        </w:rPr>
        <w:t>Merchs</w:t>
      </w:r>
      <w:proofErr w:type="spellEnd"/>
      <w:r>
        <w:rPr>
          <w:color w:val="000000" w:themeColor="text1"/>
        </w:rPr>
        <w:t xml:space="preserve">. </w:t>
      </w:r>
      <w:proofErr w:type="spellStart"/>
      <w:r>
        <w:rPr>
          <w:color w:val="000000" w:themeColor="text1"/>
        </w:rPr>
        <w:t>Ass’n</w:t>
      </w:r>
      <w:proofErr w:type="spellEnd"/>
      <w:r>
        <w:rPr>
          <w:color w:val="000000" w:themeColor="text1"/>
        </w:rPr>
        <w:t>, No. 2:05-cv-04188 (N.D. Cal. July 25, 2011).</w:t>
      </w:r>
    </w:p>
  </w:footnote>
  <w:footnote w:id="725">
    <w:p w14:paraId="223A5550" w14:textId="77777777" w:rsidR="00D879FE" w:rsidRDefault="00000000">
      <w:pPr>
        <w:pStyle w:val="FootnoteText"/>
        <w:spacing w:line="480" w:lineRule="auto"/>
      </w:pPr>
      <w:r>
        <w:rPr>
          <w:rStyle w:val="FootnoteReference"/>
        </w:rPr>
        <w:footnoteRef/>
      </w:r>
      <w:r>
        <w:t xml:space="preserve"> Interview with Carter G. Phillips, Partner, Sidley Austin LLP ([date]) (notes on file with author).</w:t>
      </w:r>
    </w:p>
  </w:footnote>
  <w:footnote w:id="726">
    <w:p w14:paraId="32E7B31B" w14:textId="77777777" w:rsidR="00D879FE" w:rsidRDefault="00000000">
      <w:pPr>
        <w:pStyle w:val="FootnoteText"/>
        <w:spacing w:line="480" w:lineRule="auto"/>
      </w:pPr>
      <w:r>
        <w:rPr>
          <w:rStyle w:val="FootnoteReference"/>
        </w:rPr>
        <w:footnoteRef/>
      </w:r>
      <w:r>
        <w:t xml:space="preserve"> Interview with Carter G. Phillips, </w:t>
      </w:r>
      <w:r>
        <w:rPr>
          <w:i/>
        </w:rPr>
        <w:t>supra</w:t>
      </w:r>
      <w:r>
        <w:t>.</w:t>
      </w:r>
    </w:p>
  </w:footnote>
  <w:footnote w:id="727">
    <w:p w14:paraId="7DCEF2DD" w14:textId="77777777" w:rsidR="00D879FE" w:rsidRDefault="00000000">
      <w:pPr>
        <w:pStyle w:val="FootnoteText"/>
        <w:spacing w:line="480" w:lineRule="auto"/>
      </w:pPr>
      <w:r>
        <w:rPr>
          <w:rStyle w:val="FootnoteReference"/>
        </w:rPr>
        <w:footnoteRef/>
      </w:r>
      <w:r>
        <w:t xml:space="preserve"> </w:t>
      </w:r>
      <w:r>
        <w:rPr>
          <w:smallCaps/>
        </w:rPr>
        <w:t>McGuire</w:t>
      </w:r>
      <w:r>
        <w:t xml:space="preserve">, </w:t>
      </w:r>
      <w:r>
        <w:rPr>
          <w:i/>
        </w:rPr>
        <w:t>supra</w:t>
      </w:r>
      <w:r>
        <w:t xml:space="preserve">, at 112 (quoting </w:t>
      </w:r>
      <w:r>
        <w:rPr>
          <w:smallCaps/>
        </w:rPr>
        <w:t xml:space="preserve">Stephen L. </w:t>
      </w:r>
      <w:proofErr w:type="spellStart"/>
      <w:r>
        <w:rPr>
          <w:smallCaps/>
        </w:rPr>
        <w:t>Wasby</w:t>
      </w:r>
      <w:proofErr w:type="spellEnd"/>
      <w:r>
        <w:rPr>
          <w:smallCaps/>
        </w:rPr>
        <w:t>, The Supreme Court in the Federal Judicial System</w:t>
      </w:r>
      <w:r>
        <w:t xml:space="preserve"> 147 (1988)).</w:t>
      </w:r>
    </w:p>
  </w:footnote>
  <w:footnote w:id="728">
    <w:p w14:paraId="0748033F" w14:textId="77777777" w:rsidR="00D879FE" w:rsidRDefault="00000000">
      <w:pPr>
        <w:pStyle w:val="FootnoteText"/>
        <w:spacing w:line="480" w:lineRule="auto"/>
      </w:pPr>
      <w:r>
        <w:rPr>
          <w:rStyle w:val="FootnoteReference"/>
        </w:rPr>
        <w:footnoteRef/>
      </w:r>
      <w:r>
        <w:t xml:space="preserve"> </w:t>
      </w:r>
      <w:r>
        <w:rPr>
          <w:smallCaps/>
        </w:rPr>
        <w:t>McGuire</w:t>
      </w:r>
      <w:r>
        <w:t xml:space="preserve">, </w:t>
      </w:r>
      <w:r>
        <w:rPr>
          <w:i/>
        </w:rPr>
        <w:t>supra</w:t>
      </w:r>
      <w:r>
        <w:t xml:space="preserve">, at 158 (quoting Tony Mauro, </w:t>
      </w:r>
      <w:r>
        <w:rPr>
          <w:i/>
        </w:rPr>
        <w:t>Damaging the Anti-Punitive Crusade</w:t>
      </w:r>
      <w:r>
        <w:t xml:space="preserve">, </w:t>
      </w:r>
      <w:r>
        <w:rPr>
          <w:smallCaps/>
        </w:rPr>
        <w:t>Legal Times of Wash.</w:t>
      </w:r>
      <w:r>
        <w:t>, Oct. 8, 1990, at 10).</w:t>
      </w:r>
    </w:p>
  </w:footnote>
  <w:footnote w:id="729">
    <w:p w14:paraId="70B13E35" w14:textId="77777777" w:rsidR="00D879FE" w:rsidRDefault="00000000">
      <w:pPr>
        <w:pStyle w:val="FootnoteText"/>
        <w:spacing w:line="480" w:lineRule="auto"/>
      </w:pPr>
      <w:r>
        <w:rPr>
          <w:rStyle w:val="FootnoteReference"/>
        </w:rPr>
        <w:footnoteRef/>
      </w:r>
      <w:r>
        <w:t xml:space="preserve"> Interview with Carter G. Phillips, </w:t>
      </w:r>
      <w:r>
        <w:rPr>
          <w:i/>
        </w:rPr>
        <w:t>supra</w:t>
      </w:r>
      <w:r>
        <w:t>.</w:t>
      </w:r>
    </w:p>
  </w:footnote>
  <w:footnote w:id="730">
    <w:p w14:paraId="5AAC6B8B" w14:textId="77777777" w:rsidR="00A726E0" w:rsidRPr="005B3E31" w:rsidRDefault="00A726E0" w:rsidP="003D74D8">
      <w:pPr>
        <w:pStyle w:val="FootnoteText"/>
        <w:spacing w:line="480" w:lineRule="auto"/>
      </w:pPr>
      <w:r>
        <w:rPr>
          <w:rStyle w:val="FootnoteReference"/>
        </w:rPr>
        <w:footnoteRef/>
      </w:r>
      <w:r>
        <w:t xml:space="preserve"> David </w:t>
      </w:r>
      <w:proofErr w:type="spellStart"/>
      <w:r>
        <w:t>Boies</w:t>
      </w:r>
      <w:proofErr w:type="spellEnd"/>
      <w:r>
        <w:t xml:space="preserve"> &amp; Theodore B. Olson, Redeeming the Dream 9 (2014); David </w:t>
      </w:r>
      <w:proofErr w:type="spellStart"/>
      <w:r>
        <w:t>Boies</w:t>
      </w:r>
      <w:proofErr w:type="spellEnd"/>
      <w:r>
        <w:t xml:space="preserve">, Ted Olson &amp; Leonard </w:t>
      </w:r>
      <w:proofErr w:type="spellStart"/>
      <w:r>
        <w:t>Lopate</w:t>
      </w:r>
      <w:proofErr w:type="spellEnd"/>
      <w:r>
        <w:t xml:space="preserve">, </w:t>
      </w:r>
      <w:r>
        <w:rPr>
          <w:i/>
          <w:iCs/>
        </w:rPr>
        <w:t xml:space="preserve">David </w:t>
      </w:r>
      <w:proofErr w:type="spellStart"/>
      <w:r>
        <w:rPr>
          <w:i/>
          <w:iCs/>
        </w:rPr>
        <w:t>Boies</w:t>
      </w:r>
      <w:proofErr w:type="spellEnd"/>
      <w:r>
        <w:rPr>
          <w:i/>
          <w:iCs/>
        </w:rPr>
        <w:t xml:space="preserve"> and Ted Olson Make the Case for Marriage Equality </w:t>
      </w:r>
      <w:proofErr w:type="gramStart"/>
      <w:r>
        <w:rPr>
          <w:i/>
          <w:iCs/>
        </w:rPr>
        <w:t>The</w:t>
      </w:r>
      <w:proofErr w:type="gramEnd"/>
      <w:r>
        <w:rPr>
          <w:i/>
          <w:iCs/>
        </w:rPr>
        <w:t xml:space="preserve"> Leonard </w:t>
      </w:r>
      <w:proofErr w:type="spellStart"/>
      <w:r>
        <w:rPr>
          <w:i/>
          <w:iCs/>
        </w:rPr>
        <w:t>Lopate</w:t>
      </w:r>
      <w:proofErr w:type="spellEnd"/>
      <w:r>
        <w:rPr>
          <w:i/>
          <w:iCs/>
        </w:rPr>
        <w:t xml:space="preserve"> Show</w:t>
      </w:r>
      <w:r>
        <w:t xml:space="preserve"> (Aug. 29, 2014).</w:t>
      </w:r>
    </w:p>
  </w:footnote>
  <w:footnote w:id="731">
    <w:p w14:paraId="23A689BE"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 xml:space="preserve">14, 23–24, 26–27, 31 (2014); </w:t>
      </w:r>
      <w:r>
        <w:rPr>
          <w:smallCaps/>
        </w:rPr>
        <w:t xml:space="preserve">George Takei,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Theodore Olson: The Case for Marriage Equality</w:t>
      </w:r>
      <w:r>
        <w:t xml:space="preserve"> (2014).</w:t>
      </w:r>
    </w:p>
  </w:footnote>
  <w:footnote w:id="732">
    <w:p w14:paraId="46FEF41F" w14:textId="77777777" w:rsidR="00A726E0" w:rsidRPr="005B3E31" w:rsidRDefault="00A726E0" w:rsidP="003D74D8">
      <w:pPr>
        <w:pStyle w:val="FootnoteText"/>
        <w:spacing w:line="480" w:lineRule="auto"/>
      </w:pPr>
      <w:r>
        <w:rPr>
          <w:rStyle w:val="FootnoteReference"/>
        </w:rPr>
        <w:footnoteRef/>
      </w:r>
      <w:r>
        <w:t xml:space="preserve">  Jeffrey Rosen, Ted Olson &amp; David </w:t>
      </w:r>
      <w:proofErr w:type="spellStart"/>
      <w:r>
        <w:t>Boies</w:t>
      </w:r>
      <w:proofErr w:type="spellEnd"/>
      <w:r>
        <w:t xml:space="preserve">, </w:t>
      </w:r>
      <w:r>
        <w:rPr>
          <w:i/>
          <w:iCs/>
        </w:rPr>
        <w:t xml:space="preserve">David </w:t>
      </w:r>
      <w:proofErr w:type="spellStart"/>
      <w:r>
        <w:rPr>
          <w:i/>
          <w:iCs/>
        </w:rPr>
        <w:t>Boies</w:t>
      </w:r>
      <w:proofErr w:type="spellEnd"/>
      <w:r>
        <w:rPr>
          <w:i/>
          <w:iCs/>
        </w:rPr>
        <w:t xml:space="preserve"> and Ted Olson at the National Constitution Center</w:t>
      </w:r>
      <w:r>
        <w:t xml:space="preserve"> (2014)</w:t>
      </w:r>
      <w:r>
        <w:rPr>
          <w:i/>
          <w:iCs/>
        </w:rPr>
        <w:t xml:space="preserve"> </w:t>
      </w:r>
      <w:r>
        <w:t>(“I recognized David as in my opinion the finest lawyer in the world and someone who's an absolutely fantastic person someone that you want to be around.”)</w:t>
      </w:r>
      <w:r>
        <w:rPr>
          <w:i/>
          <w:iCs/>
        </w:rPr>
        <w:t xml:space="preserve">; </w:t>
      </w:r>
      <w:r>
        <w:t xml:space="preserve">David </w:t>
      </w:r>
      <w:proofErr w:type="spellStart"/>
      <w:r>
        <w:t>Boies</w:t>
      </w:r>
      <w:proofErr w:type="spellEnd"/>
      <w:r>
        <w:t xml:space="preserve">, Ted Olson &amp; Leonard </w:t>
      </w:r>
      <w:proofErr w:type="spellStart"/>
      <w:r>
        <w:t>Lopate</w:t>
      </w:r>
      <w:proofErr w:type="spellEnd"/>
      <w:r>
        <w:t xml:space="preserve">, </w:t>
      </w:r>
      <w:r>
        <w:rPr>
          <w:i/>
          <w:iCs/>
        </w:rPr>
        <w:t xml:space="preserve">David </w:t>
      </w:r>
      <w:proofErr w:type="spellStart"/>
      <w:r>
        <w:rPr>
          <w:i/>
          <w:iCs/>
        </w:rPr>
        <w:t>Boies</w:t>
      </w:r>
      <w:proofErr w:type="spellEnd"/>
      <w:r>
        <w:rPr>
          <w:i/>
          <w:iCs/>
        </w:rPr>
        <w:t xml:space="preserve"> and Ted Olson Make the Case for Marriage Equality The Leonard </w:t>
      </w:r>
      <w:proofErr w:type="spellStart"/>
      <w:r>
        <w:rPr>
          <w:i/>
          <w:iCs/>
        </w:rPr>
        <w:t>Lopate</w:t>
      </w:r>
      <w:proofErr w:type="spellEnd"/>
      <w:r>
        <w:rPr>
          <w:i/>
          <w:iCs/>
        </w:rPr>
        <w:t xml:space="preserve"> Show</w:t>
      </w:r>
      <w:r>
        <w:t xml:space="preserve"> (Aug. 29, 2014).</w:t>
      </w:r>
    </w:p>
  </w:footnote>
  <w:footnote w:id="733">
    <w:p w14:paraId="3DE828A5" w14:textId="77777777" w:rsidR="0032068A" w:rsidRPr="005B3E31" w:rsidRDefault="00000000" w:rsidP="003D74D8">
      <w:pPr>
        <w:pStyle w:val="FootnoteText"/>
        <w:spacing w:line="480" w:lineRule="auto"/>
      </w:pPr>
      <w:r>
        <w:rPr>
          <w:rStyle w:val="FootnoteReference"/>
        </w:rPr>
        <w:footnoteRef/>
      </w:r>
      <w:r>
        <w:rPr>
          <w:i/>
          <w:iCs/>
        </w:rPr>
        <w:t xml:space="preserve"> Id. </w:t>
      </w:r>
    </w:p>
  </w:footnote>
  <w:footnote w:id="734">
    <w:p w14:paraId="0E6C248D"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w:t>
      </w:r>
      <w:r>
        <w:rPr>
          <w:i/>
          <w:iCs/>
          <w:smallCaps/>
        </w:rPr>
        <w:t>Redeeming the Dream</w:t>
      </w:r>
      <w:r>
        <w:rPr>
          <w:i/>
          <w:iCs/>
        </w:rPr>
        <w:t xml:space="preserve"> </w:t>
      </w:r>
      <w:r>
        <w:t>11, 45, 59 (2014);</w:t>
      </w:r>
      <w:r>
        <w:rPr>
          <w:smallCaps/>
        </w:rPr>
        <w:t xml:space="preserve"> Jeffrey Rosen,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Ted Olson at the National Constitution Center</w:t>
      </w:r>
      <w:r>
        <w:t xml:space="preserve"> (2014) (“They were very worried that brought it . . . to the United States Supreme Court too soon a defeat would be devastating and would set the cause back for a long period of time.”).</w:t>
      </w:r>
    </w:p>
  </w:footnote>
  <w:footnote w:id="735">
    <w:p w14:paraId="65C2EA32"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45, 58–60 (2014).</w:t>
      </w:r>
    </w:p>
  </w:footnote>
  <w:footnote w:id="736">
    <w:p w14:paraId="019F6A1E"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Jeffrey Rosen,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Ted Olson at the National Constitution Center</w:t>
      </w:r>
      <w:r>
        <w:t xml:space="preserve"> (2014). </w:t>
      </w:r>
    </w:p>
  </w:footnote>
  <w:footnote w:id="737">
    <w:p w14:paraId="5BB6AE3B" w14:textId="77777777" w:rsidR="0032068A" w:rsidRPr="005B3E31" w:rsidRDefault="00000000" w:rsidP="003D74D8">
      <w:pPr>
        <w:pStyle w:val="FootnoteText"/>
        <w:spacing w:line="480" w:lineRule="auto"/>
      </w:pPr>
      <w:r>
        <w:rPr>
          <w:rStyle w:val="FootnoteReference"/>
        </w:rPr>
        <w:footnoteRef/>
      </w:r>
      <w:r>
        <w:rPr>
          <w:i/>
          <w:iCs/>
        </w:rPr>
        <w:t xml:space="preserve"> </w:t>
      </w:r>
      <w:proofErr w:type="spellStart"/>
      <w:r>
        <w:t>Boies</w:t>
      </w:r>
      <w:proofErr w:type="spellEnd"/>
      <w:r>
        <w:t xml:space="preserve">, Olson &amp; </w:t>
      </w:r>
      <w:proofErr w:type="spellStart"/>
      <w:r>
        <w:t>Lopate</w:t>
      </w:r>
      <w:proofErr w:type="spellEnd"/>
      <w:r>
        <w:t>, supra note 682.</w:t>
      </w:r>
      <w:r>
        <w:rPr>
          <w:i/>
          <w:iCs/>
        </w:rPr>
        <w:t xml:space="preserve"> </w:t>
      </w:r>
    </w:p>
  </w:footnote>
  <w:footnote w:id="738">
    <w:p w14:paraId="0A46E328" w14:textId="77777777" w:rsidR="00A726E0" w:rsidRPr="005B3E31" w:rsidRDefault="00A726E0" w:rsidP="003D74D8">
      <w:pPr>
        <w:pStyle w:val="FootnoteText"/>
        <w:spacing w:line="480" w:lineRule="auto"/>
      </w:pPr>
      <w:r>
        <w:rPr>
          <w:rStyle w:val="FootnoteReference"/>
        </w:rPr>
        <w:footnoteRef/>
      </w:r>
      <w:r>
        <w:t xml:space="preserve"> Warren B. Rudman, David </w:t>
      </w:r>
      <w:proofErr w:type="spellStart"/>
      <w:r>
        <w:t>Boies</w:t>
      </w:r>
      <w:proofErr w:type="spellEnd"/>
      <w:r>
        <w:t xml:space="preserve"> &amp; Ted Olson, </w:t>
      </w:r>
      <w:r>
        <w:rPr>
          <w:i/>
          <w:iCs/>
        </w:rPr>
        <w:t xml:space="preserve">A Conversation with David </w:t>
      </w:r>
      <w:proofErr w:type="spellStart"/>
      <w:r>
        <w:rPr>
          <w:i/>
          <w:iCs/>
        </w:rPr>
        <w:t>Boies</w:t>
      </w:r>
      <w:proofErr w:type="spellEnd"/>
      <w:r>
        <w:rPr>
          <w:i/>
          <w:iCs/>
        </w:rPr>
        <w:t xml:space="preserve"> and Ted Olson</w:t>
      </w:r>
      <w:r>
        <w:t xml:space="preserve"> (2013).</w:t>
      </w:r>
    </w:p>
  </w:footnote>
  <w:footnote w:id="739">
    <w:p w14:paraId="5C852CAD"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11, 27 (2014).</w:t>
      </w:r>
    </w:p>
  </w:footnote>
  <w:footnote w:id="740">
    <w:p w14:paraId="7C0FDD0F"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George Takei,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Theodore Olson: The Case for Marriage Equality</w:t>
      </w:r>
      <w:r>
        <w:t xml:space="preserve"> (2014).</w:t>
      </w:r>
    </w:p>
  </w:footnote>
  <w:footnote w:id="741">
    <w:p w14:paraId="07A07E17" w14:textId="77777777" w:rsidR="00A726E0" w:rsidRPr="005B3E31" w:rsidRDefault="00A726E0" w:rsidP="003D74D8">
      <w:pPr>
        <w:pStyle w:val="FootnoteText"/>
        <w:spacing w:line="480" w:lineRule="auto"/>
      </w:pPr>
      <w:r>
        <w:rPr>
          <w:rStyle w:val="FootnoteReference"/>
        </w:rPr>
        <w:footnoteRef/>
      </w:r>
      <w:r>
        <w:rPr>
          <w:i/>
          <w:iCs/>
          <w:color w:val="000000" w:themeColor="text1"/>
        </w:rP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30 (2014).</w:t>
      </w:r>
    </w:p>
  </w:footnote>
  <w:footnote w:id="742">
    <w:p w14:paraId="3311F293"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 xml:space="preserve">54 (2014); Rosen, Olson &amp; </w:t>
      </w:r>
      <w:proofErr w:type="spellStart"/>
      <w:r>
        <w:t>Boies</w:t>
      </w:r>
      <w:proofErr w:type="spellEnd"/>
      <w:r>
        <w:t>, supra note 684.</w:t>
      </w:r>
    </w:p>
  </w:footnote>
  <w:footnote w:id="743">
    <w:p w14:paraId="5293D069" w14:textId="77777777" w:rsidR="00A726E0" w:rsidRPr="005B3E31" w:rsidRDefault="00A726E0" w:rsidP="003D74D8">
      <w:pPr>
        <w:pStyle w:val="FootnoteText"/>
        <w:spacing w:line="480" w:lineRule="auto"/>
      </w:pPr>
      <w:r>
        <w:rPr>
          <w:rStyle w:val="FootnoteReference"/>
        </w:rPr>
        <w:footnoteRef/>
      </w:r>
      <w:r>
        <w:t xml:space="preserve"> David </w:t>
      </w:r>
      <w:proofErr w:type="spellStart"/>
      <w:r>
        <w:t>Boies</w:t>
      </w:r>
      <w:proofErr w:type="spellEnd"/>
      <w:r>
        <w:t xml:space="preserve">, Ted Olson &amp; Leonard </w:t>
      </w:r>
      <w:proofErr w:type="spellStart"/>
      <w:r>
        <w:t>Lopate</w:t>
      </w:r>
      <w:proofErr w:type="spellEnd"/>
      <w:r>
        <w:t xml:space="preserve">, </w:t>
      </w:r>
      <w:r>
        <w:rPr>
          <w:i/>
          <w:iCs/>
        </w:rPr>
        <w:t xml:space="preserve">David </w:t>
      </w:r>
      <w:proofErr w:type="spellStart"/>
      <w:r>
        <w:rPr>
          <w:i/>
          <w:iCs/>
        </w:rPr>
        <w:t>Boies</w:t>
      </w:r>
      <w:proofErr w:type="spellEnd"/>
      <w:r>
        <w:rPr>
          <w:i/>
          <w:iCs/>
        </w:rPr>
        <w:t xml:space="preserve"> and Ted Olson Make the Case for Marriage Equality </w:t>
      </w:r>
      <w:proofErr w:type="gramStart"/>
      <w:r>
        <w:rPr>
          <w:i/>
          <w:iCs/>
        </w:rPr>
        <w:t>The</w:t>
      </w:r>
      <w:proofErr w:type="gramEnd"/>
      <w:r>
        <w:rPr>
          <w:i/>
          <w:iCs/>
        </w:rPr>
        <w:t xml:space="preserve"> Leonard </w:t>
      </w:r>
      <w:proofErr w:type="spellStart"/>
      <w:r>
        <w:rPr>
          <w:i/>
          <w:iCs/>
        </w:rPr>
        <w:t>Lopate</w:t>
      </w:r>
      <w:proofErr w:type="spellEnd"/>
      <w:r>
        <w:rPr>
          <w:i/>
          <w:iCs/>
        </w:rPr>
        <w:t xml:space="preserve"> Show</w:t>
      </w:r>
      <w:r>
        <w:t xml:space="preserve"> (Aug. 29, 2014).</w:t>
      </w:r>
    </w:p>
  </w:footnote>
  <w:footnote w:id="744">
    <w:p w14:paraId="0BAF3246"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George Takei,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Theodore Olson: The Case for Marriage Equality</w:t>
      </w:r>
      <w:r>
        <w:t xml:space="preserve"> (2014).</w:t>
      </w:r>
    </w:p>
  </w:footnote>
  <w:footnote w:id="745">
    <w:p w14:paraId="5B287102"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21, 29, 49–54 (2014).</w:t>
      </w:r>
    </w:p>
  </w:footnote>
  <w:footnote w:id="746">
    <w:p w14:paraId="398441CD"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 xml:space="preserve">107, 171, 228–32 (2014); Jeffrey Rosen, Ted Olson &amp; David </w:t>
      </w:r>
      <w:proofErr w:type="spellStart"/>
      <w:r>
        <w:t>Boies</w:t>
      </w:r>
      <w:proofErr w:type="spellEnd"/>
      <w:r>
        <w:t xml:space="preserve">, </w:t>
      </w:r>
      <w:r>
        <w:rPr>
          <w:i/>
          <w:iCs/>
        </w:rPr>
        <w:t xml:space="preserve">David </w:t>
      </w:r>
      <w:proofErr w:type="spellStart"/>
      <w:r>
        <w:rPr>
          <w:i/>
          <w:iCs/>
        </w:rPr>
        <w:t>Boies</w:t>
      </w:r>
      <w:proofErr w:type="spellEnd"/>
      <w:r>
        <w:rPr>
          <w:i/>
          <w:iCs/>
        </w:rPr>
        <w:t xml:space="preserve"> and Ted Olson at the National Constitution Center</w:t>
      </w:r>
      <w:r>
        <w:t xml:space="preserve"> (2014). </w:t>
      </w:r>
    </w:p>
  </w:footnote>
  <w:footnote w:id="747">
    <w:p w14:paraId="21DD3AC7"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Jeffrey Rosen,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Ted Olson at the National Constitution Center</w:t>
      </w:r>
      <w:r>
        <w:t xml:space="preserve"> (2014).</w:t>
      </w:r>
    </w:p>
  </w:footnote>
  <w:footnote w:id="748">
    <w:p w14:paraId="3F24ADF3" w14:textId="77777777" w:rsidR="00A726E0" w:rsidRPr="005B3E31" w:rsidRDefault="00A726E0" w:rsidP="003D74D8">
      <w:pPr>
        <w:pStyle w:val="FootnoteText"/>
        <w:spacing w:line="480" w:lineRule="auto"/>
      </w:pPr>
      <w:r>
        <w:rPr>
          <w:rStyle w:val="FootnoteReference"/>
        </w:rPr>
        <w:footnoteRef/>
      </w:r>
      <w:r>
        <w:t xml:space="preserve"> David </w:t>
      </w:r>
      <w:proofErr w:type="spellStart"/>
      <w:r>
        <w:t>Boies</w:t>
      </w:r>
      <w:proofErr w:type="spellEnd"/>
      <w:r>
        <w:t xml:space="preserve"> &amp; Theodore B. Olson, Redeeming the Dream 288–89 (2014); </w:t>
      </w:r>
      <w:r>
        <w:rPr>
          <w:smallCaps/>
        </w:rPr>
        <w:t xml:space="preserve">David </w:t>
      </w:r>
      <w:proofErr w:type="spellStart"/>
      <w:r>
        <w:rPr>
          <w:smallCaps/>
        </w:rPr>
        <w:t>Boies</w:t>
      </w:r>
      <w:proofErr w:type="spellEnd"/>
      <w:r>
        <w:rPr>
          <w:smallCaps/>
        </w:rPr>
        <w:t xml:space="preserve">, Ted Olson &amp; Leonard </w:t>
      </w:r>
      <w:proofErr w:type="spellStart"/>
      <w:r>
        <w:rPr>
          <w:smallCaps/>
        </w:rPr>
        <w:t>Lopate</w:t>
      </w:r>
      <w:proofErr w:type="spellEnd"/>
      <w:r>
        <w:rPr>
          <w:smallCaps/>
        </w:rPr>
        <w:t xml:space="preserve">, David </w:t>
      </w:r>
      <w:proofErr w:type="spellStart"/>
      <w:r>
        <w:rPr>
          <w:smallCaps/>
        </w:rPr>
        <w:t>Boies</w:t>
      </w:r>
      <w:proofErr w:type="spellEnd"/>
      <w:r>
        <w:rPr>
          <w:smallCaps/>
        </w:rPr>
        <w:t xml:space="preserve"> and Ted Olson Make the Case for Marriage Equality The Leonard </w:t>
      </w:r>
      <w:proofErr w:type="spellStart"/>
      <w:r>
        <w:rPr>
          <w:smallCaps/>
        </w:rPr>
        <w:t>Lopate</w:t>
      </w:r>
      <w:proofErr w:type="spellEnd"/>
      <w:r>
        <w:rPr>
          <w:smallCaps/>
        </w:rPr>
        <w:t xml:space="preserve"> Show</w:t>
      </w:r>
      <w:r>
        <w:t xml:space="preserve"> (Aug. 29, 2014).</w:t>
      </w:r>
    </w:p>
  </w:footnote>
  <w:footnote w:id="749">
    <w:p w14:paraId="7D320BF4" w14:textId="77777777" w:rsidR="005F2743" w:rsidRPr="005B3E31" w:rsidRDefault="005F274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750">
    <w:p>
      <w:pPr>
        <w:pStyle w:val="FootnoteText"/>
        <w:spacing w:line="480" w:lineRule="auto"/>
        <w:rPr>
          <w:ins w:id="100001" w:author="Claude" w:date="2026-09-26T12:00:00Z"/>
        </w:rPr>
      </w:pPr>
      <w:ins w:id="100002" w:author="Claude" w:date="2026-09-26T12:00:00Z">
        <w:r>
          <w:rPr>
            <w:rStyle w:val="FootnoteReference"/>
          </w:rPr>
          <w:footnoteRef/>
        </w:r>
        <w:r>
          <w:t xml:space="preserve"> </w:t>
        </w:r>
        <w:r>
          <w:t>Throughout this note I use the term “Deliberative Bodies” to refer to all types of legal organizations including law firms, legal advocacy groups, and corporate legal departments where advocates collectively deliberate upon and formulate claims.</w:t>
        </w:r>
      </w:ins>
    </w:p>
  </w:footnote>
  <w:footnote w:id="751">
    <w:p>
      <w:pPr>
        <w:pStyle w:val="FootnoteText"/>
        <w:spacing w:line="480" w:lineRule="auto"/>
        <w:rPr>
          <w:ins w:id="100003" w:author="Claude" w:date="2026-09-26T12:00:00Z"/>
        </w:rPr>
      </w:pPr>
      <w:ins w:id="100004" w:author="Claude" w:date="2026-09-26T12:00:00Z">
        <w:r>
          <w:rPr>
            <w:rStyle w:val="FootnoteReference"/>
          </w:rPr>
          <w:footnoteRef/>
        </w:r>
        <w:r>
          <w:t xml:space="preserve"> </w:t>
        </w:r>
        <w:r>
          <w:t>Throughout this note I use the term “Externalized” to refer to a Deliberative Body moving formalized conflicts out of their internal chambers and into the public arena.</w:t>
        </w:r>
      </w:ins>
    </w:p>
  </w:footnote>
  <w:footnote w:id="752">
    <w:p>
      <w:pPr>
        <w:pStyle w:val="FootnoteText"/>
        <w:spacing w:line="480" w:lineRule="auto"/>
        <w:rPr>
          <w:ins w:id="100005" w:author="Claude" w:date="2026-09-26T12:00:00Z"/>
        </w:rPr>
      </w:pPr>
      <w:ins w:id="100006" w:author="Claude" w:date="2026-09-26T12:00:00Z">
        <w:r>
          <w:rPr>
            <w:rStyle w:val="FootnoteReference"/>
          </w:rPr>
          <w:footnoteRef/>
        </w:r>
        <w:r>
          <w:t xml:space="preserve"> </w:t>
        </w:r>
        <w:r>
          <w:t xml:space="preserve">Carli N. Conklin, </w:t>
        </w:r>
        <w:r>
          <w:rPr>
            <w:i/>
          </w:rPr>
          <w:t>A Robust History of Arbitration in Early America: Commentary on The New Federal Arbitration Law</w:t>
        </w:r>
        <w:r>
          <w:t xml:space="preserve">, </w:t>
        </w:r>
        <w:r>
          <w:rPr>
            <w:i/>
          </w:rPr>
          <w:t>in</w:t>
        </w:r>
        <w:r>
          <w:t xml:space="preserve"> </w:t>
        </w:r>
        <w:r>
          <w:rPr>
            <w:smallCaps/>
          </w:rPr>
          <w:t>Discussions in Dispute Resolution: The Foundational Articles</w:t>
        </w:r>
        <w:r>
          <w:t xml:space="preserve"> 207, 207–09 (2021); Imre Stephen Szalai, </w:t>
        </w:r>
        <w:r>
          <w:rPr>
            <w:i/>
          </w:rPr>
          <w:t>Exploring the Federal Arbitration Act Through the Lens of History</w:t>
        </w:r>
        <w:r>
          <w:t xml:space="preserve">, 2016 </w:t>
        </w:r>
        <w:r>
          <w:rPr>
            <w:smallCaps/>
          </w:rPr>
          <w:t>J. Disp. Resol.</w:t>
        </w:r>
        <w:r>
          <w:t xml:space="preserve"> 115, 117–18, 132 (2016); Amy J. Schmitz, </w:t>
        </w:r>
        <w:r>
          <w:rPr>
            <w:i/>
          </w:rPr>
          <w:t>Emphasizing Efficiency in the Digital Age</w:t>
        </w:r>
        <w:r>
          <w:t xml:space="preserve">, </w:t>
        </w:r>
        <w:r>
          <w:rPr>
            <w:i/>
          </w:rPr>
          <w:t>in</w:t>
        </w:r>
        <w:r>
          <w:t xml:space="preserve"> </w:t>
        </w:r>
        <w:r>
          <w:rPr>
            <w:smallCaps/>
          </w:rPr>
          <w:t>Discussions in Dispute Resolution: The Foundational Articles</w:t>
        </w:r>
        <w:r>
          <w:t xml:space="preserve"> 221, 221–22 (2021).</w:t>
        </w:r>
      </w:ins>
    </w:p>
  </w:footnote>
  <w:footnote w:id="753">
    <w:p>
      <w:pPr>
        <w:pStyle w:val="FootnoteText"/>
        <w:spacing w:line="480" w:lineRule="auto"/>
        <w:rPr>
          <w:ins w:id="100007" w:author="Claude" w:date="2026-09-26T12:00:00Z"/>
        </w:rPr>
      </w:pPr>
      <w:ins w:id="100008" w:author="Claude" w:date="2026-09-26T12:00:00Z">
        <w:r>
          <w:rPr>
            <w:rStyle w:val="FootnoteReference"/>
          </w:rPr>
          <w:footnoteRef/>
        </w:r>
        <w:r>
          <w:t xml:space="preserve"> </w:t>
        </w:r>
        <w:r>
          <w:t xml:space="preserve">Southland Corp. v. Keating, 465 U.S. 1, 25 (1984) (O’Connor, J., dissenting); Margaret L. Moses, </w:t>
        </w:r>
        <w:r>
          <w:rPr>
            <w:i/>
          </w:rPr>
          <w:t>Statutory Misconstruction: How the Supreme Court Created a Federal Arbitration Law Never Enacted by Congress</w:t>
        </w:r>
        <w:r>
          <w:t xml:space="preserve">, 34 </w:t>
        </w:r>
        <w:r>
          <w:rPr>
            <w:smallCaps/>
          </w:rPr>
          <w:t>Fla. St. U. L. Rev.</w:t>
        </w:r>
        <w:r>
          <w:t xml:space="preserve"> 99, 100, 129 (2006).</w:t>
        </w:r>
      </w:ins>
    </w:p>
  </w:footnote>
  <w:footnote w:id="754">
    <w:p>
      <w:pPr>
        <w:pStyle w:val="FootnoteText"/>
        <w:spacing w:line="480" w:lineRule="auto"/>
        <w:rPr>
          <w:ins w:id="100009" w:author="Claude" w:date="2026-09-26T12:00:00Z"/>
        </w:rPr>
      </w:pPr>
      <w:ins w:id="100010" w:author="Claude" w:date="2026-09-26T12:00:00Z">
        <w:r>
          <w:rPr>
            <w:rStyle w:val="FootnoteReference"/>
          </w:rPr>
          <w:footnoteRef/>
        </w:r>
        <w:r>
          <w:t xml:space="preserve"> </w:t>
        </w:r>
        <w:r>
          <w:t xml:space="preserve">Jill I. Gross, </w:t>
        </w:r>
        <w:r>
          <w:rPr>
            <w:i/>
          </w:rPr>
          <w:t>Rethinking the Debunking: On Arbitration Myths, Preferences, and Legal Theory</w:t>
        </w:r>
        <w:r>
          <w:t xml:space="preserve">, </w:t>
        </w:r>
        <w:r>
          <w:rPr>
            <w:i/>
          </w:rPr>
          <w:t>in</w:t>
        </w:r>
        <w:r>
          <w:t xml:space="preserve"> </w:t>
        </w:r>
        <w:r>
          <w:rPr>
            <w:smallCaps/>
          </w:rPr>
          <w:t>Discussions in Dispute Resolution: The Foundational Articles</w:t>
        </w:r>
        <w:r>
          <w:t xml:space="preserve"> 255, 256 (Art Hinshaw et al. eds., 2021); Frank E.A. Sander, </w:t>
        </w:r>
        <w:r>
          <w:rPr>
            <w:i/>
          </w:rPr>
          <w:t>Varieties of Dispute Processing</w:t>
        </w:r>
        <w:r>
          <w:t xml:space="preserve">, 70 F.R.D. 111, 131 (1976), </w:t>
        </w:r>
        <w:r>
          <w:rPr>
            <w:i/>
          </w:rPr>
          <w:t>reprinted in</w:t>
        </w:r>
        <w:r>
          <w:t xml:space="preserve"> </w:t>
        </w:r>
        <w:r>
          <w:rPr>
            <w:smallCaps/>
          </w:rPr>
          <w:t>Discussions in Dispute Resolution: The Foundational Articles</w:t>
        </w:r>
        <w:r>
          <w:t xml:space="preserve"> 321, 324 (Art Hinshaw et al. eds., 2021); Donna Shestowsky, </w:t>
        </w:r>
        <w:r>
          <w:rPr>
            <w:i/>
          </w:rPr>
          <w:t>How Useful Is Court ADR If Litigants (Still) Don’t Know about It?</w:t>
        </w:r>
        <w:r>
          <w:t xml:space="preserve">, </w:t>
        </w:r>
        <w:r>
          <w:rPr>
            <w:i/>
          </w:rPr>
          <w:t>in</w:t>
        </w:r>
        <w:r>
          <w:t xml:space="preserve"> </w:t>
        </w:r>
        <w:r>
          <w:rPr>
            <w:smallCaps/>
          </w:rPr>
          <w:t>Discussions in Dispute Resolution: The Foundational Articles</w:t>
        </w:r>
        <w:r>
          <w:t xml:space="preserve"> 327, 327; Marc Galanter, </w:t>
        </w:r>
        <w:r>
          <w:rPr>
            <w:i/>
          </w:rPr>
          <w:t>Reading the Landscape of Disputes: What We Know and Don’t Know (and Think We Know) About Our Allegedly Contentious and Litigious Society</w:t>
        </w:r>
        <w:r>
          <w:t xml:space="preserve">, 31 </w:t>
        </w:r>
        <w:r>
          <w:rPr>
            <w:smallCaps/>
          </w:rPr>
          <w:t>UCLA L. Rev.</w:t>
        </w:r>
        <w:r>
          <w:t xml:space="preserve"> 4, 62–63 (1983).</w:t>
        </w:r>
      </w:ins>
    </w:p>
  </w:footnote>
  <w:footnote w:id="755">
    <w:p>
      <w:pPr>
        <w:pStyle w:val="FootnoteText"/>
        <w:spacing w:line="480" w:lineRule="auto"/>
        <w:rPr>
          <w:ins w:id="100011" w:author="Claude" w:date="2026-09-26T12:00:00Z"/>
        </w:rPr>
      </w:pPr>
      <w:ins w:id="100012" w:author="Claude" w:date="2026-09-26T12:00:00Z">
        <w:r>
          <w:rPr>
            <w:rStyle w:val="FootnoteReference"/>
          </w:rPr>
          <w:footnoteRef/>
        </w:r>
        <w:r>
          <w:t xml:space="preserve"> </w:t>
        </w:r>
        <w:r>
          <w:t>George B. Shepherd &amp; Morgan Cloud</w:t>
        </w:r>
        <w:r>
          <w:rPr>
            <w:i/>
          </w:rPr>
          <w:t>, Time and Money: Discovery Leads to Hourly Billing</w:t>
        </w:r>
        <w:r>
          <w:t xml:space="preserve"> 94 (1999)</w:t>
        </w:r>
      </w:ins>
    </w:p>
  </w:footnote>
  <w:footnote w:id="756">
    <w:p w14:paraId="5AA327C2" w14:textId="77777777" w:rsidR="00D879FE" w:rsidRDefault="00000000">
      <w:pPr>
        <w:pStyle w:val="FootnoteText"/>
        <w:spacing w:line="480" w:lineRule="auto"/>
        <w:rPr>
          <w:ins w:id="200181" w:author="Claude" w:date="2026-09-27T12:00:00Z"/>
        </w:rPr>
      </w:pPr>
      <w:ins w:id="200174" w:author="Claude" w:date="2026-09-27T12:00:00Z">
        <w:r>
          <w:rPr>
            <w:rStyle w:val="FootnoteReference"/>
          </w:rPr>
          <w:footnoteRef/>
        </w:r>
      </w:ins>
      <w:ins w:id="200175" w:author="Claude" w:date="2026-09-27T12:00:00Z">
        <w:r>
          <w:t xml:space="preserve"> Hugo Mercier &amp; Dan Sperber, </w:t>
        </w:r>
      </w:ins>
      <w:ins w:id="200176" w:author="Claude" w:date="2026-09-27T12:00:00Z">
        <w:r>
          <w:rPr>
            <w:i/>
          </w:rPr>
          <w:t>Why Do Humans Reason? Arguments for an Argumentative Theory</w:t>
        </w:r>
      </w:ins>
      <w:ins w:id="200177" w:author="Claude" w:date="2026-09-27T12:00:00Z">
        <w:r>
          <w:t xml:space="preserve">, 34 </w:t>
        </w:r>
      </w:ins>
      <w:ins w:id="200178" w:author="Claude" w:date="2026-09-27T12:00:00Z">
        <w:r>
          <w:rPr>
            <w:smallCaps/>
          </w:rPr>
          <w:t>Behav</w:t>
        </w:r>
      </w:ins>
      <w:ins w:id="200179" w:author="Claude" w:date="2026-09-27T12:00:00Z">
        <w:r>
          <w:rPr>
            <w:smallCaps/>
          </w:rPr>
          <w:t>. &amp; Brain Sci.</w:t>
        </w:r>
      </w:ins>
      <w:ins w:id="200180" w:author="Claude" w:date="2026-09-27T12:00:00Z">
        <w:r>
          <w:t xml:space="preserve"> 57, 66 (2011).</w:t>
        </w:r>
      </w:ins>
    </w:p>
  </w:footnote>
  <w:footnote w:id="757">
    <w:p w14:paraId="5E6108C3" w14:textId="77777777" w:rsidR="00D879FE" w:rsidRDefault="00000000">
      <w:pPr>
        <w:pStyle w:val="FootnoteText"/>
        <w:spacing w:line="480" w:lineRule="auto"/>
        <w:rPr>
          <w:ins w:id="200202" w:author="Claude" w:date="2026-09-27T12:00:00Z"/>
        </w:rPr>
      </w:pPr>
      <w:ins w:id="200190" w:author="Claude" w:date="2026-09-27T12:00:00Z">
        <w:r>
          <w:rPr>
            <w:rStyle w:val="FootnoteReference"/>
          </w:rPr>
          <w:footnoteRef/>
        </w:r>
      </w:ins>
      <w:ins w:id="200191" w:author="Claude" w:date="2026-09-27T12:00:00Z">
        <w:r>
          <w:t xml:space="preserve"> Lon L. Fuller &amp; John D. Randall, </w:t>
        </w:r>
      </w:ins>
      <w:ins w:id="200192" w:author="Claude" w:date="2026-09-27T12:00:00Z">
        <w:r>
          <w:rPr>
            <w:i/>
          </w:rPr>
          <w:t>Professional Responsibility: Report of the Joint Conference</w:t>
        </w:r>
      </w:ins>
      <w:ins w:id="200193" w:author="Claude" w:date="2026-09-27T12:00:00Z">
        <w:r>
          <w:t xml:space="preserve">, 44 </w:t>
        </w:r>
      </w:ins>
      <w:ins w:id="200194" w:author="Claude" w:date="2026-09-27T12:00:00Z">
        <w:r>
          <w:rPr>
            <w:smallCaps/>
          </w:rPr>
          <w:t>A.B.A. J.</w:t>
        </w:r>
      </w:ins>
      <w:ins w:id="200195" w:author="Claude" w:date="2026-09-27T12:00:00Z">
        <w:r>
          <w:t xml:space="preserve"> 1159 (1958), </w:t>
        </w:r>
      </w:ins>
      <w:ins w:id="200196" w:author="Claude" w:date="2026-09-27T12:00:00Z">
        <w:r>
          <w:rPr>
            <w:i/>
          </w:rPr>
          <w:t>reprinted in</w:t>
        </w:r>
      </w:ins>
      <w:ins w:id="200197" w:author="Claude" w:date="2026-09-27T12:00:00Z">
        <w:r>
          <w:t xml:space="preserve"> Lon L. Fuller, </w:t>
        </w:r>
      </w:ins>
      <w:ins w:id="200198" w:author="Claude" w:date="2026-09-27T12:00:00Z">
        <w:r>
          <w:rPr>
            <w:i/>
          </w:rPr>
          <w:t>The Forms and Limits of Adjudication</w:t>
        </w:r>
      </w:ins>
      <w:ins w:id="200199" w:author="Claude" w:date="2026-09-27T12:00:00Z">
        <w:r>
          <w:t xml:space="preserve">, 92 </w:t>
        </w:r>
      </w:ins>
      <w:ins w:id="200200" w:author="Claude" w:date="2026-09-27T12:00:00Z">
        <w:r>
          <w:rPr>
            <w:smallCaps/>
          </w:rPr>
          <w:t>Harv. L. Rev.</w:t>
        </w:r>
      </w:ins>
      <w:ins w:id="200201" w:author="Claude" w:date="2026-09-27T12:00:00Z">
        <w:r>
          <w:t xml:space="preserve"> 353, 383 (1978).</w:t>
        </w:r>
      </w:ins>
    </w:p>
  </w:footnote>
  <w:footnote w:id="758">
    <w:p w14:paraId="4B9A028C" w14:textId="77777777" w:rsidR="00D879FE" w:rsidRDefault="00000000">
      <w:pPr>
        <w:pStyle w:val="FootnoteText"/>
        <w:spacing w:line="480" w:lineRule="auto"/>
        <w:rPr>
          <w:ins w:id="200211" w:author="Claude" w:date="2026-09-27T12:00:00Z"/>
        </w:rPr>
      </w:pPr>
      <w:ins w:id="200203" w:author="Claude" w:date="2026-09-27T12:00:00Z">
        <w:r>
          <w:rPr>
            <w:rStyle w:val="FootnoteReference"/>
          </w:rPr>
          <w:footnoteRef/>
        </w:r>
      </w:ins>
      <w:ins w:id="200204" w:author="Claude" w:date="2026-09-27T12:00:00Z">
        <w:r>
          <w:t xml:space="preserve"> Fuller &amp; Randall, </w:t>
        </w:r>
      </w:ins>
      <w:ins w:id="200205" w:author="Claude" w:date="2026-09-27T12:00:00Z">
        <w:r>
          <w:rPr>
            <w:i/>
          </w:rPr>
          <w:t>supra</w:t>
        </w:r>
      </w:ins>
      <w:ins w:id="200206" w:author="Claude" w:date="2026-09-27T12:00:00Z">
        <w:r>
          <w:t xml:space="preserve">, </w:t>
        </w:r>
      </w:ins>
      <w:ins w:id="200207" w:author="Claude" w:date="2026-09-27T12:00:00Z">
        <w:r>
          <w:rPr>
            <w:i/>
          </w:rPr>
          <w:t>reprinted in</w:t>
        </w:r>
      </w:ins>
      <w:ins w:id="200208" w:author="Claude" w:date="2026-09-27T12:00:00Z">
        <w:r>
          <w:t xml:space="preserve"> Fuller, </w:t>
        </w:r>
      </w:ins>
      <w:ins w:id="200209" w:author="Claude" w:date="2026-09-27T12:00:00Z">
        <w:r>
          <w:rPr>
            <w:i/>
          </w:rPr>
          <w:t>supra</w:t>
        </w:r>
      </w:ins>
      <w:ins w:id="200210" w:author="Claude" w:date="2026-09-27T12:00:00Z">
        <w:r>
          <w:t>, at 384.</w:t>
        </w:r>
      </w:ins>
    </w:p>
  </w:footnote>
  <w:footnote w:id="759">
    <w:p w14:paraId="6E60894D" w14:textId="77777777" w:rsidR="00D879FE" w:rsidRDefault="00000000">
      <w:pPr>
        <w:pStyle w:val="FootnoteText"/>
        <w:spacing w:line="480" w:lineRule="auto"/>
        <w:rPr>
          <w:ins w:id="200218" w:author="Claude" w:date="2026-09-27T12:00:00Z"/>
        </w:rPr>
      </w:pPr>
      <w:ins w:id="200212" w:author="Claude" w:date="2026-09-27T12:00:00Z">
        <w:r>
          <w:rPr>
            <w:rStyle w:val="FootnoteReference"/>
          </w:rPr>
          <w:footnoteRef/>
        </w:r>
      </w:ins>
      <w:ins w:id="200213" w:author="Claude" w:date="2026-09-27T12:00:00Z">
        <w:r>
          <w:t xml:space="preserve"> John Dewey, </w:t>
        </w:r>
      </w:ins>
      <w:ins w:id="200214" w:author="Claude" w:date="2026-09-27T12:00:00Z">
        <w:r>
          <w:rPr>
            <w:i/>
          </w:rPr>
          <w:t>Logical Method and Law</w:t>
        </w:r>
      </w:ins>
      <w:ins w:id="200215" w:author="Claude" w:date="2026-09-27T12:00:00Z">
        <w:r>
          <w:t xml:space="preserve">, 10 </w:t>
        </w:r>
      </w:ins>
      <w:ins w:id="200216" w:author="Claude" w:date="2026-09-27T12:00:00Z">
        <w:r>
          <w:rPr>
            <w:smallCaps/>
          </w:rPr>
          <w:t>Cornell L.Q.</w:t>
        </w:r>
      </w:ins>
      <w:ins w:id="200217" w:author="Claude" w:date="2026-09-27T12:00:00Z">
        <w:r>
          <w:t xml:space="preserve"> 17, 23 (1924).</w:t>
        </w:r>
      </w:ins>
    </w:p>
  </w:footnote>
  <w:footnote w:id="760">
    <w:p w14:paraId="08804404" w14:textId="77777777" w:rsidR="00094246" w:rsidRPr="005B3E31" w:rsidRDefault="00094246" w:rsidP="003D74D8">
      <w:pPr>
        <w:pStyle w:val="FootnoteText"/>
        <w:spacing w:line="480" w:lineRule="auto"/>
        <w:rPr>
          <w:ins w:id="200227" w:author="Claude" w:date="2026-09-27T12:00:00Z"/>
        </w:rPr>
      </w:pPr>
      <w:ins w:id="200219" w:author="Claude" w:date="2026-09-27T12:00:00Z">
        <w:r>
          <w:rPr>
            <w:rStyle w:val="FootnoteReference"/>
          </w:rPr>
          <w:footnoteRef/>
        </w:r>
      </w:ins>
      <w:ins w:id="200220" w:author="Claude" w:date="2026-09-27T12:00:00Z">
        <w:r>
          <w:t xml:space="preserve"> Dan Simon &amp; </w:t>
        </w:r>
      </w:ins>
      <w:ins w:id="200221" w:author="Claude" w:date="2026-09-27T12:00:00Z">
        <w:r>
          <w:t>Minwoo</w:t>
        </w:r>
      </w:ins>
      <w:ins w:id="200222" w:author="Claude" w:date="2026-09-27T12:00:00Z">
        <w:r>
          <w:t xml:space="preserve"> Ahn, </w:t>
        </w:r>
      </w:ins>
      <w:ins w:id="200223" w:author="Claude" w:date="2026-09-27T12:00:00Z">
        <w:r>
          <w:rPr>
            <w:i/>
            <w:iCs/>
          </w:rPr>
          <w:t>The Adversarial Mindset</w:t>
        </w:r>
      </w:ins>
      <w:ins w:id="200224" w:author="Claude" w:date="2026-09-27T12:00:00Z">
        <w:r>
          <w:rPr>
            <w:smallCaps/>
          </w:rPr>
          <w:t xml:space="preserve">, 26 Psychol. Pub. </w:t>
        </w:r>
      </w:ins>
      <w:ins w:id="200225" w:author="Claude" w:date="2026-09-27T12:00:00Z">
        <w:r>
          <w:rPr>
            <w:smallCaps/>
          </w:rPr>
          <w:t>Pol’y</w:t>
        </w:r>
      </w:ins>
      <w:ins w:id="200226" w:author="Claude" w:date="2026-09-27T12:00:00Z">
        <w:r>
          <w:rPr>
            <w:smallCaps/>
          </w:rPr>
          <w:t xml:space="preserve"> &amp; L. 63 (2020).</w:t>
        </w:r>
      </w:ins>
    </w:p>
  </w:footnote>
  <w:footnote w:id="761">
    <w:p w14:paraId="3BBDF64A" w14:textId="77777777" w:rsidR="00B663C8" w:rsidRPr="005B3E31" w:rsidRDefault="00B663C8" w:rsidP="003D74D8">
      <w:pPr>
        <w:pStyle w:val="FootnoteText"/>
        <w:spacing w:line="480" w:lineRule="auto"/>
        <w:rPr>
          <w:ins w:id="200240" w:author="Claude" w:date="2026-09-27T12:00:00Z"/>
        </w:rPr>
      </w:pPr>
      <w:ins w:id="200228" w:author="Claude" w:date="2026-09-27T12:00:00Z">
        <w:r>
          <w:rPr>
            <w:rStyle w:val="FootnoteReference"/>
          </w:rPr>
          <w:footnoteRef/>
        </w:r>
      </w:ins>
      <w:ins w:id="200229" w:author="Claude" w:date="2026-09-27T12:00:00Z">
        <w:r>
          <w:rPr>
            <w:color w:val="000000" w:themeColor="text1"/>
          </w:rPr>
          <w:t xml:space="preserve">Holger </w:t>
        </w:r>
      </w:ins>
      <w:ins w:id="200230" w:author="Claude" w:date="2026-09-27T12:00:00Z">
        <w:r>
          <w:rPr>
            <w:color w:val="000000" w:themeColor="text1"/>
          </w:rPr>
          <w:t>Spamann</w:t>
        </w:r>
      </w:ins>
      <w:ins w:id="200231" w:author="Claude" w:date="2026-09-27T12:00:00Z">
        <w:r>
          <w:rPr>
            <w:color w:val="000000" w:themeColor="text1"/>
          </w:rPr>
          <w:t xml:space="preserve">, </w:t>
        </w:r>
      </w:ins>
      <w:ins w:id="200232" w:author="Claude" w:date="2026-09-27T12:00:00Z">
        <w:r>
          <w:rPr>
            <w:i/>
            <w:iCs/>
            <w:color w:val="000000" w:themeColor="text1"/>
          </w:rPr>
          <w:t>Extension: Lawyers’ Role-Induced Bias Arises Fast and Persists despite Intervention</w:t>
        </w:r>
      </w:ins>
      <w:ins w:id="200233" w:author="Claude" w:date="2026-09-27T12:00:00Z">
        <w:r>
          <w:rPr>
            <w:color w:val="000000" w:themeColor="text1"/>
          </w:rPr>
          <w:t xml:space="preserve">, 49 </w:t>
        </w:r>
      </w:ins>
      <w:ins w:id="200234" w:author="Claude" w:date="2026-09-27T12:00:00Z">
        <w:r>
          <w:rPr>
            <w:smallCaps/>
            <w:color w:val="000000" w:themeColor="text1"/>
          </w:rPr>
          <w:t>J. Legal Stud.</w:t>
        </w:r>
      </w:ins>
      <w:ins w:id="200235" w:author="Claude" w:date="2026-09-27T12:00:00Z">
        <w:r>
          <w:rPr>
            <w:color w:val="000000" w:themeColor="text1"/>
          </w:rPr>
          <w:t xml:space="preserve"> 467, 467–68 (2020); </w:t>
        </w:r>
      </w:ins>
      <w:ins w:id="200236" w:author="Claude" w:date="2026-09-27T12:00:00Z">
        <w:r>
          <w:rPr>
            <w:color w:val="000000" w:themeColor="text1"/>
          </w:rPr>
          <w:t>Alafair</w:t>
        </w:r>
      </w:ins>
      <w:ins w:id="200237" w:author="Claude" w:date="2026-09-27T12:00:00Z">
        <w:r>
          <w:rPr>
            <w:color w:val="000000" w:themeColor="text1"/>
          </w:rPr>
          <w:t xml:space="preserve"> S. Burke</w:t>
        </w:r>
      </w:ins>
      <w:ins w:id="200238" w:author="Claude" w:date="2026-09-27T12:00:00Z">
        <w:r>
          <w:rPr>
            <w:i/>
            <w:iCs/>
            <w:color w:val="000000" w:themeColor="text1"/>
          </w:rPr>
          <w:t xml:space="preserve">, Prosecutorial Passion, Cognitive Bias, and Plea Bargaining 196 </w:t>
        </w:r>
      </w:ins>
      <w:ins w:id="200239" w:author="Claude" w:date="2026-09-27T12:00:00Z">
        <w:r>
          <w:rPr>
            <w:color w:val="000000" w:themeColor="text1"/>
          </w:rPr>
          <w:t>(Selective information processing is the tendency for people to recall stored information and interpret new information to conform to their pre-existing views. As a result of selective information processing, people readily accept evidence that is consistent with their current beliefs and find reasons to distrust or dismiss contradictory evidence.”).</w:t>
        </w:r>
      </w:ins>
    </w:p>
  </w:footnote>
  <w:footnote w:id="762">
    <w:p w14:paraId="019E4E80" w14:textId="77777777" w:rsidR="000B08B7" w:rsidRPr="005B3E31" w:rsidRDefault="000B08B7" w:rsidP="003D74D8">
      <w:pPr>
        <w:pStyle w:val="FootnoteText"/>
        <w:spacing w:line="480" w:lineRule="auto"/>
        <w:rPr>
          <w:ins w:id="200253" w:author="Claude" w:date="2026-09-27T12:00:00Z"/>
        </w:rPr>
      </w:pPr>
      <w:ins w:id="200241" w:author="Claude" w:date="2026-09-27T12:00:00Z">
        <w:r>
          <w:rPr>
            <w:rStyle w:val="FootnoteReference"/>
          </w:rPr>
          <w:footnoteRef/>
        </w:r>
      </w:ins>
      <w:ins w:id="200242" w:author="Claude" w:date="2026-09-27T12:00:00Z">
        <w:r>
          <w:t xml:space="preserve"> Mihael A. </w:t>
        </w:r>
      </w:ins>
      <w:ins w:id="200243" w:author="Claude" w:date="2026-09-27T12:00:00Z">
        <w:r>
          <w:t>Jeklic</w:t>
        </w:r>
      </w:ins>
      <w:ins w:id="200244" w:author="Claude" w:date="2026-09-27T12:00:00Z">
        <w:r>
          <w:t xml:space="preserve">, </w:t>
        </w:r>
      </w:ins>
      <w:ins w:id="200245" w:author="Claude" w:date="2026-09-27T12:00:00Z">
        <w:r>
          <w:rPr>
            <w:i/>
            <w:iCs/>
          </w:rPr>
          <w:t>Can You Trust Your Lawyer’s Call? Legal Advisers Exhibit Myside Bias Resistant to Debiasing Interventions</w:t>
        </w:r>
      </w:ins>
      <w:ins w:id="200246" w:author="Claude" w:date="2026-09-27T12:00:00Z">
        <w:r>
          <w:t>, 20 J</w:t>
        </w:r>
      </w:ins>
      <w:ins w:id="200247" w:author="Claude" w:date="2026-09-27T12:00:00Z">
        <w:r>
          <w:rPr>
            <w:smallCaps/>
          </w:rPr>
          <w:t>. Empirical Legal Stud</w:t>
        </w:r>
      </w:ins>
      <w:ins w:id="200248" w:author="Claude" w:date="2026-09-27T12:00:00Z">
        <w:r>
          <w:t xml:space="preserve">. 409, 414 (2023); </w:t>
        </w:r>
      </w:ins>
      <w:ins w:id="200249" w:author="Claude" w:date="2026-09-27T12:00:00Z">
        <w:r>
          <w:rPr>
            <w:smallCaps/>
          </w:rPr>
          <w:t xml:space="preserve">Randall Kiser, How Leading Lawyers Think: Expert Insights into Judgment and Advocacy </w:t>
        </w:r>
      </w:ins>
      <w:ins w:id="200250" w:author="Claude" w:date="2026-09-27T12:00:00Z">
        <w:r>
          <w:t xml:space="preserve">244 (2011) (“As an advocate you want to believe in the </w:t>
        </w:r>
      </w:ins>
      <w:ins w:id="200251" w:author="Claude" w:date="2026-09-27T12:00:00Z">
        <w:r>
          <w:t>client</w:t>
        </w:r>
      </w:ins>
      <w:ins w:id="200252" w:author="Claude" w:date="2026-09-27T12:00:00Z">
        <w:r>
          <w:t xml:space="preserve"> and you want to advance their agenda. That’s what we’re trained to do in law school, and that’s what we do.”).</w:t>
        </w:r>
      </w:ins>
    </w:p>
  </w:footnote>
  <w:footnote w:id="763">
    <w:p w14:paraId="0972B376" w14:textId="77777777" w:rsidR="000B08B7" w:rsidRPr="005B3E31" w:rsidRDefault="000B08B7" w:rsidP="003D74D8">
      <w:pPr>
        <w:pStyle w:val="FootnoteText"/>
        <w:spacing w:line="480" w:lineRule="auto"/>
        <w:rPr>
          <w:ins w:id="200262" w:author="Claude" w:date="2026-09-27T12:00:00Z"/>
        </w:rPr>
      </w:pPr>
      <w:ins w:id="200254" w:author="Claude" w:date="2026-09-27T12:00:00Z">
        <w:r>
          <w:rPr>
            <w:rStyle w:val="FootnoteReference"/>
          </w:rPr>
          <w:footnoteRef/>
        </w:r>
      </w:ins>
      <w:ins w:id="200255" w:author="Claude" w:date="2026-09-27T12:00:00Z">
        <w:r>
          <w:t xml:space="preserve"> Dan Simon &amp; </w:t>
        </w:r>
      </w:ins>
      <w:ins w:id="200256" w:author="Claude" w:date="2026-09-27T12:00:00Z">
        <w:r>
          <w:t>Minwoo</w:t>
        </w:r>
      </w:ins>
      <w:ins w:id="200257" w:author="Claude" w:date="2026-09-27T12:00:00Z">
        <w:r>
          <w:t xml:space="preserve"> Ahn, </w:t>
        </w:r>
      </w:ins>
      <w:ins w:id="200258" w:author="Claude" w:date="2026-09-27T12:00:00Z">
        <w:r>
          <w:rPr>
            <w:i/>
            <w:iCs/>
          </w:rPr>
          <w:t>The Adversarial Mindset</w:t>
        </w:r>
      </w:ins>
      <w:ins w:id="200259" w:author="Claude" w:date="2026-09-27T12:00:00Z">
        <w:r>
          <w:rPr>
            <w:smallCaps/>
          </w:rPr>
          <w:t xml:space="preserve">, 26 Psychol. Pub. </w:t>
        </w:r>
      </w:ins>
      <w:ins w:id="200260" w:author="Claude" w:date="2026-09-27T12:00:00Z">
        <w:r>
          <w:rPr>
            <w:smallCaps/>
          </w:rPr>
          <w:t>Pol’y</w:t>
        </w:r>
      </w:ins>
      <w:ins w:id="200261" w:author="Claude" w:date="2026-09-27T12:00:00Z">
        <w:r>
          <w:rPr>
            <w:smallCaps/>
          </w:rPr>
          <w:t xml:space="preserve"> &amp; L. 70 (2020).</w:t>
        </w:r>
      </w:ins>
    </w:p>
  </w:footnote>
  <w:footnote w:id="764">
    <w:p w14:paraId="105B681C" w14:textId="77777777" w:rsidR="00B663C8" w:rsidRPr="005B3E31" w:rsidRDefault="00B663C8" w:rsidP="003D74D8">
      <w:pPr>
        <w:pStyle w:val="FootnoteText"/>
        <w:spacing w:line="480" w:lineRule="auto"/>
        <w:rPr>
          <w:ins w:id="200282" w:author="Claude" w:date="2026-09-27T12:00:00Z"/>
        </w:rPr>
      </w:pPr>
      <w:ins w:id="200263" w:author="Claude" w:date="2026-09-27T12:00:00Z">
        <w:r>
          <w:rPr>
            <w:rStyle w:val="FootnoteReference"/>
          </w:rPr>
          <w:footnoteRef/>
        </w:r>
      </w:ins>
      <w:ins w:id="200264" w:author="Claude" w:date="2026-09-27T12:00:00Z">
        <w:r>
          <w:t xml:space="preserve"> </w:t>
        </w:r>
      </w:ins>
      <w:ins w:id="200265" w:author="Claude" w:date="2026-09-27T12:00:00Z">
        <w:r>
          <w:rPr>
            <w:color w:val="000000" w:themeColor="text1"/>
          </w:rPr>
          <w:t xml:space="preserve">Holger </w:t>
        </w:r>
      </w:ins>
      <w:ins w:id="200266" w:author="Claude" w:date="2026-09-27T12:00:00Z">
        <w:r>
          <w:rPr>
            <w:color w:val="000000" w:themeColor="text1"/>
          </w:rPr>
          <w:t>Spamann</w:t>
        </w:r>
      </w:ins>
      <w:ins w:id="200267" w:author="Claude" w:date="2026-09-27T12:00:00Z">
        <w:r>
          <w:rPr>
            <w:color w:val="000000" w:themeColor="text1"/>
          </w:rPr>
          <w:t xml:space="preserve">, </w:t>
        </w:r>
      </w:ins>
      <w:ins w:id="200268" w:author="Claude" w:date="2026-09-27T12:00:00Z">
        <w:r>
          <w:rPr>
            <w:i/>
            <w:iCs/>
            <w:color w:val="000000" w:themeColor="text1"/>
          </w:rPr>
          <w:t>Extension: Lawyers’ Role-Induced Bias Arises Fast and Persists despite Intervention</w:t>
        </w:r>
      </w:ins>
      <w:ins w:id="200269" w:author="Claude" w:date="2026-09-27T12:00:00Z">
        <w:r>
          <w:rPr>
            <w:color w:val="000000" w:themeColor="text1"/>
          </w:rPr>
          <w:t xml:space="preserve">, 49 </w:t>
        </w:r>
      </w:ins>
      <w:ins w:id="200270" w:author="Claude" w:date="2026-09-27T12:00:00Z">
        <w:r>
          <w:rPr>
            <w:smallCaps/>
            <w:color w:val="000000" w:themeColor="text1"/>
          </w:rPr>
          <w:t>J. Legal Stud.</w:t>
        </w:r>
      </w:ins>
      <w:ins w:id="200271" w:author="Claude" w:date="2026-09-27T12:00:00Z">
        <w:r>
          <w:rPr>
            <w:color w:val="000000" w:themeColor="text1"/>
          </w:rPr>
          <w:t xml:space="preserve"> 467, 482 (2020); Doron </w:t>
        </w:r>
      </w:ins>
      <w:ins w:id="200272" w:author="Claude" w:date="2026-09-27T12:00:00Z">
        <w:r>
          <w:rPr>
            <w:color w:val="000000" w:themeColor="text1"/>
          </w:rPr>
          <w:t>Teichman</w:t>
        </w:r>
      </w:ins>
      <w:ins w:id="200273" w:author="Claude" w:date="2026-09-27T12:00:00Z">
        <w:r>
          <w:rPr>
            <w:color w:val="000000" w:themeColor="text1"/>
          </w:rPr>
          <w:t xml:space="preserve">, </w:t>
        </w:r>
      </w:ins>
      <w:ins w:id="200274" w:author="Claude" w:date="2026-09-27T12:00:00Z">
        <w:r>
          <w:rPr>
            <w:color w:val="000000" w:themeColor="text1"/>
          </w:rPr>
          <w:t>Eyal</w:t>
        </w:r>
      </w:ins>
      <w:ins w:id="200275" w:author="Claude" w:date="2026-09-27T12:00:00Z">
        <w:r>
          <w:rPr>
            <w:color w:val="000000" w:themeColor="text1"/>
          </w:rPr>
          <w:t xml:space="preserve"> Zamir &amp; Ilana </w:t>
        </w:r>
      </w:ins>
      <w:ins w:id="200276" w:author="Claude" w:date="2026-09-27T12:00:00Z">
        <w:r>
          <w:rPr>
            <w:color w:val="000000" w:themeColor="text1"/>
          </w:rPr>
          <w:t>Ritov</w:t>
        </w:r>
      </w:ins>
      <w:ins w:id="200277" w:author="Claude" w:date="2026-09-27T12:00:00Z">
        <w:r>
          <w:rPr>
            <w:color w:val="000000" w:themeColor="text1"/>
          </w:rPr>
          <w:t xml:space="preserve">, </w:t>
        </w:r>
      </w:ins>
      <w:ins w:id="200278" w:author="Claude" w:date="2026-09-27T12:00:00Z">
        <w:r>
          <w:rPr>
            <w:i/>
            <w:iCs/>
            <w:color w:val="000000" w:themeColor="text1"/>
          </w:rPr>
          <w:t xml:space="preserve">Biases in Legal Decision-Making: Comparing Prosecutors, Defense Attorneys, Law Students, and Laypersons, </w:t>
        </w:r>
      </w:ins>
      <w:ins w:id="200279" w:author="Claude" w:date="2026-09-27T12:00:00Z">
        <w:r>
          <w:rPr>
            <w:smallCaps/>
            <w:color w:val="000000" w:themeColor="text1"/>
          </w:rPr>
          <w:t>J. Empirical Legal Stud</w:t>
        </w:r>
      </w:ins>
      <w:ins w:id="200280" w:author="Claude" w:date="2026-09-27T12:00:00Z">
        <w:r>
          <w:rPr>
            <w:i/>
            <w:iCs/>
            <w:color w:val="000000" w:themeColor="text1"/>
          </w:rPr>
          <w:t xml:space="preserve">. </w:t>
        </w:r>
      </w:ins>
      <w:ins w:id="200281" w:author="Claude" w:date="2026-09-27T12:00:00Z">
        <w:r>
          <w:rPr>
            <w:color w:val="000000" w:themeColor="text1"/>
          </w:rPr>
          <w:t>858 (2023).</w:t>
        </w:r>
      </w:ins>
    </w:p>
  </w:footnote>
  <w:footnote w:id="765">
    <w:p w14:paraId="1155E0CB" w14:textId="77777777" w:rsidR="00EB1107" w:rsidRPr="005B3E31" w:rsidRDefault="00EB1107" w:rsidP="003D74D8">
      <w:pPr>
        <w:pStyle w:val="FootnoteText"/>
        <w:spacing w:line="480" w:lineRule="auto"/>
        <w:rPr>
          <w:ins w:id="200289" w:author="Claude" w:date="2026-09-27T12:00:00Z"/>
        </w:rPr>
      </w:pPr>
      <w:ins w:id="200285" w:author="Claude" w:date="2026-09-27T12:00:00Z">
        <w:r>
          <w:rPr>
            <w:rStyle w:val="FootnoteReference"/>
          </w:rPr>
          <w:footnoteRef/>
        </w:r>
      </w:ins>
      <w:ins w:id="200286" w:author="Claude" w:date="2026-09-27T12:00:00Z">
        <w:r>
          <w:t xml:space="preserve"> </w:t>
        </w:r>
      </w:ins>
      <w:ins w:id="200287" w:author="Claude" w:date="2026-09-27T12:00:00Z">
        <w:r>
          <w:rPr>
            <w:i/>
            <w:iCs/>
          </w:rPr>
          <w:t>Id.</w:t>
        </w:r>
      </w:ins>
      <w:ins w:id="200288" w:author="Claude" w:date="2026-09-27T12:00:00Z">
        <w:r>
          <w:t xml:space="preserve"> at 106–07. </w:t>
        </w:r>
      </w:ins>
    </w:p>
  </w:footnote>
  <w:footnote w:id="766">
    <w:p w14:paraId="269D7841" w14:textId="77777777" w:rsidR="00EB1107" w:rsidRPr="005B3E31" w:rsidRDefault="00EB1107" w:rsidP="003D74D8">
      <w:pPr>
        <w:pStyle w:val="FootnoteText"/>
        <w:spacing w:line="480" w:lineRule="auto"/>
        <w:rPr>
          <w:ins w:id="200296" w:author="Claude" w:date="2026-09-27T12:00:00Z"/>
        </w:rPr>
      </w:pPr>
      <w:ins w:id="200290" w:author="Claude" w:date="2026-09-27T12:00:00Z">
        <w:r>
          <w:rPr>
            <w:rStyle w:val="FootnoteReference"/>
          </w:rPr>
          <w:footnoteRef/>
        </w:r>
      </w:ins>
      <w:ins w:id="200291" w:author="Claude" w:date="2026-09-27T12:00:00Z">
        <w:r>
          <w:t xml:space="preserve"> </w:t>
        </w:r>
      </w:ins>
      <w:ins w:id="200292" w:author="Claude" w:date="2026-09-27T12:00:00Z">
        <w:r>
          <w:rPr>
            <w:i/>
            <w:iCs/>
          </w:rPr>
          <w:t>Id.</w:t>
        </w:r>
      </w:ins>
      <w:ins w:id="200293" w:author="Claude" w:date="2026-09-27T12:00:00Z">
        <w:r>
          <w:t xml:space="preserve"> at 94, 108; </w:t>
        </w:r>
      </w:ins>
      <w:ins w:id="200294" w:author="Claude" w:date="2026-09-27T12:00:00Z">
        <w:r>
          <w:rPr>
            <w:smallCaps/>
          </w:rPr>
          <w:t>William G. Ross, The Honest Hour</w:t>
        </w:r>
      </w:ins>
      <w:ins w:id="200295" w:author="Claude" w:date="2026-09-27T12:00:00Z">
        <w:r>
          <w:t xml:space="preserve"> 4 (1996)</w:t>
        </w:r>
      </w:ins>
    </w:p>
  </w:footnote>
  <w:footnote w:id="767">
    <w:p w14:paraId="021B2B69" w14:textId="77777777" w:rsidR="00667707" w:rsidRPr="005B3E31" w:rsidRDefault="00667707" w:rsidP="003D74D8">
      <w:pPr>
        <w:pStyle w:val="FootnoteText"/>
        <w:spacing w:line="480" w:lineRule="auto"/>
        <w:rPr>
          <w:ins w:id="200311" w:author="Claude" w:date="2026-09-27T12:00:00Z"/>
          <w:color w:val="000000" w:themeColor="text1"/>
        </w:rPr>
      </w:pPr>
      <w:ins w:id="200299" w:author="Claude" w:date="2026-09-27T12:00:00Z">
        <w:r>
          <w:rPr>
            <w:rStyle w:val="FootnoteReference"/>
            <w:color w:val="000000" w:themeColor="text1"/>
          </w:rPr>
          <w:footnoteRef/>
        </w:r>
      </w:ins>
      <w:ins w:id="200300" w:author="Claude" w:date="2026-09-27T12:00:00Z">
        <w:r>
          <w:rPr>
            <w:color w:val="000000" w:themeColor="text1"/>
          </w:rPr>
          <w:t xml:space="preserve"> Jane Goodman-</w:t>
        </w:r>
      </w:ins>
      <w:ins w:id="200301" w:author="Claude" w:date="2026-09-27T12:00:00Z">
        <w:r>
          <w:rPr>
            <w:color w:val="000000" w:themeColor="text1"/>
          </w:rPr>
          <w:t>Delahunty</w:t>
        </w:r>
      </w:ins>
      <w:ins w:id="200302" w:author="Claude" w:date="2026-09-27T12:00:00Z">
        <w:r>
          <w:rPr>
            <w:color w:val="000000" w:themeColor="text1"/>
          </w:rPr>
          <w:t xml:space="preserve"> et al., </w:t>
        </w:r>
      </w:ins>
      <w:ins w:id="200303" w:author="Claude" w:date="2026-09-27T12:00:00Z">
        <w:r>
          <w:rPr>
            <w:i/>
            <w:iCs/>
            <w:color w:val="000000" w:themeColor="text1"/>
          </w:rPr>
          <w:t>Insightful or Wishful: Lawyers’ Ability to Predict Case Outcomes</w:t>
        </w:r>
      </w:ins>
      <w:ins w:id="200304" w:author="Claude" w:date="2026-09-27T12:00:00Z">
        <w:r>
          <w:rPr>
            <w:color w:val="000000" w:themeColor="text1"/>
          </w:rPr>
          <w:t xml:space="preserve">, 16 </w:t>
        </w:r>
      </w:ins>
      <w:ins w:id="200305" w:author="Claude" w:date="2026-09-27T12:00:00Z">
        <w:r>
          <w:rPr>
            <w:smallCaps/>
            <w:color w:val="000000" w:themeColor="text1"/>
          </w:rPr>
          <w:t xml:space="preserve">Psych. Pub. </w:t>
        </w:r>
      </w:ins>
      <w:ins w:id="200306" w:author="Claude" w:date="2026-09-27T12:00:00Z">
        <w:r>
          <w:rPr>
            <w:smallCaps/>
            <w:color w:val="000000" w:themeColor="text1"/>
          </w:rPr>
          <w:t>Pol’y</w:t>
        </w:r>
      </w:ins>
      <w:ins w:id="200307" w:author="Claude" w:date="2026-09-27T12:00:00Z">
        <w:r>
          <w:rPr>
            <w:smallCaps/>
            <w:color w:val="000000" w:themeColor="text1"/>
          </w:rPr>
          <w:t xml:space="preserve"> &amp; L</w:t>
        </w:r>
      </w:ins>
      <w:ins w:id="200308" w:author="Claude" w:date="2026-09-27T12:00:00Z">
        <w:r>
          <w:rPr>
            <w:color w:val="000000" w:themeColor="text1"/>
          </w:rPr>
          <w:t xml:space="preserve">. 133, 136 (2010) (quoting Loftus &amp; </w:t>
        </w:r>
      </w:ins>
      <w:ins w:id="200309" w:author="Claude" w:date="2026-09-27T12:00:00Z">
        <w:r>
          <w:rPr>
            <w:color w:val="000000" w:themeColor="text1"/>
          </w:rPr>
          <w:t>Wagenaar</w:t>
        </w:r>
      </w:ins>
      <w:ins w:id="200310" w:author="Claude" w:date="2026-09-27T12:00:00Z">
        <w:r>
          <w:rPr>
            <w:color w:val="000000" w:themeColor="text1"/>
          </w:rPr>
          <w:t>, 1988, p. 450).</w:t>
        </w:r>
      </w:ins>
    </w:p>
  </w:footnote>
  <w:footnote w:id="768">
    <w:p w14:paraId="675D0DCB" w14:textId="77777777" w:rsidR="00667707" w:rsidRPr="005B3E31" w:rsidRDefault="00667707" w:rsidP="003D74D8">
      <w:pPr>
        <w:pStyle w:val="FootnoteText"/>
        <w:spacing w:line="480" w:lineRule="auto"/>
        <w:rPr>
          <w:ins w:id="200318" w:author="Claude" w:date="2026-09-27T12:00:00Z"/>
        </w:rPr>
      </w:pPr>
      <w:ins w:id="200314" w:author="Claude" w:date="2026-09-27T12:00:00Z">
        <w:r>
          <w:rPr>
            <w:rStyle w:val="FootnoteReference"/>
          </w:rPr>
          <w:footnoteRef/>
        </w:r>
      </w:ins>
      <w:ins w:id="200315" w:author="Claude" w:date="2026-09-27T12:00:00Z">
        <w:r>
          <w:t xml:space="preserve"> Ian Weinstein, </w:t>
        </w:r>
      </w:ins>
      <w:ins w:id="200316" w:author="Claude" w:date="2026-09-27T12:00:00Z">
        <w:r>
          <w:rPr>
            <w:i/>
            <w:iCs/>
          </w:rPr>
          <w:t>Don't Believe Everything You Think: Cognitive Bias in Legal Decision Making</w:t>
        </w:r>
      </w:ins>
      <w:ins w:id="200317" w:author="Claude" w:date="2026-09-27T12:00:00Z">
        <w:r>
          <w:t>, 9 Clinical L. Rev. 783, 829 (2002–2003), http://ir.lawnet.fordham.edu/faculty_scholarship/422.</w:t>
        </w:r>
      </w:ins>
    </w:p>
  </w:footnote>
  <w:footnote w:id="769">
    <w:p w14:paraId="77E71CDB" w14:textId="77777777" w:rsidR="00667707" w:rsidRPr="005B3E31" w:rsidRDefault="00667707" w:rsidP="003D74D8">
      <w:pPr>
        <w:pStyle w:val="FootnoteText"/>
        <w:spacing w:line="480" w:lineRule="auto"/>
        <w:rPr>
          <w:ins w:id="200334" w:author="Claude" w:date="2026-09-27T12:00:00Z"/>
        </w:rPr>
      </w:pPr>
      <w:ins w:id="200319" w:author="Claude" w:date="2026-09-27T12:00:00Z">
        <w:r>
          <w:rPr>
            <w:rStyle w:val="FootnoteReference"/>
          </w:rPr>
          <w:footnoteRef/>
        </w:r>
      </w:ins>
      <w:ins w:id="200320" w:author="Claude" w:date="2026-09-27T12:00:00Z">
        <w:r>
          <w:rPr>
            <w:color w:val="000000" w:themeColor="text1"/>
          </w:rPr>
          <w:t>Alafair</w:t>
        </w:r>
      </w:ins>
      <w:ins w:id="200321" w:author="Claude" w:date="2026-09-27T12:00:00Z">
        <w:r>
          <w:rPr>
            <w:color w:val="000000" w:themeColor="text1"/>
          </w:rPr>
          <w:t xml:space="preserve"> S. Burke, </w:t>
        </w:r>
      </w:ins>
      <w:ins w:id="200322" w:author="Claude" w:date="2026-09-27T12:00:00Z">
        <w:r>
          <w:rPr>
            <w:i/>
            <w:iCs/>
            <w:color w:val="000000" w:themeColor="text1"/>
          </w:rPr>
          <w:t>Improving Prosecutorial Decision Making: Some Lessons of Cognitive Science</w:t>
        </w:r>
      </w:ins>
      <w:ins w:id="200323" w:author="Claude" w:date="2026-09-27T12:00:00Z">
        <w:r>
          <w:rPr>
            <w:color w:val="000000" w:themeColor="text1"/>
          </w:rPr>
          <w:t xml:space="preserve">, 47 </w:t>
        </w:r>
      </w:ins>
      <w:ins w:id="200324" w:author="Claude" w:date="2026-09-27T12:00:00Z">
        <w:r>
          <w:rPr>
            <w:smallCaps/>
            <w:color w:val="000000" w:themeColor="text1"/>
          </w:rPr>
          <w:t>Wm. &amp; Mary L. Rev.</w:t>
        </w:r>
      </w:ins>
      <w:ins w:id="200325" w:author="Claude" w:date="2026-09-27T12:00:00Z">
        <w:r>
          <w:rPr>
            <w:color w:val="000000" w:themeColor="text1"/>
          </w:rPr>
          <w:t xml:space="preserve"> 1587, 1606 (2006); Keith A. Findley, </w:t>
        </w:r>
      </w:ins>
      <w:ins w:id="200326" w:author="Claude" w:date="2026-09-27T12:00:00Z">
        <w:r>
          <w:rPr>
            <w:i/>
            <w:iCs/>
            <w:color w:val="000000" w:themeColor="text1"/>
          </w:rPr>
          <w:t>Tunnel Vision</w:t>
        </w:r>
      </w:ins>
      <w:ins w:id="200327" w:author="Claude" w:date="2026-09-27T12:00:00Z">
        <w:r>
          <w:t xml:space="preserve">, </w:t>
        </w:r>
      </w:ins>
      <w:ins w:id="200328" w:author="Claude" w:date="2026-09-27T12:00:00Z">
        <w:r>
          <w:rPr>
            <w:i/>
            <w:iCs/>
          </w:rPr>
          <w:t>in</w:t>
        </w:r>
      </w:ins>
      <w:ins w:id="200329" w:author="Claude" w:date="2026-09-27T12:00:00Z">
        <w:r>
          <w:rPr>
            <w:color w:val="000000" w:themeColor="text1"/>
          </w:rPr>
          <w:t xml:space="preserve"> </w:t>
        </w:r>
      </w:ins>
      <w:ins w:id="200330" w:author="Claude" w:date="2026-09-27T12:00:00Z">
        <w:r>
          <w:rPr>
            <w:smallCaps/>
            <w:color w:val="000000" w:themeColor="text1"/>
          </w:rPr>
          <w:t>Conviction of the Innocent: Lessons from Psychological Research</w:t>
        </w:r>
      </w:ins>
      <w:ins w:id="200331" w:author="Claude" w:date="2026-09-27T12:00:00Z">
        <w:r>
          <w:rPr>
            <w:color w:val="000000" w:themeColor="text1"/>
          </w:rPr>
          <w:t xml:space="preserve"> 1, 8 (B. Cutler ed., 2012) (“[P]</w:t>
        </w:r>
      </w:ins>
      <w:ins w:id="200332" w:author="Claude" w:date="2026-09-27T12:00:00Z">
        <w:r>
          <w:rPr>
            <w:color w:val="000000" w:themeColor="text1"/>
          </w:rPr>
          <w:t>eople</w:t>
        </w:r>
      </w:ins>
      <w:ins w:id="200333" w:author="Claude" w:date="2026-09-27T12:00:00Z">
        <w:r>
          <w:rPr>
            <w:color w:val="000000" w:themeColor="text1"/>
          </w:rPr>
          <w:t xml:space="preserve"> tend to use different criteria when they evaluate data or conclusions that they desire than when they evaluate conclusions they disfavor. For preferred conclusions, “we ask only that the evidence not force us to believe otherwise.” For disfavored conclusions, however, “we ask whether the evidence compels such a distasteful conclusion—a much more difficult standard to achieve”).</w:t>
        </w:r>
      </w:ins>
    </w:p>
  </w:footnote>
  <w:footnote w:id="770">
    <w:p w14:paraId="784AF4EB" w14:textId="77777777" w:rsidR="008076F7" w:rsidRPr="005B3E31" w:rsidRDefault="008076F7" w:rsidP="003D74D8">
      <w:pPr>
        <w:pStyle w:val="FootnoteText"/>
        <w:spacing w:line="480" w:lineRule="auto"/>
        <w:rPr>
          <w:ins w:id="200349" w:author="Claude" w:date="2026-09-27T12:00:00Z"/>
          <w:color w:val="000000" w:themeColor="text1"/>
        </w:rPr>
      </w:pPr>
      <w:ins w:id="200335" w:author="Claude" w:date="2026-09-27T12:00:00Z">
        <w:r>
          <w:rPr>
            <w:rStyle w:val="FootnoteReference"/>
            <w:color w:val="000000" w:themeColor="text1"/>
          </w:rPr>
          <w:footnoteRef/>
        </w:r>
      </w:ins>
      <w:ins w:id="200336" w:author="Claude" w:date="2026-09-27T12:00:00Z">
        <w:r>
          <w:rPr>
            <w:color w:val="000000" w:themeColor="text1"/>
          </w:rPr>
          <w:t xml:space="preserve"> Goodman-</w:t>
        </w:r>
      </w:ins>
      <w:ins w:id="200337" w:author="Claude" w:date="2026-09-27T12:00:00Z">
        <w:r>
          <w:rPr>
            <w:color w:val="000000" w:themeColor="text1"/>
          </w:rPr>
          <w:t>Delahunty</w:t>
        </w:r>
      </w:ins>
      <w:ins w:id="200338" w:author="Claude" w:date="2026-09-27T12:00:00Z">
        <w:r>
          <w:rPr>
            <w:color w:val="000000" w:themeColor="text1"/>
          </w:rPr>
          <w:t>, supra note 86, at 15</w:t>
        </w:r>
      </w:ins>
      <w:ins w:id="200339" w:author="Claude" w:date="2026-09-27T12:00:00Z">
        <w:r>
          <w:rPr>
            <w:color w:val="000000" w:themeColor="text1"/>
          </w:rPr>
          <w:fldChar w:fldCharType="begin"/>
        </w:r>
      </w:ins>
      <w:ins w:id="200340" w:author="Claude" w:date="2026-09-27T12:00:00Z">
        <w:r>
          <w:rPr>
            <w:color w:val="000000" w:themeColor="text1"/>
          </w:rPr>
          <w:instrText xml:space="preserve"> NOTEREF _Ref222081948 \h  \* MERGEFORMAT </w:instrText>
        </w:r>
      </w:ins>
      <w:ins w:id="200341" w:author="Claude" w:date="2026-09-27T12:00:00Z">
        <w:r>
          <w:rPr>
            <w:color w:val="000000" w:themeColor="text1"/>
          </w:rPr>
        </w:r>
      </w:ins>
      <w:ins w:id="200342" w:author="Claude" w:date="2026-09-27T12:00:00Z">
        <w:r>
          <w:rPr>
            <w:color w:val="000000" w:themeColor="text1"/>
          </w:rPr>
          <w:fldChar w:fldCharType="separate"/>
        </w:r>
      </w:ins>
      <w:ins w:id="200343" w:author="Claude" w:date="2026-09-27T12:00:00Z">
        <w:r>
          <w:rPr>
            <w:color w:val="000000" w:themeColor="text1"/>
          </w:rPr>
          <w:fldChar w:fldCharType="end"/>
        </w:r>
      </w:ins>
      <w:ins w:id="200344" w:author="Claude" w:date="2026-09-27T12:00:00Z">
        <w:r>
          <w:rPr>
            <w:color w:val="000000" w:themeColor="text1"/>
          </w:rPr>
          <w:t xml:space="preserve">3; Richard F. Elmore, </w:t>
        </w:r>
      </w:ins>
      <w:ins w:id="200345" w:author="Claude" w:date="2026-09-27T12:00:00Z">
        <w:r>
          <w:rPr>
            <w:i/>
            <w:iCs/>
            <w:color w:val="000000" w:themeColor="text1"/>
          </w:rPr>
          <w:t>Backward Mapping: Implementation Research and Policy Decisions</w:t>
        </w:r>
      </w:ins>
      <w:ins w:id="200346" w:author="Claude" w:date="2026-09-27T12:00:00Z">
        <w:r>
          <w:rPr>
            <w:color w:val="000000" w:themeColor="text1"/>
          </w:rPr>
          <w:t xml:space="preserve">, 94 </w:t>
        </w:r>
      </w:ins>
      <w:ins w:id="200347" w:author="Claude" w:date="2026-09-27T12:00:00Z">
        <w:r>
          <w:rPr>
            <w:smallCaps/>
            <w:color w:val="000000" w:themeColor="text1"/>
          </w:rPr>
          <w:t>Pol. Sci. Q</w:t>
        </w:r>
      </w:ins>
      <w:ins w:id="200348" w:author="Claude" w:date="2026-09-27T12:00:00Z">
        <w:r>
          <w:rPr>
            <w:color w:val="000000" w:themeColor="text1"/>
          </w:rPr>
          <w:t>. 601, 604 (1979).</w:t>
        </w:r>
      </w:ins>
    </w:p>
  </w:footnote>
  <w:footnote w:id="771">
    <w:p w14:paraId="6EA2C2D8" w14:textId="77777777" w:rsidR="00667707" w:rsidRPr="005B3E31" w:rsidRDefault="00667707" w:rsidP="003D74D8">
      <w:pPr>
        <w:pStyle w:val="FootnoteText"/>
        <w:spacing w:line="480" w:lineRule="auto"/>
        <w:rPr>
          <w:ins w:id="200363" w:author="Claude" w:date="2026-09-27T12:00:00Z"/>
          <w:color w:val="000000" w:themeColor="text1"/>
        </w:rPr>
      </w:pPr>
      <w:ins w:id="200350" w:author="Claude" w:date="2026-09-27T12:00:00Z">
        <w:r>
          <w:rPr>
            <w:rStyle w:val="FootnoteReference"/>
            <w:color w:val="000000" w:themeColor="text1"/>
          </w:rPr>
          <w:footnoteRef/>
        </w:r>
      </w:ins>
      <w:ins w:id="200351" w:author="Claude" w:date="2026-09-27T12:00:00Z">
        <w:r>
          <w:rPr>
            <w:color w:val="000000" w:themeColor="text1"/>
          </w:rPr>
          <w:t xml:space="preserve"> </w:t>
        </w:r>
      </w:ins>
      <w:ins w:id="200352" w:author="Claude" w:date="2026-09-27T12:00:00Z">
        <w:r>
          <w:rPr>
            <w:smallCaps/>
            <w:color w:val="000000" w:themeColor="text1"/>
          </w:rPr>
          <w:t>Schlag</w:t>
        </w:r>
      </w:ins>
      <w:ins w:id="200353" w:author="Claude" w:date="2026-09-27T12:00:00Z">
        <w:r>
          <w:rPr>
            <w:color w:val="000000" w:themeColor="text1"/>
          </w:rPr>
          <w:t xml:space="preserve">, </w:t>
        </w:r>
      </w:ins>
      <w:ins w:id="200354" w:author="Claude" w:date="2026-09-27T12:00:00Z">
        <w:r>
          <w:rPr>
            <w:i/>
            <w:iCs/>
            <w:color w:val="000000" w:themeColor="text1"/>
          </w:rPr>
          <w:t>supra</w:t>
        </w:r>
      </w:ins>
      <w:ins w:id="200355" w:author="Claude" w:date="2026-09-27T12:00:00Z">
        <w:r>
          <w:rPr>
            <w:color w:val="000000" w:themeColor="text1"/>
          </w:rPr>
          <w:t xml:space="preserve"> note </w:t>
        </w:r>
      </w:ins>
      <w:ins w:id="200356" w:author="Claude" w:date="2026-09-27T12:00:00Z">
        <w:r>
          <w:rPr>
            <w:color w:val="000000" w:themeColor="text1"/>
          </w:rPr>
          <w:fldChar w:fldCharType="begin"/>
        </w:r>
      </w:ins>
      <w:ins w:id="200357" w:author="Claude" w:date="2026-09-27T12:00:00Z">
        <w:r>
          <w:rPr>
            <w:color w:val="000000" w:themeColor="text1"/>
          </w:rPr>
          <w:instrText xml:space="preserve"> NOTEREF _Ref217223724 \h  \* MERGEFORMAT </w:instrText>
        </w:r>
      </w:ins>
      <w:ins w:id="200358" w:author="Claude" w:date="2026-09-27T12:00:00Z">
        <w:r>
          <w:rPr>
            <w:color w:val="000000" w:themeColor="text1"/>
          </w:rPr>
        </w:r>
      </w:ins>
      <w:ins w:id="200359" w:author="Claude" w:date="2026-09-27T12:00:00Z">
        <w:r>
          <w:rPr>
            <w:color w:val="000000" w:themeColor="text1"/>
          </w:rPr>
          <w:fldChar w:fldCharType="separate"/>
        </w:r>
      </w:ins>
      <w:ins w:id="200360" w:author="Claude" w:date="2026-09-27T12:00:00Z">
        <w:r>
          <w:rPr>
            <w:color w:val="000000" w:themeColor="text1"/>
          </w:rPr>
          <w:t>56</w:t>
        </w:r>
      </w:ins>
      <w:ins w:id="200361" w:author="Claude" w:date="2026-09-27T12:00:00Z">
        <w:r>
          <w:rPr>
            <w:color w:val="000000" w:themeColor="text1"/>
          </w:rPr>
          <w:fldChar w:fldCharType="end"/>
        </w:r>
      </w:ins>
      <w:ins w:id="200362" w:author="Claude" w:date="2026-09-27T12:00:00Z">
        <w:r>
          <w:rPr>
            <w:color w:val="000000" w:themeColor="text1"/>
          </w:rPr>
          <w:t>, at 140.</w:t>
        </w:r>
      </w:ins>
    </w:p>
  </w:footnote>
  <w:footnote w:id="772">
    <w:p w14:paraId="7519D2D3" w14:textId="77777777" w:rsidR="003E39A2" w:rsidRPr="005B3E31" w:rsidRDefault="003E39A2" w:rsidP="003D74D8">
      <w:pPr>
        <w:pStyle w:val="FootnoteText"/>
        <w:spacing w:line="480" w:lineRule="auto"/>
        <w:rPr>
          <w:ins w:id="200368" w:author="Claude" w:date="2026-09-27T12:00:00Z"/>
        </w:rPr>
      </w:pPr>
      <w:ins w:id="200364" w:author="Claude" w:date="2026-09-27T12:00:00Z">
        <w:r>
          <w:rPr>
            <w:rStyle w:val="FootnoteReference"/>
          </w:rPr>
          <w:footnoteRef/>
        </w:r>
      </w:ins>
      <w:ins w:id="200365" w:author="Claude" w:date="2026-09-27T12:00:00Z">
        <w:r>
          <w:t xml:space="preserve"> </w:t>
        </w:r>
      </w:ins>
      <w:ins w:id="200366" w:author="Claude" w:date="2026-09-27T12:00:00Z">
        <w:r>
          <w:rPr>
            <w:smallCaps/>
          </w:rPr>
          <w:t xml:space="preserve">Steven J. Harper, The Lawyer Bubble: A Profession in Crisis </w:t>
        </w:r>
      </w:ins>
      <w:ins w:id="200367" w:author="Claude" w:date="2026-09-27T12:00:00Z">
        <w:r>
          <w:t>117 (2013).</w:t>
        </w:r>
      </w:ins>
    </w:p>
  </w:footnote>
  <w:footnote w:id="773">
    <w:p w14:paraId="120322F4" w14:textId="77777777" w:rsidR="00580764" w:rsidRPr="005B3E31" w:rsidRDefault="00580764" w:rsidP="003D74D8">
      <w:pPr>
        <w:pStyle w:val="FootnoteText"/>
        <w:spacing w:line="480" w:lineRule="auto"/>
        <w:rPr>
          <w:ins w:id="200390" w:author="Claude" w:date="2026-09-27T12:00:00Z"/>
        </w:rPr>
      </w:pPr>
      <w:ins w:id="200384" w:author="Claude" w:date="2026-09-27T12:00:00Z">
        <w:r>
          <w:rPr>
            <w:rStyle w:val="FootnoteReference"/>
          </w:rPr>
          <w:footnoteRef/>
        </w:r>
      </w:ins>
      <w:ins w:id="200385" w:author="Claude" w:date="2026-09-27T12:00:00Z">
        <w:r>
          <w:t xml:space="preserve"> Marc Galanter, </w:t>
        </w:r>
      </w:ins>
      <w:ins w:id="200386" w:author="Claude" w:date="2026-09-27T12:00:00Z">
        <w:r>
          <w:rPr>
            <w:i/>
            <w:iCs/>
          </w:rPr>
          <w:t>Worlds of Deals: Using Negotiation to Teach about Legal Process</w:t>
        </w:r>
      </w:ins>
      <w:ins w:id="200387" w:author="Claude" w:date="2026-09-27T12:00:00Z">
        <w:r>
          <w:t xml:space="preserve">, 34 </w:t>
        </w:r>
      </w:ins>
      <w:ins w:id="200388" w:author="Claude" w:date="2026-09-27T12:00:00Z">
        <w:r>
          <w:rPr>
            <w:smallCaps/>
          </w:rPr>
          <w:t>J. Legal Educ.</w:t>
        </w:r>
      </w:ins>
      <w:ins w:id="200389" w:author="Claude" w:date="2026-09-27T12:00:00Z">
        <w:r>
          <w:t xml:space="preserve"> 268, 268 (1984).</w:t>
        </w:r>
      </w:ins>
    </w:p>
  </w:footnote>
  <w:footnote w:id="774">
    <w:p w14:paraId="1D60A277" w14:textId="77777777" w:rsidR="000D2CC9" w:rsidRPr="005B3E31" w:rsidRDefault="000D2CC9" w:rsidP="003D74D8">
      <w:pPr>
        <w:pStyle w:val="FootnoteText"/>
        <w:spacing w:line="480" w:lineRule="auto"/>
        <w:rPr>
          <w:ins w:id="200397" w:author="Claude" w:date="2026-09-27T12:00:00Z"/>
        </w:rPr>
      </w:pPr>
      <w:ins w:id="200391" w:author="Claude" w:date="2026-09-27T12:00:00Z">
        <w:r>
          <w:rPr>
            <w:rStyle w:val="FootnoteReference"/>
          </w:rPr>
          <w:footnoteRef/>
        </w:r>
      </w:ins>
      <w:ins w:id="200392" w:author="Claude" w:date="2026-09-27T12:00:00Z">
        <w:r>
          <w:t xml:space="preserve"> </w:t>
        </w:r>
      </w:ins>
      <w:ins w:id="200393" w:author="Claude" w:date="2026-09-27T12:00:00Z">
        <w:r>
          <w:rPr>
            <w:smallCaps/>
          </w:rPr>
          <w:t>Randall Kiser, How Leading Lawyers Think: Expert Insights Into Judgment and Advocacy</w:t>
        </w:r>
      </w:ins>
      <w:ins w:id="200394" w:author="Claude" w:date="2026-09-27T12:00:00Z">
        <w:r>
          <w:t xml:space="preserve"> 250 (Springer 2011); </w:t>
        </w:r>
      </w:ins>
      <w:ins w:id="200395" w:author="Claude" w:date="2026-09-27T12:00:00Z">
        <w:r>
          <w:t>Schneyer</w:t>
        </w:r>
      </w:ins>
      <w:ins w:id="200396" w:author="Claude" w:date="2026-09-27T12:00:00Z">
        <w:r>
          <w:t>, infra note 209, at 11.</w:t>
        </w:r>
      </w:ins>
    </w:p>
  </w:footnote>
  <w:footnote w:id="775">
    <w:p w14:paraId="1F456F12" w14:textId="77777777" w:rsidR="000D2CC9" w:rsidRPr="005B3E31" w:rsidRDefault="000D2CC9" w:rsidP="003D74D8">
      <w:pPr>
        <w:pStyle w:val="FootnoteText"/>
        <w:spacing w:line="480" w:lineRule="auto"/>
        <w:rPr>
          <w:ins w:id="200406" w:author="Claude" w:date="2026-09-27T12:00:00Z"/>
          <w:color w:val="000000" w:themeColor="text1"/>
        </w:rPr>
      </w:pPr>
      <w:ins w:id="200398" w:author="Claude" w:date="2026-09-27T12:00:00Z">
        <w:r>
          <w:rPr>
            <w:rStyle w:val="FootnoteReference"/>
            <w:color w:val="000000" w:themeColor="text1"/>
          </w:rPr>
          <w:footnoteRef/>
        </w:r>
      </w:ins>
      <w:ins w:id="200399" w:author="Claude" w:date="2026-09-27T12:00:00Z">
        <w:r>
          <w:rPr>
            <w:color w:val="000000" w:themeColor="text1"/>
          </w:rPr>
          <w:t xml:space="preserve">Dan M. Kahan, </w:t>
        </w:r>
      </w:ins>
      <w:ins w:id="200400" w:author="Claude" w:date="2026-09-27T12:00:00Z">
        <w:r>
          <w:rPr>
            <w:i/>
            <w:iCs/>
            <w:color w:val="000000" w:themeColor="text1"/>
          </w:rPr>
          <w:t>Foreword: Neutral Principles, Motivated Cognition, and Some Problems for Constitutional Law</w:t>
        </w:r>
      </w:ins>
      <w:ins w:id="200401" w:author="Claude" w:date="2026-09-27T12:00:00Z">
        <w:r>
          <w:rPr>
            <w:color w:val="000000" w:themeColor="text1"/>
          </w:rPr>
          <w:t xml:space="preserve">, 125 </w:t>
        </w:r>
      </w:ins>
      <w:ins w:id="200402" w:author="Claude" w:date="2026-09-27T12:00:00Z">
        <w:r>
          <w:rPr>
            <w:smallCaps/>
            <w:color w:val="000000" w:themeColor="text1"/>
          </w:rPr>
          <w:t>Harv. L. Rev.</w:t>
        </w:r>
      </w:ins>
      <w:ins w:id="200403" w:author="Claude" w:date="2026-09-27T12:00:00Z">
        <w:r>
          <w:rPr>
            <w:color w:val="000000" w:themeColor="text1"/>
          </w:rPr>
          <w:t xml:space="preserve"> 1, 20–27 (2011); </w:t>
        </w:r>
      </w:ins>
      <w:ins w:id="200404" w:author="Claude" w:date="2026-09-27T12:00:00Z">
        <w:r>
          <w:rPr>
            <w:smallCaps/>
            <w:color w:val="000000" w:themeColor="text1"/>
          </w:rPr>
          <w:t>Micah Zenko, Red Team: How to Succeed by Thinking Like the Enemy</w:t>
        </w:r>
      </w:ins>
      <w:ins w:id="200405" w:author="Claude" w:date="2026-09-27T12:00:00Z">
        <w:r>
          <w:rPr>
            <w:color w:val="000000" w:themeColor="text1"/>
          </w:rPr>
          <w:t xml:space="preserve"> 71–76 (2015).</w:t>
        </w:r>
      </w:ins>
    </w:p>
  </w:footnote>
  <w:footnote w:id="776">
    <w:p w14:paraId="45C2D616" w14:textId="77777777" w:rsidR="000D2CC9" w:rsidRPr="005B3E31" w:rsidRDefault="000D2CC9" w:rsidP="003D74D8">
      <w:pPr>
        <w:spacing w:line="480" w:lineRule="auto"/>
        <w:rPr>
          <w:ins w:id="200420" w:author="Claude" w:date="2026-09-27T12:00:00Z"/>
          <w:color w:val="000000" w:themeColor="text1"/>
          <w:sz w:val="20"/>
          <w:szCs w:val="20"/>
        </w:rPr>
      </w:pPr>
      <w:ins w:id="200407" w:author="Claude" w:date="2026-09-27T12:00:00Z">
        <w:r>
          <w:rPr>
            <w:rStyle w:val="FootnoteReference"/>
            <w:color w:val="000000" w:themeColor="text1"/>
            <w:sz w:val="20"/>
            <w:szCs w:val="20"/>
          </w:rPr>
          <w:footnoteRef/>
        </w:r>
      </w:ins>
      <w:ins w:id="200408" w:author="Claude" w:date="2026-09-27T12:00:00Z">
        <w:r>
          <w:rPr>
            <w:color w:val="000000" w:themeColor="text1"/>
            <w:sz w:val="20"/>
            <w:szCs w:val="20"/>
          </w:rPr>
          <w:t xml:space="preserve"> Elizabeth Wolfe Morrison &amp; Frances J. Milliken, </w:t>
        </w:r>
      </w:ins>
      <w:ins w:id="200409" w:author="Claude" w:date="2026-09-27T12:00:00Z">
        <w:r>
          <w:rPr>
            <w:i/>
            <w:iCs/>
            <w:color w:val="000000" w:themeColor="text1"/>
            <w:sz w:val="20"/>
            <w:szCs w:val="20"/>
          </w:rPr>
          <w:t>Organizational Silence: A Barrier to Change and Development in a Pluralistic World</w:t>
        </w:r>
      </w:ins>
      <w:ins w:id="200410" w:author="Claude" w:date="2026-09-27T12:00:00Z">
        <w:r>
          <w:rPr>
            <w:color w:val="000000" w:themeColor="text1"/>
            <w:sz w:val="20"/>
            <w:szCs w:val="20"/>
          </w:rPr>
          <w:t xml:space="preserve">, 25 </w:t>
        </w:r>
      </w:ins>
      <w:ins w:id="200411" w:author="Claude" w:date="2026-09-27T12:00:00Z">
        <w:r>
          <w:rPr>
            <w:smallCaps/>
            <w:color w:val="000000" w:themeColor="text1"/>
            <w:sz w:val="20"/>
            <w:szCs w:val="20"/>
          </w:rPr>
          <w:t>Acad. Mgmt. Rev</w:t>
        </w:r>
      </w:ins>
      <w:ins w:id="200412" w:author="Claude" w:date="2026-09-27T12:00:00Z">
        <w:r>
          <w:rPr>
            <w:color w:val="000000" w:themeColor="text1"/>
            <w:sz w:val="20"/>
            <w:szCs w:val="20"/>
          </w:rPr>
          <w:t xml:space="preserve">. 707, 721 (2000); </w:t>
        </w:r>
      </w:ins>
      <w:ins w:id="200413" w:author="Claude" w:date="2026-09-27T12:00:00Z">
        <w:r>
          <w:rPr>
            <w:smallCaps/>
            <w:color w:val="000000" w:themeColor="text1"/>
            <w:sz w:val="20"/>
            <w:szCs w:val="20"/>
          </w:rPr>
          <w:t>Sunstein</w:t>
        </w:r>
      </w:ins>
      <w:ins w:id="200414" w:author="Claude" w:date="2026-09-27T12:00:00Z">
        <w:r>
          <w:rPr>
            <w:color w:val="000000" w:themeColor="text1"/>
            <w:sz w:val="20"/>
            <w:szCs w:val="20"/>
          </w:rPr>
          <w:t xml:space="preserve">, </w:t>
        </w:r>
      </w:ins>
      <w:ins w:id="200415" w:author="Claude" w:date="2026-09-27T12:00:00Z">
        <w:r>
          <w:rPr>
            <w:i/>
            <w:iCs/>
            <w:color w:val="000000" w:themeColor="text1"/>
            <w:sz w:val="20"/>
            <w:szCs w:val="20"/>
          </w:rPr>
          <w:t>supra</w:t>
        </w:r>
      </w:ins>
      <w:ins w:id="200416" w:author="Claude" w:date="2026-09-27T12:00:00Z">
        <w:r>
          <w:rPr>
            <w:color w:val="000000" w:themeColor="text1"/>
            <w:sz w:val="20"/>
            <w:szCs w:val="20"/>
          </w:rPr>
          <w:t xml:space="preserve"> note 56. </w:t>
        </w:r>
      </w:ins>
      <w:ins w:id="200417" w:author="Claude" w:date="2026-09-27T12:00:00Z">
        <w:r>
          <w:rPr>
            <w:i/>
            <w:iCs/>
            <w:color w:val="000000" w:themeColor="text1"/>
            <w:sz w:val="20"/>
            <w:szCs w:val="20"/>
          </w:rPr>
          <w:t xml:space="preserve">see also </w:t>
        </w:r>
      </w:ins>
      <w:ins w:id="200418" w:author="Claude" w:date="2026-09-27T12:00:00Z">
        <w:r>
          <w:rPr>
            <w:smallCaps/>
            <w:color w:val="000000" w:themeColor="text1"/>
            <w:sz w:val="20"/>
            <w:szCs w:val="20"/>
          </w:rPr>
          <w:t>Scott E. Page, The Difference: How the Power of Diversity Creates Better Groups, Firms, Schools, and Societies</w:t>
        </w:r>
      </w:ins>
      <w:ins w:id="200419" w:author="Claude" w:date="2026-09-27T12:00:00Z">
        <w:r>
          <w:rPr>
            <w:color w:val="000000" w:themeColor="text1"/>
            <w:sz w:val="20"/>
            <w:szCs w:val="20"/>
          </w:rPr>
          <w:t xml:space="preserve"> 41–51, 143–45 (2007).</w:t>
        </w:r>
      </w:ins>
    </w:p>
  </w:footnote>
  <w:footnote w:id="777">
    <w:p w14:paraId="5E9BEDF2" w14:textId="77777777" w:rsidR="000D2CC9" w:rsidRPr="005B3E31" w:rsidRDefault="000D2CC9" w:rsidP="003D74D8">
      <w:pPr>
        <w:spacing w:line="480" w:lineRule="auto"/>
        <w:rPr>
          <w:ins w:id="200427" w:author="Claude" w:date="2026-09-27T12:00:00Z"/>
          <w:color w:val="000000" w:themeColor="text1"/>
          <w:sz w:val="20"/>
          <w:szCs w:val="20"/>
        </w:rPr>
      </w:pPr>
      <w:ins w:id="200421" w:author="Claude" w:date="2026-09-27T12:00:00Z">
        <w:r>
          <w:rPr>
            <w:rStyle w:val="FootnoteReference"/>
            <w:color w:val="000000" w:themeColor="text1"/>
            <w:sz w:val="20"/>
            <w:szCs w:val="20"/>
          </w:rPr>
          <w:footnoteRef/>
        </w:r>
      </w:ins>
      <w:ins w:id="200422" w:author="Claude" w:date="2026-09-27T12:00:00Z">
        <w:r>
          <w:rPr>
            <w:color w:val="000000" w:themeColor="text1"/>
            <w:sz w:val="20"/>
            <w:szCs w:val="20"/>
          </w:rPr>
          <w:t xml:space="preserve"> Elizabeth Chambliss &amp; David B. Wilkins, </w:t>
        </w:r>
      </w:ins>
      <w:ins w:id="200423" w:author="Claude" w:date="2026-09-27T12:00:00Z">
        <w:r>
          <w:rPr>
            <w:i/>
            <w:iCs/>
            <w:color w:val="000000" w:themeColor="text1"/>
            <w:sz w:val="20"/>
            <w:szCs w:val="20"/>
          </w:rPr>
          <w:t>Promoting Effective Ethical Infrastructure in Large Law Firms: A Call for Research and Reporting</w:t>
        </w:r>
      </w:ins>
      <w:ins w:id="200424" w:author="Claude" w:date="2026-09-27T12:00:00Z">
        <w:r>
          <w:rPr>
            <w:color w:val="000000" w:themeColor="text1"/>
            <w:sz w:val="20"/>
            <w:szCs w:val="20"/>
          </w:rPr>
          <w:t xml:space="preserve">, 30 </w:t>
        </w:r>
      </w:ins>
      <w:ins w:id="200425" w:author="Claude" w:date="2026-09-27T12:00:00Z">
        <w:r>
          <w:rPr>
            <w:smallCaps/>
            <w:color w:val="000000" w:themeColor="text1"/>
            <w:sz w:val="20"/>
            <w:szCs w:val="20"/>
          </w:rPr>
          <w:t>Hofstra L. Rev</w:t>
        </w:r>
      </w:ins>
      <w:ins w:id="200426" w:author="Claude" w:date="2026-09-27T12:00:00Z">
        <w:r>
          <w:rPr>
            <w:color w:val="000000" w:themeColor="text1"/>
            <w:sz w:val="20"/>
            <w:szCs w:val="20"/>
          </w:rPr>
          <w:t>. 691, 699, 701 (2002) (reporting surveyed lawyers’ own assessments).</w:t>
        </w:r>
      </w:ins>
    </w:p>
  </w:footnote>
  <w:footnote w:id="778">
    <w:p w14:paraId="1F044298" w14:textId="77777777" w:rsidR="000D2CC9" w:rsidRPr="005B3E31" w:rsidRDefault="000D2CC9" w:rsidP="003D74D8">
      <w:pPr>
        <w:spacing w:line="480" w:lineRule="auto"/>
        <w:rPr>
          <w:ins w:id="200434" w:author="Claude" w:date="2026-09-27T12:00:00Z"/>
          <w:color w:val="000000" w:themeColor="text1"/>
          <w:sz w:val="20"/>
          <w:szCs w:val="20"/>
        </w:rPr>
      </w:pPr>
      <w:ins w:id="200428" w:author="Claude" w:date="2026-09-27T12:00:00Z">
        <w:r>
          <w:rPr>
            <w:rStyle w:val="FootnoteReference"/>
            <w:color w:val="000000" w:themeColor="text1"/>
            <w:sz w:val="20"/>
            <w:szCs w:val="20"/>
          </w:rPr>
          <w:footnoteRef/>
        </w:r>
      </w:ins>
      <w:ins w:id="200429" w:author="Claude" w:date="2026-09-27T12:00:00Z">
        <w:r>
          <w:rPr>
            <w:color w:val="000000" w:themeColor="text1"/>
            <w:sz w:val="20"/>
            <w:szCs w:val="20"/>
          </w:rPr>
          <w:t xml:space="preserve"> Deborah L. Rhode, </w:t>
        </w:r>
      </w:ins>
      <w:ins w:id="200430" w:author="Claude" w:date="2026-09-27T12:00:00Z">
        <w:r>
          <w:rPr>
            <w:i/>
            <w:iCs/>
            <w:color w:val="000000" w:themeColor="text1"/>
            <w:sz w:val="20"/>
            <w:szCs w:val="20"/>
          </w:rPr>
          <w:t>Leadership in Law</w:t>
        </w:r>
      </w:ins>
      <w:ins w:id="200431" w:author="Claude" w:date="2026-09-27T12:00:00Z">
        <w:r>
          <w:rPr>
            <w:color w:val="000000" w:themeColor="text1"/>
            <w:sz w:val="20"/>
            <w:szCs w:val="20"/>
          </w:rPr>
          <w:t xml:space="preserve">, 69 </w:t>
        </w:r>
      </w:ins>
      <w:ins w:id="200432" w:author="Claude" w:date="2026-09-27T12:00:00Z">
        <w:r>
          <w:rPr>
            <w:smallCaps/>
            <w:color w:val="000000" w:themeColor="text1"/>
            <w:sz w:val="20"/>
            <w:szCs w:val="20"/>
          </w:rPr>
          <w:t>Stan. L. Rev</w:t>
        </w:r>
      </w:ins>
      <w:ins w:id="200433" w:author="Claude" w:date="2026-09-27T12:00:00Z">
        <w:r>
          <w:rPr>
            <w:color w:val="000000" w:themeColor="text1"/>
            <w:sz w:val="20"/>
            <w:szCs w:val="20"/>
          </w:rPr>
          <w:t>. 1603, 1636 (2017) (quoting Kouzes &amp; Posner).</w:t>
        </w:r>
      </w:ins>
    </w:p>
  </w:footnote>
  <w:footnote w:id="779">
    <w:p>
      <w:pPr>
        <w:pStyle w:val="FootnoteText"/>
        <w:spacing w:line="480" w:lineRule="auto"/>
        <w:rPr>
          <w:ins w:id="200452" w:author="Claude" w:date="2026-09-27T12:00:00Z"/>
        </w:rPr>
      </w:pPr>
      <w:ins w:id="200453" w:author="Claude" w:date="2026-09-27T12:00:00Z">
        <w:r>
          <w:rPr>
            <w:rStyle w:val="FootnoteReference"/>
          </w:rPr>
          <w:footnoteRef/>
        </w:r>
        <w:r>
          <w:t xml:space="preserve"> </w:t>
        </w:r>
        <w:r>
          <w:rPr>
            <w:i/>
          </w:rPr>
          <w:t>See infra</w:t>
        </w:r>
        <w:r>
          <w:t xml:space="preserve"> Section VI.</w:t>
        </w:r>
      </w:ins>
    </w:p>
  </w:footnote>
  <w:footnote w:id="780">
    <w:p w14:paraId="1B5B0B00" w14:textId="77777777" w:rsidR="00625345" w:rsidRPr="005B3E31" w:rsidRDefault="00625345" w:rsidP="003D74D8">
      <w:pPr>
        <w:pStyle w:val="FootnoteText"/>
        <w:spacing w:line="480" w:lineRule="auto"/>
        <w:rPr>
          <w:ins w:id="200471" w:author="Claude" w:date="2026-09-27T12:00:00Z"/>
        </w:rPr>
      </w:pPr>
      <w:ins w:id="200454" w:author="Claude" w:date="2026-09-27T12:00:00Z">
        <w:r>
          <w:rPr>
            <w:rStyle w:val="FootnoteReference"/>
          </w:rPr>
          <w:footnoteRef/>
        </w:r>
      </w:ins>
      <w:ins w:id="200455" w:author="Claude" w:date="2026-09-27T12:00:00Z">
        <w:r>
          <w:t xml:space="preserve"> </w:t>
        </w:r>
      </w:ins>
      <w:ins w:id="200456" w:author="Claude" w:date="2026-09-27T12:00:00Z">
        <w:r>
          <w:rPr>
            <w:color w:val="000000" w:themeColor="text1"/>
          </w:rPr>
          <w:t xml:space="preserve">Amy Edmondson, </w:t>
        </w:r>
      </w:ins>
      <w:ins w:id="200457" w:author="Claude" w:date="2026-09-27T12:00:00Z">
        <w:r>
          <w:rPr>
            <w:i/>
            <w:iCs/>
            <w:color w:val="000000" w:themeColor="text1"/>
          </w:rPr>
          <w:t>Psychological Safety and Learning Behavior in Work Teams</w:t>
        </w:r>
      </w:ins>
      <w:ins w:id="200458" w:author="Claude" w:date="2026-09-27T12:00:00Z">
        <w:r>
          <w:rPr>
            <w:color w:val="000000" w:themeColor="text1"/>
          </w:rPr>
          <w:t xml:space="preserve">, 44 </w:t>
        </w:r>
      </w:ins>
      <w:ins w:id="200459" w:author="Claude" w:date="2026-09-27T12:00:00Z">
        <w:r>
          <w:rPr>
            <w:smallCaps/>
            <w:color w:val="000000" w:themeColor="text1"/>
          </w:rPr>
          <w:t>Admin. Sci. Q</w:t>
        </w:r>
      </w:ins>
      <w:ins w:id="200460" w:author="Claude" w:date="2026-09-27T12:00:00Z">
        <w:r>
          <w:rPr>
            <w:color w:val="000000" w:themeColor="text1"/>
          </w:rPr>
          <w:t xml:space="preserve">. 350, 354 (1999); James R. </w:t>
        </w:r>
      </w:ins>
      <w:ins w:id="200461" w:author="Claude" w:date="2026-09-27T12:00:00Z">
        <w:r>
          <w:rPr>
            <w:color w:val="000000" w:themeColor="text1"/>
          </w:rPr>
          <w:t>Detert</w:t>
        </w:r>
      </w:ins>
      <w:ins w:id="200462" w:author="Claude" w:date="2026-09-27T12:00:00Z">
        <w:r>
          <w:rPr>
            <w:color w:val="000000" w:themeColor="text1"/>
          </w:rPr>
          <w:t xml:space="preserve"> &amp; Ethan R. Burris</w:t>
        </w:r>
      </w:ins>
      <w:ins w:id="200463" w:author="Claude" w:date="2026-09-27T12:00:00Z">
        <w:r>
          <w:rPr>
            <w:i/>
            <w:iCs/>
            <w:color w:val="000000" w:themeColor="text1"/>
          </w:rPr>
          <w:t xml:space="preserve">, Leadership Behavior and Employee Voice: Is the Door Really </w:t>
        </w:r>
      </w:ins>
      <w:ins w:id="200464" w:author="Claude" w:date="2026-09-27T12:00:00Z">
        <w:r>
          <w:rPr>
            <w:i/>
            <w:iCs/>
            <w:color w:val="000000" w:themeColor="text1"/>
          </w:rPr>
          <w:t>Open?</w:t>
        </w:r>
      </w:ins>
      <w:ins w:id="200465" w:author="Claude" w:date="2026-09-27T12:00:00Z">
        <w:r>
          <w:rPr>
            <w:color w:val="000000" w:themeColor="text1"/>
          </w:rPr>
          <w:t>,</w:t>
        </w:r>
      </w:ins>
      <w:ins w:id="200466" w:author="Claude" w:date="2026-09-27T12:00:00Z">
        <w:r>
          <w:rPr>
            <w:color w:val="000000" w:themeColor="text1"/>
          </w:rPr>
          <w:t xml:space="preserve"> 50 </w:t>
        </w:r>
      </w:ins>
      <w:ins w:id="200467" w:author="Claude" w:date="2026-09-27T12:00:00Z">
        <w:r>
          <w:rPr>
            <w:smallCaps/>
            <w:color w:val="000000" w:themeColor="text1"/>
          </w:rPr>
          <w:t>Acad. Mgmt. J</w:t>
        </w:r>
      </w:ins>
      <w:ins w:id="200468" w:author="Claude" w:date="2026-09-27T12:00:00Z">
        <w:r>
          <w:rPr>
            <w:color w:val="000000" w:themeColor="text1"/>
          </w:rPr>
          <w:t xml:space="preserve">. 869, 872 (2007); </w:t>
        </w:r>
      </w:ins>
      <w:ins w:id="200469" w:author="Claude" w:date="2026-09-27T12:00:00Z">
        <w:r>
          <w:rPr>
            <w:i/>
            <w:iCs/>
            <w:color w:val="000000" w:themeColor="text1"/>
          </w:rPr>
          <w:t>see infra</w:t>
        </w:r>
      </w:ins>
      <w:ins w:id="200470" w:author="Claude" w:date="2026-09-27T12:00:00Z">
        <w:r>
          <w:rPr>
            <w:color w:val="000000" w:themeColor="text1"/>
          </w:rPr>
          <w:t xml:space="preserve"> Section II.</w:t>
        </w:r>
      </w:ins>
    </w:p>
  </w:footnote>
  <w:footnote w:id="781">
    <w:p w14:paraId="0EC1CF7A" w14:textId="77777777" w:rsidR="00625345" w:rsidRPr="005B3E31" w:rsidRDefault="00625345" w:rsidP="003D74D8">
      <w:pPr>
        <w:pStyle w:val="FootnoteText"/>
        <w:spacing w:line="480" w:lineRule="auto"/>
        <w:rPr>
          <w:ins w:id="200476" w:author="Claude" w:date="2026-09-27T12:00:00Z"/>
        </w:rPr>
      </w:pPr>
      <w:ins w:id="200472" w:author="Claude" w:date="2026-09-27T12:00:00Z">
        <w:r>
          <w:rPr>
            <w:rStyle w:val="FootnoteReference"/>
          </w:rPr>
          <w:footnoteRef/>
        </w:r>
      </w:ins>
      <w:ins w:id="200473" w:author="Claude" w:date="2026-09-27T12:00:00Z">
        <w:r>
          <w:t xml:space="preserve"> Anna Rappaport, </w:t>
        </w:r>
      </w:ins>
      <w:ins w:id="200474" w:author="Claude" w:date="2026-09-27T12:00:00Z">
        <w:r>
          <w:rPr>
            <w:i/>
            <w:iCs/>
          </w:rPr>
          <w:t>The Business Case for Psychological Safety in Law Firms and How to Achieve It</w:t>
        </w:r>
      </w:ins>
      <w:ins w:id="200475" w:author="Claude" w:date="2026-09-27T12:00:00Z">
        <w:r>
          <w:t>, ABA (Sep. 13, 2024).</w:t>
        </w:r>
      </w:ins>
    </w:p>
  </w:footnote>
  <w:footnote w:id="782">
    <w:p w14:paraId="3C4131F2" w14:textId="77777777" w:rsidR="007219E6" w:rsidRPr="005B3E31" w:rsidRDefault="00000000" w:rsidP="003D74D8">
      <w:pPr>
        <w:pStyle w:val="FootnoteText"/>
        <w:spacing w:line="480" w:lineRule="auto"/>
        <w:rPr>
          <w:ins w:id="200483" w:author="Claude" w:date="2026-09-27T12:00:00Z"/>
          <w:color w:val="000000" w:themeColor="text1"/>
        </w:rPr>
      </w:pPr>
      <w:ins w:id="200477" w:author="Claude" w:date="2026-09-27T12:00:00Z">
        <w:r>
          <w:rPr>
            <w:rStyle w:val="FootnoteReference"/>
            <w:color w:val="000000" w:themeColor="text1"/>
          </w:rPr>
          <w:footnoteRef/>
        </w:r>
      </w:ins>
      <w:ins w:id="200478" w:author="Claude" w:date="2026-09-27T12:00:00Z">
        <w:r>
          <w:rPr>
            <w:color w:val="000000" w:themeColor="text1"/>
          </w:rPr>
          <w:t xml:space="preserve"> </w:t>
        </w:r>
      </w:ins>
      <w:ins w:id="200479" w:author="Claude" w:date="2026-09-27T12:00:00Z">
        <w:r>
          <w:rPr>
            <w:i/>
            <w:iCs/>
            <w:color w:val="000000" w:themeColor="text1"/>
          </w:rPr>
          <w:t xml:space="preserve">See </w:t>
        </w:r>
      </w:ins>
      <w:ins w:id="200480" w:author="Claude" w:date="2026-09-27T12:00:00Z">
        <w:r>
          <w:rPr>
            <w:i/>
            <w:iCs/>
            <w:color w:val="000000" w:themeColor="text1"/>
          </w:rPr>
          <w:t>infra</w:t>
        </w:r>
      </w:ins>
      <w:ins w:id="200481" w:author="Claude" w:date="2026-09-27T12:00:00Z">
        <w:r>
          <w:rPr>
            <w:color w:val="000000" w:themeColor="text1"/>
          </w:rPr>
          <w:t xml:space="preserve"> Section VI</w:t>
        </w:r>
      </w:ins>
      <w:ins w:id="200482" w:author="Claude" w:date="2026-09-27T12:00:00Z">
        <w:r>
          <w:rPr>
            <w:color w:val="000000" w:themeColor="text1"/>
          </w:rPr>
          <w:t>.A–C.</w:t>
        </w:r>
      </w:ins>
    </w:p>
  </w:footnote>
  <w:footnote w:id="783">
    <w:p w14:paraId="2C25D45A" w14:textId="77777777" w:rsidR="00EA0B0F" w:rsidRPr="005B3E31" w:rsidRDefault="00C615BB" w:rsidP="003D74D8">
      <w:pPr>
        <w:pStyle w:val="FootnoteText"/>
        <w:spacing w:line="480" w:lineRule="auto"/>
        <w:rPr>
          <w:ins w:id="200490" w:author="Claude" w:date="2026-09-27T12:00:00Z"/>
        </w:rPr>
      </w:pPr>
      <w:ins w:id="200484" w:author="Claude" w:date="2026-09-27T12:00:00Z">
        <w:r>
          <w:rPr>
            <w:rStyle w:val="FootnoteReference"/>
          </w:rPr>
          <w:footnoteRef/>
        </w:r>
      </w:ins>
      <w:ins w:id="200485" w:author="Claude" w:date="2026-09-27T12:00:00Z">
        <w:r>
          <w:t xml:space="preserve"> </w:t>
        </w:r>
      </w:ins>
      <w:ins w:id="200486" w:author="Claude" w:date="2026-09-27T12:00:00Z">
        <w:r>
          <w:rPr>
            <w:smallCaps/>
          </w:rPr>
          <w:t xml:space="preserve">Richards J. Heuer Jr. &amp; Randolph H. </w:t>
        </w:r>
      </w:ins>
      <w:ins w:id="200487" w:author="Claude" w:date="2026-09-27T12:00:00Z">
        <w:r>
          <w:rPr>
            <w:smallCaps/>
          </w:rPr>
          <w:t>Pherson</w:t>
        </w:r>
      </w:ins>
      <w:ins w:id="200488" w:author="Claude" w:date="2026-09-27T12:00:00Z">
        <w:r>
          <w:rPr>
            <w:smallCaps/>
          </w:rPr>
          <w:t>, Structured Analytic Techniques for Intelligence Analysis</w:t>
        </w:r>
      </w:ins>
      <w:ins w:id="200489" w:author="Claude" w:date="2026-09-27T12:00:00Z">
        <w:r>
          <w:t xml:space="preserve"> (3d ed. 2020) (“Laboratory experiments have shown that even a single dissenting opinion, all by</w:t>
        </w:r>
      </w:ins>
    </w:p>
    <w:p w14:paraId="42504674" w14:textId="77777777" w:rsidR="00C615BB" w:rsidRPr="005B3E31" w:rsidRDefault="00EA0B0F" w:rsidP="003D74D8">
      <w:pPr>
        <w:pStyle w:val="FootnoteText"/>
        <w:spacing w:line="480" w:lineRule="auto"/>
        <w:rPr>
          <w:ins w:id="200502" w:author="Claude" w:date="2026-09-27T12:00:00Z"/>
        </w:rPr>
      </w:pPr>
      <w:ins w:id="200491" w:author="Claude" w:date="2026-09-27T12:00:00Z">
        <w:r>
          <w:t xml:space="preserve">itself, makes a group’s decisions more nuanced and its decision-making process more rigorous. The research also shows that these benefits from dissenting opinions occur regardless of whether or not the dissenter is correct. The dissent stimulates a reappraisal of the situation and identification of options that otherwise would have gone undetected. To be effective, however, dissent must be genuine—not generated artificially, as in some applications of the Devil’s Advocacy technique.”); </w:t>
        </w:r>
      </w:ins>
      <w:ins w:id="200492" w:author="Claude" w:date="2026-09-27T12:00:00Z">
        <w:r>
          <w:rPr>
            <w:smallCaps/>
          </w:rPr>
          <w:t>Randall Kiser, How Leading Lawyers Think: Expert Insights Into Judgment and</w:t>
        </w:r>
      </w:ins>
      <w:ins w:id="200493" w:author="Claude" w:date="2026-09-27T12:00:00Z">
        <w:r>
          <w:t xml:space="preserve"> </w:t>
        </w:r>
      </w:ins>
      <w:ins w:id="200494" w:author="Claude" w:date="2026-09-27T12:00:00Z">
        <w:r>
          <w:rPr>
            <w:smallCaps/>
          </w:rPr>
          <w:t>Advocacy</w:t>
        </w:r>
      </w:ins>
      <w:ins w:id="200495" w:author="Claude" w:date="2026-09-27T12:00:00Z">
        <w:r>
          <w:t xml:space="preserve"> 100 (2011); </w:t>
        </w:r>
      </w:ins>
      <w:ins w:id="200496" w:author="Claude" w:date="2026-09-27T12:00:00Z">
        <w:r>
          <w:rPr>
            <w:smallCaps/>
          </w:rPr>
          <w:t>Micah Zenko, Red Team: How to Succeed by Thinking Like the Enemy</w:t>
        </w:r>
      </w:ins>
      <w:ins w:id="200497" w:author="Claude" w:date="2026-09-27T12:00:00Z">
        <w:r>
          <w:t xml:space="preserve"> </w:t>
        </w:r>
      </w:ins>
      <w:ins w:id="200498" w:author="Claude" w:date="2026-09-27T12:00:00Z">
        <w:r>
          <w:t>ch.</w:t>
        </w:r>
      </w:ins>
      <w:ins w:id="200499" w:author="Claude" w:date="2026-09-27T12:00:00Z">
        <w:r>
          <w:t xml:space="preserve"> 6 n.17 (2015) (quoting Michael </w:t>
        </w:r>
      </w:ins>
      <w:ins w:id="200500" w:author="Claude" w:date="2026-09-27T12:00:00Z">
        <w:r>
          <w:t>Walzer</w:t>
        </w:r>
      </w:ins>
      <w:ins w:id="200501" w:author="Claude" w:date="2026-09-27T12:00:00Z">
        <w:r>
          <w:t>) (“[T]he absence of dissent means that there wasn’t an adequate deliberation.”).</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205E"/>
    <w:multiLevelType w:val="hybridMultilevel"/>
    <w:tmpl w:val="FDDEE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E6DD6"/>
    <w:multiLevelType w:val="hybridMultilevel"/>
    <w:tmpl w:val="F9028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32903"/>
    <w:multiLevelType w:val="hybridMultilevel"/>
    <w:tmpl w:val="C8AE4776"/>
    <w:lvl w:ilvl="0" w:tplc="938496DA">
      <w:start w:val="20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F73B0"/>
    <w:multiLevelType w:val="hybridMultilevel"/>
    <w:tmpl w:val="DE307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17635"/>
    <w:multiLevelType w:val="hybridMultilevel"/>
    <w:tmpl w:val="DFE6F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00EF3"/>
    <w:multiLevelType w:val="hybridMultilevel"/>
    <w:tmpl w:val="690662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865B2"/>
    <w:multiLevelType w:val="hybridMultilevel"/>
    <w:tmpl w:val="DE029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015DE"/>
    <w:multiLevelType w:val="hybridMultilevel"/>
    <w:tmpl w:val="C6903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232C6"/>
    <w:multiLevelType w:val="hybridMultilevel"/>
    <w:tmpl w:val="2564CF2A"/>
    <w:lvl w:ilvl="0" w:tplc="3A46E3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33690"/>
    <w:multiLevelType w:val="hybridMultilevel"/>
    <w:tmpl w:val="F43C3F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125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1B4404"/>
    <w:multiLevelType w:val="hybridMultilevel"/>
    <w:tmpl w:val="E1D2EF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E2F1D"/>
    <w:multiLevelType w:val="hybridMultilevel"/>
    <w:tmpl w:val="3CBAFDBA"/>
    <w:lvl w:ilvl="0" w:tplc="2E8E6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460CE5"/>
    <w:multiLevelType w:val="multilevel"/>
    <w:tmpl w:val="C57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C5120"/>
    <w:multiLevelType w:val="hybridMultilevel"/>
    <w:tmpl w:val="DA4C10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972A3"/>
    <w:multiLevelType w:val="hybridMultilevel"/>
    <w:tmpl w:val="D2C45E4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F53A7D"/>
    <w:multiLevelType w:val="hybridMultilevel"/>
    <w:tmpl w:val="5FBAF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F2548"/>
    <w:multiLevelType w:val="hybridMultilevel"/>
    <w:tmpl w:val="5CEAF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C293A"/>
    <w:multiLevelType w:val="hybridMultilevel"/>
    <w:tmpl w:val="2D14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5E6D51"/>
    <w:multiLevelType w:val="hybridMultilevel"/>
    <w:tmpl w:val="D4846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3827A2"/>
    <w:multiLevelType w:val="hybridMultilevel"/>
    <w:tmpl w:val="53869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10E5A"/>
    <w:multiLevelType w:val="hybridMultilevel"/>
    <w:tmpl w:val="45229E86"/>
    <w:lvl w:ilvl="0" w:tplc="97E0EB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567DB"/>
    <w:multiLevelType w:val="hybridMultilevel"/>
    <w:tmpl w:val="8A30ED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597C69"/>
    <w:multiLevelType w:val="hybridMultilevel"/>
    <w:tmpl w:val="7228E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2159E"/>
    <w:multiLevelType w:val="multilevel"/>
    <w:tmpl w:val="0A9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50BAF"/>
    <w:multiLevelType w:val="hybridMultilevel"/>
    <w:tmpl w:val="067648EA"/>
    <w:lvl w:ilvl="0" w:tplc="B5DC6F8E">
      <w:start w:val="1"/>
      <w:numFmt w:val="upp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6" w15:restartNumberingAfterBreak="0">
    <w:nsid w:val="545B7939"/>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7" w15:restartNumberingAfterBreak="0">
    <w:nsid w:val="580A4BDF"/>
    <w:multiLevelType w:val="hybridMultilevel"/>
    <w:tmpl w:val="916EABC2"/>
    <w:lvl w:ilvl="0" w:tplc="A7BA16F2">
      <w:start w:val="20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0F797E"/>
    <w:multiLevelType w:val="hybridMultilevel"/>
    <w:tmpl w:val="6D6C4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44FA9"/>
    <w:multiLevelType w:val="multilevel"/>
    <w:tmpl w:val="740C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30EAD"/>
    <w:multiLevelType w:val="hybridMultilevel"/>
    <w:tmpl w:val="83749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817DAF"/>
    <w:multiLevelType w:val="multilevel"/>
    <w:tmpl w:val="FDFA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04689"/>
    <w:multiLevelType w:val="hybridMultilevel"/>
    <w:tmpl w:val="8966905E"/>
    <w:lvl w:ilvl="0" w:tplc="F450324A">
      <w:start w:val="1"/>
      <w:numFmt w:val="upperRoman"/>
      <w:lvlText w:val="%1."/>
      <w:lvlJc w:val="left"/>
      <w:pPr>
        <w:ind w:left="1080" w:hanging="720"/>
      </w:pPr>
      <w:rPr>
        <w:rFonts w:hint="default"/>
      </w:rPr>
    </w:lvl>
    <w:lvl w:ilvl="1" w:tplc="1D3622DE">
      <w:start w:val="1"/>
      <w:numFmt w:val="upperLetter"/>
      <w:lvlText w:val="%2."/>
      <w:lvlJc w:val="left"/>
      <w:pPr>
        <w:ind w:left="1440" w:hanging="360"/>
      </w:pPr>
      <w:rPr>
        <w:i w:val="0"/>
        <w:iCs w:val="0"/>
      </w:rPr>
    </w:lvl>
    <w:lvl w:ilvl="2" w:tplc="0B868EDA">
      <w:start w:val="1"/>
      <w:numFmt w:val="decimal"/>
      <w:lvlText w:val="%3."/>
      <w:lvlJc w:val="left"/>
      <w:pPr>
        <w:ind w:left="2340" w:hanging="360"/>
      </w:pPr>
      <w:rPr>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8B77FE"/>
    <w:multiLevelType w:val="multilevel"/>
    <w:tmpl w:val="5582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31071"/>
    <w:multiLevelType w:val="hybridMultilevel"/>
    <w:tmpl w:val="BD64347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467EE"/>
    <w:multiLevelType w:val="hybridMultilevel"/>
    <w:tmpl w:val="21D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63439"/>
    <w:multiLevelType w:val="multilevel"/>
    <w:tmpl w:val="7210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BC78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35269385">
    <w:abstractNumId w:val="31"/>
  </w:num>
  <w:num w:numId="2" w16cid:durableId="311065033">
    <w:abstractNumId w:val="33"/>
  </w:num>
  <w:num w:numId="3" w16cid:durableId="12537736">
    <w:abstractNumId w:val="21"/>
  </w:num>
  <w:num w:numId="4" w16cid:durableId="1445997705">
    <w:abstractNumId w:val="28"/>
  </w:num>
  <w:num w:numId="5" w16cid:durableId="2003503843">
    <w:abstractNumId w:val="7"/>
  </w:num>
  <w:num w:numId="6" w16cid:durableId="1337422334">
    <w:abstractNumId w:val="9"/>
  </w:num>
  <w:num w:numId="7" w16cid:durableId="2021617504">
    <w:abstractNumId w:val="18"/>
  </w:num>
  <w:num w:numId="8" w16cid:durableId="904335353">
    <w:abstractNumId w:val="19"/>
  </w:num>
  <w:num w:numId="9" w16cid:durableId="848444110">
    <w:abstractNumId w:val="23"/>
  </w:num>
  <w:num w:numId="10" w16cid:durableId="301235754">
    <w:abstractNumId w:val="24"/>
  </w:num>
  <w:num w:numId="11" w16cid:durableId="486022752">
    <w:abstractNumId w:val="32"/>
  </w:num>
  <w:num w:numId="12" w16cid:durableId="1885478158">
    <w:abstractNumId w:val="27"/>
  </w:num>
  <w:num w:numId="13" w16cid:durableId="64422463">
    <w:abstractNumId w:val="34"/>
  </w:num>
  <w:num w:numId="14" w16cid:durableId="2008508625">
    <w:abstractNumId w:val="25"/>
  </w:num>
  <w:num w:numId="15" w16cid:durableId="857544383">
    <w:abstractNumId w:val="30"/>
  </w:num>
  <w:num w:numId="16" w16cid:durableId="1046098877">
    <w:abstractNumId w:val="12"/>
  </w:num>
  <w:num w:numId="17" w16cid:durableId="586962111">
    <w:abstractNumId w:val="37"/>
  </w:num>
  <w:num w:numId="18" w16cid:durableId="1623923110">
    <w:abstractNumId w:val="10"/>
  </w:num>
  <w:num w:numId="19" w16cid:durableId="1975867756">
    <w:abstractNumId w:val="26"/>
  </w:num>
  <w:num w:numId="20" w16cid:durableId="1947030950">
    <w:abstractNumId w:val="0"/>
  </w:num>
  <w:num w:numId="21" w16cid:durableId="255477326">
    <w:abstractNumId w:val="6"/>
  </w:num>
  <w:num w:numId="22" w16cid:durableId="1889953906">
    <w:abstractNumId w:val="14"/>
  </w:num>
  <w:num w:numId="23" w16cid:durableId="371272481">
    <w:abstractNumId w:val="22"/>
  </w:num>
  <w:num w:numId="24" w16cid:durableId="36394996">
    <w:abstractNumId w:val="4"/>
  </w:num>
  <w:num w:numId="25" w16cid:durableId="198786242">
    <w:abstractNumId w:val="17"/>
  </w:num>
  <w:num w:numId="26" w16cid:durableId="1169518221">
    <w:abstractNumId w:val="15"/>
  </w:num>
  <w:num w:numId="27" w16cid:durableId="1860511983">
    <w:abstractNumId w:val="35"/>
  </w:num>
  <w:num w:numId="28" w16cid:durableId="987249980">
    <w:abstractNumId w:val="13"/>
  </w:num>
  <w:num w:numId="29" w16cid:durableId="1735348749">
    <w:abstractNumId w:val="29"/>
  </w:num>
  <w:num w:numId="30" w16cid:durableId="794640115">
    <w:abstractNumId w:val="36"/>
  </w:num>
  <w:num w:numId="31" w16cid:durableId="200288866">
    <w:abstractNumId w:val="8"/>
  </w:num>
  <w:num w:numId="32" w16cid:durableId="854538169">
    <w:abstractNumId w:val="11"/>
  </w:num>
  <w:num w:numId="33" w16cid:durableId="260337589">
    <w:abstractNumId w:val="20"/>
  </w:num>
  <w:num w:numId="34" w16cid:durableId="2017727516">
    <w:abstractNumId w:val="5"/>
  </w:num>
  <w:num w:numId="35" w16cid:durableId="110318836">
    <w:abstractNumId w:val="3"/>
  </w:num>
  <w:num w:numId="36" w16cid:durableId="678315840">
    <w:abstractNumId w:val="16"/>
  </w:num>
  <w:num w:numId="37" w16cid:durableId="1783840870">
    <w:abstractNumId w:val="2"/>
  </w:num>
  <w:num w:numId="38" w16cid:durableId="1150174068">
    <w:abstractNumId w:val="1"/>
  </w:num>
  <w:num w:numId="39">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82"/>
    <w:rsid w:val="00000385"/>
    <w:rsid w:val="00000E04"/>
    <w:rsid w:val="00002705"/>
    <w:rsid w:val="00003908"/>
    <w:rsid w:val="000046B4"/>
    <w:rsid w:val="000053D7"/>
    <w:rsid w:val="00006317"/>
    <w:rsid w:val="00007E89"/>
    <w:rsid w:val="00010577"/>
    <w:rsid w:val="00010785"/>
    <w:rsid w:val="00011299"/>
    <w:rsid w:val="0001150B"/>
    <w:rsid w:val="000143ED"/>
    <w:rsid w:val="0001537E"/>
    <w:rsid w:val="00015937"/>
    <w:rsid w:val="00015CB3"/>
    <w:rsid w:val="00016205"/>
    <w:rsid w:val="00020483"/>
    <w:rsid w:val="000210BA"/>
    <w:rsid w:val="00021A5B"/>
    <w:rsid w:val="0002224C"/>
    <w:rsid w:val="00023D5D"/>
    <w:rsid w:val="0002478C"/>
    <w:rsid w:val="00026E5F"/>
    <w:rsid w:val="00031548"/>
    <w:rsid w:val="000319C4"/>
    <w:rsid w:val="00031D27"/>
    <w:rsid w:val="000352C8"/>
    <w:rsid w:val="000359B1"/>
    <w:rsid w:val="00036182"/>
    <w:rsid w:val="00036D82"/>
    <w:rsid w:val="00037C9E"/>
    <w:rsid w:val="00037E4B"/>
    <w:rsid w:val="000400CC"/>
    <w:rsid w:val="00040849"/>
    <w:rsid w:val="000408B1"/>
    <w:rsid w:val="0004221E"/>
    <w:rsid w:val="0004246A"/>
    <w:rsid w:val="000435C2"/>
    <w:rsid w:val="0004376D"/>
    <w:rsid w:val="000438C3"/>
    <w:rsid w:val="00043CA0"/>
    <w:rsid w:val="00044AAE"/>
    <w:rsid w:val="00044D71"/>
    <w:rsid w:val="000452FD"/>
    <w:rsid w:val="000458FA"/>
    <w:rsid w:val="00045FC4"/>
    <w:rsid w:val="0004656D"/>
    <w:rsid w:val="00050D1A"/>
    <w:rsid w:val="00051048"/>
    <w:rsid w:val="000519F8"/>
    <w:rsid w:val="00051CED"/>
    <w:rsid w:val="00052E44"/>
    <w:rsid w:val="00053316"/>
    <w:rsid w:val="00053EA7"/>
    <w:rsid w:val="00054082"/>
    <w:rsid w:val="00054E47"/>
    <w:rsid w:val="00054EEA"/>
    <w:rsid w:val="000554EE"/>
    <w:rsid w:val="00055F57"/>
    <w:rsid w:val="000566C9"/>
    <w:rsid w:val="00056B26"/>
    <w:rsid w:val="00060CCA"/>
    <w:rsid w:val="00060E94"/>
    <w:rsid w:val="000611C2"/>
    <w:rsid w:val="00064524"/>
    <w:rsid w:val="00065BD0"/>
    <w:rsid w:val="00065DE1"/>
    <w:rsid w:val="00066AC1"/>
    <w:rsid w:val="000671DC"/>
    <w:rsid w:val="0006783C"/>
    <w:rsid w:val="00071945"/>
    <w:rsid w:val="000719E1"/>
    <w:rsid w:val="00071B6F"/>
    <w:rsid w:val="00072774"/>
    <w:rsid w:val="00072BB7"/>
    <w:rsid w:val="00073421"/>
    <w:rsid w:val="00074972"/>
    <w:rsid w:val="00075271"/>
    <w:rsid w:val="00076359"/>
    <w:rsid w:val="00076755"/>
    <w:rsid w:val="000812B3"/>
    <w:rsid w:val="0008305B"/>
    <w:rsid w:val="000836F7"/>
    <w:rsid w:val="0008382C"/>
    <w:rsid w:val="00083D89"/>
    <w:rsid w:val="00084B65"/>
    <w:rsid w:val="0008533D"/>
    <w:rsid w:val="000867FB"/>
    <w:rsid w:val="00086CA9"/>
    <w:rsid w:val="0008776A"/>
    <w:rsid w:val="00090B4C"/>
    <w:rsid w:val="00092674"/>
    <w:rsid w:val="000927E5"/>
    <w:rsid w:val="00093D5E"/>
    <w:rsid w:val="00094246"/>
    <w:rsid w:val="00094C56"/>
    <w:rsid w:val="00096F00"/>
    <w:rsid w:val="00096F38"/>
    <w:rsid w:val="00097EDB"/>
    <w:rsid w:val="000A14FD"/>
    <w:rsid w:val="000A1C3E"/>
    <w:rsid w:val="000A1CEB"/>
    <w:rsid w:val="000A3324"/>
    <w:rsid w:val="000A6DEF"/>
    <w:rsid w:val="000A735D"/>
    <w:rsid w:val="000A73C2"/>
    <w:rsid w:val="000A7431"/>
    <w:rsid w:val="000A7FF1"/>
    <w:rsid w:val="000B08B7"/>
    <w:rsid w:val="000B096F"/>
    <w:rsid w:val="000B1FCD"/>
    <w:rsid w:val="000B2303"/>
    <w:rsid w:val="000B3716"/>
    <w:rsid w:val="000B3881"/>
    <w:rsid w:val="000B434A"/>
    <w:rsid w:val="000B50E4"/>
    <w:rsid w:val="000B582E"/>
    <w:rsid w:val="000B7A98"/>
    <w:rsid w:val="000C23EF"/>
    <w:rsid w:val="000C31C7"/>
    <w:rsid w:val="000C4697"/>
    <w:rsid w:val="000C4949"/>
    <w:rsid w:val="000C4CC1"/>
    <w:rsid w:val="000D02B5"/>
    <w:rsid w:val="000D055F"/>
    <w:rsid w:val="000D09AA"/>
    <w:rsid w:val="000D2CC9"/>
    <w:rsid w:val="000D3BE6"/>
    <w:rsid w:val="000D3F6B"/>
    <w:rsid w:val="000D429B"/>
    <w:rsid w:val="000D4C79"/>
    <w:rsid w:val="000D68CE"/>
    <w:rsid w:val="000E03FC"/>
    <w:rsid w:val="000E12F3"/>
    <w:rsid w:val="000E3EAB"/>
    <w:rsid w:val="000E5131"/>
    <w:rsid w:val="000E58A4"/>
    <w:rsid w:val="000E6581"/>
    <w:rsid w:val="000E6936"/>
    <w:rsid w:val="000E7C3B"/>
    <w:rsid w:val="000F10D4"/>
    <w:rsid w:val="000F1B4B"/>
    <w:rsid w:val="000F207C"/>
    <w:rsid w:val="000F5218"/>
    <w:rsid w:val="000F5EA7"/>
    <w:rsid w:val="000F5FFF"/>
    <w:rsid w:val="000F6245"/>
    <w:rsid w:val="00100ACA"/>
    <w:rsid w:val="001028DF"/>
    <w:rsid w:val="00102D26"/>
    <w:rsid w:val="00103152"/>
    <w:rsid w:val="0010386F"/>
    <w:rsid w:val="00103ED4"/>
    <w:rsid w:val="00104E1E"/>
    <w:rsid w:val="00104F9E"/>
    <w:rsid w:val="001053C5"/>
    <w:rsid w:val="00105CBB"/>
    <w:rsid w:val="0010670E"/>
    <w:rsid w:val="001075B5"/>
    <w:rsid w:val="001076E1"/>
    <w:rsid w:val="00107EEB"/>
    <w:rsid w:val="0011077A"/>
    <w:rsid w:val="001108F4"/>
    <w:rsid w:val="00111781"/>
    <w:rsid w:val="0011304B"/>
    <w:rsid w:val="00113490"/>
    <w:rsid w:val="00113623"/>
    <w:rsid w:val="00113E1A"/>
    <w:rsid w:val="001164B5"/>
    <w:rsid w:val="00117252"/>
    <w:rsid w:val="00117878"/>
    <w:rsid w:val="00120306"/>
    <w:rsid w:val="001207B0"/>
    <w:rsid w:val="00120AD8"/>
    <w:rsid w:val="0012169E"/>
    <w:rsid w:val="00122252"/>
    <w:rsid w:val="00122703"/>
    <w:rsid w:val="00123500"/>
    <w:rsid w:val="00123BE1"/>
    <w:rsid w:val="00124117"/>
    <w:rsid w:val="00124E85"/>
    <w:rsid w:val="00125383"/>
    <w:rsid w:val="00126027"/>
    <w:rsid w:val="00130206"/>
    <w:rsid w:val="0013114C"/>
    <w:rsid w:val="001315A9"/>
    <w:rsid w:val="001328E0"/>
    <w:rsid w:val="00132C03"/>
    <w:rsid w:val="00135D8C"/>
    <w:rsid w:val="0013701E"/>
    <w:rsid w:val="001378F3"/>
    <w:rsid w:val="00141285"/>
    <w:rsid w:val="00142B09"/>
    <w:rsid w:val="00142DAE"/>
    <w:rsid w:val="00143D39"/>
    <w:rsid w:val="00146165"/>
    <w:rsid w:val="00146DA2"/>
    <w:rsid w:val="001473F0"/>
    <w:rsid w:val="0014755B"/>
    <w:rsid w:val="00147985"/>
    <w:rsid w:val="00147FC1"/>
    <w:rsid w:val="001514E2"/>
    <w:rsid w:val="001519C6"/>
    <w:rsid w:val="00151DE6"/>
    <w:rsid w:val="00151FC3"/>
    <w:rsid w:val="00152091"/>
    <w:rsid w:val="001535D3"/>
    <w:rsid w:val="00153872"/>
    <w:rsid w:val="00153DA3"/>
    <w:rsid w:val="00156E3A"/>
    <w:rsid w:val="001602FA"/>
    <w:rsid w:val="001619ED"/>
    <w:rsid w:val="00161CEE"/>
    <w:rsid w:val="00163273"/>
    <w:rsid w:val="0016734E"/>
    <w:rsid w:val="00167BE1"/>
    <w:rsid w:val="00167E46"/>
    <w:rsid w:val="0017059B"/>
    <w:rsid w:val="00170F7E"/>
    <w:rsid w:val="00171A1E"/>
    <w:rsid w:val="00172EA5"/>
    <w:rsid w:val="00173BC8"/>
    <w:rsid w:val="00173F3F"/>
    <w:rsid w:val="001753FE"/>
    <w:rsid w:val="00176330"/>
    <w:rsid w:val="00177DD2"/>
    <w:rsid w:val="00177DF7"/>
    <w:rsid w:val="00180D2C"/>
    <w:rsid w:val="00181723"/>
    <w:rsid w:val="00181AD1"/>
    <w:rsid w:val="00183023"/>
    <w:rsid w:val="00183B2E"/>
    <w:rsid w:val="00184023"/>
    <w:rsid w:val="00184B0A"/>
    <w:rsid w:val="001862D6"/>
    <w:rsid w:val="0018654E"/>
    <w:rsid w:val="001877AD"/>
    <w:rsid w:val="00190EF0"/>
    <w:rsid w:val="00191003"/>
    <w:rsid w:val="001910CA"/>
    <w:rsid w:val="001919FD"/>
    <w:rsid w:val="00191E96"/>
    <w:rsid w:val="00192FC3"/>
    <w:rsid w:val="00193755"/>
    <w:rsid w:val="00193916"/>
    <w:rsid w:val="001945E8"/>
    <w:rsid w:val="0019584A"/>
    <w:rsid w:val="00195D20"/>
    <w:rsid w:val="00196DC1"/>
    <w:rsid w:val="00197521"/>
    <w:rsid w:val="001A019B"/>
    <w:rsid w:val="001A01BB"/>
    <w:rsid w:val="001A1421"/>
    <w:rsid w:val="001A1ED2"/>
    <w:rsid w:val="001A2B08"/>
    <w:rsid w:val="001A43C7"/>
    <w:rsid w:val="001A43FB"/>
    <w:rsid w:val="001A590A"/>
    <w:rsid w:val="001A69A3"/>
    <w:rsid w:val="001A6B9B"/>
    <w:rsid w:val="001A6C49"/>
    <w:rsid w:val="001B04D0"/>
    <w:rsid w:val="001B18CD"/>
    <w:rsid w:val="001B210C"/>
    <w:rsid w:val="001B2372"/>
    <w:rsid w:val="001B249F"/>
    <w:rsid w:val="001B2EB7"/>
    <w:rsid w:val="001B4962"/>
    <w:rsid w:val="001B515B"/>
    <w:rsid w:val="001B52B7"/>
    <w:rsid w:val="001B561B"/>
    <w:rsid w:val="001B5E06"/>
    <w:rsid w:val="001B687B"/>
    <w:rsid w:val="001B76DF"/>
    <w:rsid w:val="001B7790"/>
    <w:rsid w:val="001B7F3A"/>
    <w:rsid w:val="001C0CA3"/>
    <w:rsid w:val="001C166C"/>
    <w:rsid w:val="001C18C0"/>
    <w:rsid w:val="001C1DED"/>
    <w:rsid w:val="001C1E41"/>
    <w:rsid w:val="001C1F32"/>
    <w:rsid w:val="001C2800"/>
    <w:rsid w:val="001C4911"/>
    <w:rsid w:val="001C4C1F"/>
    <w:rsid w:val="001C551B"/>
    <w:rsid w:val="001C5E85"/>
    <w:rsid w:val="001D045D"/>
    <w:rsid w:val="001D204C"/>
    <w:rsid w:val="001D2714"/>
    <w:rsid w:val="001D3A8F"/>
    <w:rsid w:val="001D3C93"/>
    <w:rsid w:val="001D42A7"/>
    <w:rsid w:val="001D43CF"/>
    <w:rsid w:val="001D4A34"/>
    <w:rsid w:val="001D4FB2"/>
    <w:rsid w:val="001D569E"/>
    <w:rsid w:val="001D5994"/>
    <w:rsid w:val="001D748E"/>
    <w:rsid w:val="001E0002"/>
    <w:rsid w:val="001E026F"/>
    <w:rsid w:val="001E045D"/>
    <w:rsid w:val="001E1227"/>
    <w:rsid w:val="001E14BB"/>
    <w:rsid w:val="001E1CB5"/>
    <w:rsid w:val="001E22FD"/>
    <w:rsid w:val="001E3355"/>
    <w:rsid w:val="001E382A"/>
    <w:rsid w:val="001E463E"/>
    <w:rsid w:val="001E50FB"/>
    <w:rsid w:val="001E6897"/>
    <w:rsid w:val="001E7BC6"/>
    <w:rsid w:val="001F0FD7"/>
    <w:rsid w:val="001F1C5F"/>
    <w:rsid w:val="001F22D6"/>
    <w:rsid w:val="001F2672"/>
    <w:rsid w:val="001F46E5"/>
    <w:rsid w:val="001F4B06"/>
    <w:rsid w:val="001F547B"/>
    <w:rsid w:val="001F58B7"/>
    <w:rsid w:val="001F5E20"/>
    <w:rsid w:val="001F648B"/>
    <w:rsid w:val="001F662A"/>
    <w:rsid w:val="001F6CD7"/>
    <w:rsid w:val="001F71C0"/>
    <w:rsid w:val="00201CF7"/>
    <w:rsid w:val="00202918"/>
    <w:rsid w:val="0020359D"/>
    <w:rsid w:val="002045E0"/>
    <w:rsid w:val="00205A8A"/>
    <w:rsid w:val="00207D51"/>
    <w:rsid w:val="0021050D"/>
    <w:rsid w:val="0021073B"/>
    <w:rsid w:val="00210CBE"/>
    <w:rsid w:val="00211F25"/>
    <w:rsid w:val="00212488"/>
    <w:rsid w:val="0021388D"/>
    <w:rsid w:val="002145F4"/>
    <w:rsid w:val="002161F5"/>
    <w:rsid w:val="00216954"/>
    <w:rsid w:val="002210A3"/>
    <w:rsid w:val="002210AD"/>
    <w:rsid w:val="00223857"/>
    <w:rsid w:val="00224E63"/>
    <w:rsid w:val="00225D57"/>
    <w:rsid w:val="00226369"/>
    <w:rsid w:val="00230441"/>
    <w:rsid w:val="0023144F"/>
    <w:rsid w:val="00231E61"/>
    <w:rsid w:val="002321E5"/>
    <w:rsid w:val="00232655"/>
    <w:rsid w:val="0023277A"/>
    <w:rsid w:val="00234000"/>
    <w:rsid w:val="00234AB7"/>
    <w:rsid w:val="0024006C"/>
    <w:rsid w:val="002431BF"/>
    <w:rsid w:val="0024356E"/>
    <w:rsid w:val="00243D99"/>
    <w:rsid w:val="002452B5"/>
    <w:rsid w:val="002457A8"/>
    <w:rsid w:val="0024602F"/>
    <w:rsid w:val="002460EB"/>
    <w:rsid w:val="00246D6E"/>
    <w:rsid w:val="00247C4C"/>
    <w:rsid w:val="00250096"/>
    <w:rsid w:val="00250695"/>
    <w:rsid w:val="00250853"/>
    <w:rsid w:val="00250DE4"/>
    <w:rsid w:val="00251719"/>
    <w:rsid w:val="002522D7"/>
    <w:rsid w:val="00254066"/>
    <w:rsid w:val="00254412"/>
    <w:rsid w:val="0025607E"/>
    <w:rsid w:val="00256B8A"/>
    <w:rsid w:val="00256E01"/>
    <w:rsid w:val="002571B1"/>
    <w:rsid w:val="002575FC"/>
    <w:rsid w:val="0025771F"/>
    <w:rsid w:val="002603F2"/>
    <w:rsid w:val="0026069C"/>
    <w:rsid w:val="00260996"/>
    <w:rsid w:val="00261F0D"/>
    <w:rsid w:val="00262AB2"/>
    <w:rsid w:val="00262FC9"/>
    <w:rsid w:val="002634F0"/>
    <w:rsid w:val="00263A07"/>
    <w:rsid w:val="00263AF1"/>
    <w:rsid w:val="00263BF4"/>
    <w:rsid w:val="00263F0D"/>
    <w:rsid w:val="0026412E"/>
    <w:rsid w:val="002644C7"/>
    <w:rsid w:val="00265F1B"/>
    <w:rsid w:val="00266D1C"/>
    <w:rsid w:val="00266DD3"/>
    <w:rsid w:val="002673CE"/>
    <w:rsid w:val="0027016E"/>
    <w:rsid w:val="00271BA9"/>
    <w:rsid w:val="00272FE3"/>
    <w:rsid w:val="002747AB"/>
    <w:rsid w:val="002751C6"/>
    <w:rsid w:val="002756F6"/>
    <w:rsid w:val="00276236"/>
    <w:rsid w:val="00276909"/>
    <w:rsid w:val="002774A3"/>
    <w:rsid w:val="00281F13"/>
    <w:rsid w:val="002824E4"/>
    <w:rsid w:val="00284C02"/>
    <w:rsid w:val="00284F56"/>
    <w:rsid w:val="00285885"/>
    <w:rsid w:val="00285987"/>
    <w:rsid w:val="002859BA"/>
    <w:rsid w:val="00285CFF"/>
    <w:rsid w:val="0028601E"/>
    <w:rsid w:val="002860AA"/>
    <w:rsid w:val="002871C5"/>
    <w:rsid w:val="00287D87"/>
    <w:rsid w:val="002910E4"/>
    <w:rsid w:val="0029149F"/>
    <w:rsid w:val="002914DE"/>
    <w:rsid w:val="0029172B"/>
    <w:rsid w:val="00291B00"/>
    <w:rsid w:val="00292B48"/>
    <w:rsid w:val="00292C21"/>
    <w:rsid w:val="00293DCF"/>
    <w:rsid w:val="00294DC9"/>
    <w:rsid w:val="00297968"/>
    <w:rsid w:val="002A09B1"/>
    <w:rsid w:val="002A0B2D"/>
    <w:rsid w:val="002A11E3"/>
    <w:rsid w:val="002A18E3"/>
    <w:rsid w:val="002A1B96"/>
    <w:rsid w:val="002A214D"/>
    <w:rsid w:val="002A2868"/>
    <w:rsid w:val="002A578A"/>
    <w:rsid w:val="002A6394"/>
    <w:rsid w:val="002A63F1"/>
    <w:rsid w:val="002A7E3E"/>
    <w:rsid w:val="002B07DE"/>
    <w:rsid w:val="002B1304"/>
    <w:rsid w:val="002B2238"/>
    <w:rsid w:val="002B2317"/>
    <w:rsid w:val="002B3084"/>
    <w:rsid w:val="002B38DC"/>
    <w:rsid w:val="002B3DF4"/>
    <w:rsid w:val="002B3FB9"/>
    <w:rsid w:val="002B4920"/>
    <w:rsid w:val="002B5203"/>
    <w:rsid w:val="002C02F8"/>
    <w:rsid w:val="002C1258"/>
    <w:rsid w:val="002C1ACC"/>
    <w:rsid w:val="002C7FBA"/>
    <w:rsid w:val="002D2195"/>
    <w:rsid w:val="002D260F"/>
    <w:rsid w:val="002D2FD1"/>
    <w:rsid w:val="002D34C5"/>
    <w:rsid w:val="002D3BFB"/>
    <w:rsid w:val="002D41B9"/>
    <w:rsid w:val="002D46C8"/>
    <w:rsid w:val="002D495B"/>
    <w:rsid w:val="002E046C"/>
    <w:rsid w:val="002E1152"/>
    <w:rsid w:val="002E45F8"/>
    <w:rsid w:val="002E60B8"/>
    <w:rsid w:val="002F0D2B"/>
    <w:rsid w:val="002F0F65"/>
    <w:rsid w:val="002F1766"/>
    <w:rsid w:val="002F198E"/>
    <w:rsid w:val="002F2890"/>
    <w:rsid w:val="002F3184"/>
    <w:rsid w:val="002F4E76"/>
    <w:rsid w:val="00301F03"/>
    <w:rsid w:val="00303012"/>
    <w:rsid w:val="00303569"/>
    <w:rsid w:val="00305278"/>
    <w:rsid w:val="00305613"/>
    <w:rsid w:val="00305693"/>
    <w:rsid w:val="00306459"/>
    <w:rsid w:val="00307AA6"/>
    <w:rsid w:val="00307B1D"/>
    <w:rsid w:val="00307FA7"/>
    <w:rsid w:val="003105A4"/>
    <w:rsid w:val="00310E4A"/>
    <w:rsid w:val="003110AB"/>
    <w:rsid w:val="00311B04"/>
    <w:rsid w:val="0031359F"/>
    <w:rsid w:val="00313EEB"/>
    <w:rsid w:val="00314581"/>
    <w:rsid w:val="0031518A"/>
    <w:rsid w:val="00315545"/>
    <w:rsid w:val="0031571C"/>
    <w:rsid w:val="0031572E"/>
    <w:rsid w:val="003158D2"/>
    <w:rsid w:val="003163BE"/>
    <w:rsid w:val="003172F4"/>
    <w:rsid w:val="0032068A"/>
    <w:rsid w:val="00320F98"/>
    <w:rsid w:val="00321619"/>
    <w:rsid w:val="0032166A"/>
    <w:rsid w:val="00322257"/>
    <w:rsid w:val="00322EC4"/>
    <w:rsid w:val="00323140"/>
    <w:rsid w:val="003234DA"/>
    <w:rsid w:val="003240B0"/>
    <w:rsid w:val="00325D64"/>
    <w:rsid w:val="003275AD"/>
    <w:rsid w:val="0033064C"/>
    <w:rsid w:val="00331F6E"/>
    <w:rsid w:val="0033382F"/>
    <w:rsid w:val="00334446"/>
    <w:rsid w:val="00334575"/>
    <w:rsid w:val="00334C3B"/>
    <w:rsid w:val="00335047"/>
    <w:rsid w:val="00336BC3"/>
    <w:rsid w:val="003371CF"/>
    <w:rsid w:val="00337353"/>
    <w:rsid w:val="00341661"/>
    <w:rsid w:val="00341F7D"/>
    <w:rsid w:val="003426CC"/>
    <w:rsid w:val="00343E5D"/>
    <w:rsid w:val="003462D0"/>
    <w:rsid w:val="00346873"/>
    <w:rsid w:val="00346F6C"/>
    <w:rsid w:val="00347D77"/>
    <w:rsid w:val="00350621"/>
    <w:rsid w:val="00351C42"/>
    <w:rsid w:val="00352C95"/>
    <w:rsid w:val="00353527"/>
    <w:rsid w:val="00353595"/>
    <w:rsid w:val="00354FB7"/>
    <w:rsid w:val="00355221"/>
    <w:rsid w:val="003552BD"/>
    <w:rsid w:val="00355CF8"/>
    <w:rsid w:val="00355F9B"/>
    <w:rsid w:val="00357123"/>
    <w:rsid w:val="0035726D"/>
    <w:rsid w:val="00357A73"/>
    <w:rsid w:val="003600E3"/>
    <w:rsid w:val="00360160"/>
    <w:rsid w:val="0036029F"/>
    <w:rsid w:val="00361C14"/>
    <w:rsid w:val="00361EE2"/>
    <w:rsid w:val="00363141"/>
    <w:rsid w:val="00363CE4"/>
    <w:rsid w:val="0036416C"/>
    <w:rsid w:val="00364D4D"/>
    <w:rsid w:val="00365A41"/>
    <w:rsid w:val="00366653"/>
    <w:rsid w:val="0037187D"/>
    <w:rsid w:val="003734EC"/>
    <w:rsid w:val="00373C71"/>
    <w:rsid w:val="00374DFC"/>
    <w:rsid w:val="00376631"/>
    <w:rsid w:val="00377E53"/>
    <w:rsid w:val="0038110E"/>
    <w:rsid w:val="0038215C"/>
    <w:rsid w:val="0038297C"/>
    <w:rsid w:val="00383325"/>
    <w:rsid w:val="0038389F"/>
    <w:rsid w:val="00383E24"/>
    <w:rsid w:val="00384DE8"/>
    <w:rsid w:val="00385503"/>
    <w:rsid w:val="0038569B"/>
    <w:rsid w:val="003867E3"/>
    <w:rsid w:val="003870AE"/>
    <w:rsid w:val="0039180B"/>
    <w:rsid w:val="003918A3"/>
    <w:rsid w:val="0039326E"/>
    <w:rsid w:val="00393526"/>
    <w:rsid w:val="00393631"/>
    <w:rsid w:val="00394093"/>
    <w:rsid w:val="00394356"/>
    <w:rsid w:val="00395AAA"/>
    <w:rsid w:val="0039795A"/>
    <w:rsid w:val="003A205B"/>
    <w:rsid w:val="003A42E6"/>
    <w:rsid w:val="003A5DC2"/>
    <w:rsid w:val="003A68E6"/>
    <w:rsid w:val="003A6E79"/>
    <w:rsid w:val="003A7854"/>
    <w:rsid w:val="003B04F8"/>
    <w:rsid w:val="003B1038"/>
    <w:rsid w:val="003B20BE"/>
    <w:rsid w:val="003B20C1"/>
    <w:rsid w:val="003B356E"/>
    <w:rsid w:val="003B3862"/>
    <w:rsid w:val="003B4513"/>
    <w:rsid w:val="003B53E4"/>
    <w:rsid w:val="003B64B8"/>
    <w:rsid w:val="003B6B30"/>
    <w:rsid w:val="003B6B60"/>
    <w:rsid w:val="003B6EEE"/>
    <w:rsid w:val="003B7E3A"/>
    <w:rsid w:val="003B7F09"/>
    <w:rsid w:val="003C188C"/>
    <w:rsid w:val="003C2062"/>
    <w:rsid w:val="003C3706"/>
    <w:rsid w:val="003C4371"/>
    <w:rsid w:val="003C5683"/>
    <w:rsid w:val="003C7B96"/>
    <w:rsid w:val="003C7BD4"/>
    <w:rsid w:val="003D032E"/>
    <w:rsid w:val="003D09FF"/>
    <w:rsid w:val="003D54CC"/>
    <w:rsid w:val="003D6BD5"/>
    <w:rsid w:val="003D74D8"/>
    <w:rsid w:val="003D785E"/>
    <w:rsid w:val="003D7DB3"/>
    <w:rsid w:val="003E09AC"/>
    <w:rsid w:val="003E2C8A"/>
    <w:rsid w:val="003E31F4"/>
    <w:rsid w:val="003E39A2"/>
    <w:rsid w:val="003E54D9"/>
    <w:rsid w:val="003E62A1"/>
    <w:rsid w:val="003E6A03"/>
    <w:rsid w:val="003E6BAA"/>
    <w:rsid w:val="003E7BA6"/>
    <w:rsid w:val="003F3986"/>
    <w:rsid w:val="003F3C2F"/>
    <w:rsid w:val="003F4ECB"/>
    <w:rsid w:val="003F54EC"/>
    <w:rsid w:val="003F653E"/>
    <w:rsid w:val="0040044E"/>
    <w:rsid w:val="00400678"/>
    <w:rsid w:val="0040151D"/>
    <w:rsid w:val="0040158E"/>
    <w:rsid w:val="004022CE"/>
    <w:rsid w:val="00405634"/>
    <w:rsid w:val="00406204"/>
    <w:rsid w:val="004109B9"/>
    <w:rsid w:val="0041179B"/>
    <w:rsid w:val="004130F7"/>
    <w:rsid w:val="00413226"/>
    <w:rsid w:val="00413A65"/>
    <w:rsid w:val="00413C03"/>
    <w:rsid w:val="0041450E"/>
    <w:rsid w:val="00415AD3"/>
    <w:rsid w:val="00420340"/>
    <w:rsid w:val="00421074"/>
    <w:rsid w:val="004210D2"/>
    <w:rsid w:val="004233B0"/>
    <w:rsid w:val="004234AE"/>
    <w:rsid w:val="00424540"/>
    <w:rsid w:val="00427B74"/>
    <w:rsid w:val="00430895"/>
    <w:rsid w:val="00433E62"/>
    <w:rsid w:val="004347D8"/>
    <w:rsid w:val="00434A44"/>
    <w:rsid w:val="00435F10"/>
    <w:rsid w:val="0043682F"/>
    <w:rsid w:val="00437E78"/>
    <w:rsid w:val="00440A47"/>
    <w:rsid w:val="00441F25"/>
    <w:rsid w:val="00442746"/>
    <w:rsid w:val="00442B9F"/>
    <w:rsid w:val="00442CBB"/>
    <w:rsid w:val="00443784"/>
    <w:rsid w:val="00443EC9"/>
    <w:rsid w:val="00444070"/>
    <w:rsid w:val="00444441"/>
    <w:rsid w:val="00444748"/>
    <w:rsid w:val="00444A06"/>
    <w:rsid w:val="00444AFD"/>
    <w:rsid w:val="00446314"/>
    <w:rsid w:val="00447DB9"/>
    <w:rsid w:val="00450577"/>
    <w:rsid w:val="0045065A"/>
    <w:rsid w:val="0045099D"/>
    <w:rsid w:val="00450E5C"/>
    <w:rsid w:val="00453048"/>
    <w:rsid w:val="00453149"/>
    <w:rsid w:val="0045377A"/>
    <w:rsid w:val="004550AF"/>
    <w:rsid w:val="00455CF0"/>
    <w:rsid w:val="004578B2"/>
    <w:rsid w:val="00457EF3"/>
    <w:rsid w:val="0046043C"/>
    <w:rsid w:val="004607B4"/>
    <w:rsid w:val="00461411"/>
    <w:rsid w:val="00463FB5"/>
    <w:rsid w:val="00465177"/>
    <w:rsid w:val="00466127"/>
    <w:rsid w:val="00466192"/>
    <w:rsid w:val="004665AD"/>
    <w:rsid w:val="00466AB3"/>
    <w:rsid w:val="00467330"/>
    <w:rsid w:val="004703D3"/>
    <w:rsid w:val="004722F7"/>
    <w:rsid w:val="00476D09"/>
    <w:rsid w:val="00480315"/>
    <w:rsid w:val="00480C37"/>
    <w:rsid w:val="00481370"/>
    <w:rsid w:val="00481776"/>
    <w:rsid w:val="00481EB8"/>
    <w:rsid w:val="00482911"/>
    <w:rsid w:val="0048466E"/>
    <w:rsid w:val="00486904"/>
    <w:rsid w:val="004873D3"/>
    <w:rsid w:val="00490015"/>
    <w:rsid w:val="00490C6A"/>
    <w:rsid w:val="0049110B"/>
    <w:rsid w:val="00491FA8"/>
    <w:rsid w:val="004925B0"/>
    <w:rsid w:val="00494A87"/>
    <w:rsid w:val="00495D63"/>
    <w:rsid w:val="0049740E"/>
    <w:rsid w:val="00497495"/>
    <w:rsid w:val="004974ED"/>
    <w:rsid w:val="004A076C"/>
    <w:rsid w:val="004A084A"/>
    <w:rsid w:val="004A297B"/>
    <w:rsid w:val="004A706E"/>
    <w:rsid w:val="004A775A"/>
    <w:rsid w:val="004A790A"/>
    <w:rsid w:val="004A7CAD"/>
    <w:rsid w:val="004B03A1"/>
    <w:rsid w:val="004B0703"/>
    <w:rsid w:val="004B1759"/>
    <w:rsid w:val="004B187A"/>
    <w:rsid w:val="004B2422"/>
    <w:rsid w:val="004B7818"/>
    <w:rsid w:val="004C0353"/>
    <w:rsid w:val="004C0572"/>
    <w:rsid w:val="004C1870"/>
    <w:rsid w:val="004C2DC8"/>
    <w:rsid w:val="004C3641"/>
    <w:rsid w:val="004C3B32"/>
    <w:rsid w:val="004C4142"/>
    <w:rsid w:val="004C4208"/>
    <w:rsid w:val="004C4E7B"/>
    <w:rsid w:val="004C5898"/>
    <w:rsid w:val="004C60EF"/>
    <w:rsid w:val="004C77C5"/>
    <w:rsid w:val="004D00A8"/>
    <w:rsid w:val="004D062B"/>
    <w:rsid w:val="004D0E94"/>
    <w:rsid w:val="004D1816"/>
    <w:rsid w:val="004D2111"/>
    <w:rsid w:val="004D2BCC"/>
    <w:rsid w:val="004D397E"/>
    <w:rsid w:val="004D414F"/>
    <w:rsid w:val="004D429E"/>
    <w:rsid w:val="004D43A7"/>
    <w:rsid w:val="004D45F8"/>
    <w:rsid w:val="004D5377"/>
    <w:rsid w:val="004D6D20"/>
    <w:rsid w:val="004E01B0"/>
    <w:rsid w:val="004E05A2"/>
    <w:rsid w:val="004E301E"/>
    <w:rsid w:val="004E42A2"/>
    <w:rsid w:val="004E5223"/>
    <w:rsid w:val="004E5F40"/>
    <w:rsid w:val="004E6595"/>
    <w:rsid w:val="004E664C"/>
    <w:rsid w:val="004E6761"/>
    <w:rsid w:val="004E67DB"/>
    <w:rsid w:val="004E77A1"/>
    <w:rsid w:val="004E7B2A"/>
    <w:rsid w:val="004F1177"/>
    <w:rsid w:val="004F29B5"/>
    <w:rsid w:val="004F4080"/>
    <w:rsid w:val="004F507A"/>
    <w:rsid w:val="004F5165"/>
    <w:rsid w:val="004F51B1"/>
    <w:rsid w:val="004F5266"/>
    <w:rsid w:val="004F5498"/>
    <w:rsid w:val="004F6CC5"/>
    <w:rsid w:val="004F70F7"/>
    <w:rsid w:val="004F7351"/>
    <w:rsid w:val="004F76FD"/>
    <w:rsid w:val="00502320"/>
    <w:rsid w:val="00502894"/>
    <w:rsid w:val="0050392D"/>
    <w:rsid w:val="00503FBC"/>
    <w:rsid w:val="0050571E"/>
    <w:rsid w:val="00507852"/>
    <w:rsid w:val="00507890"/>
    <w:rsid w:val="005108DF"/>
    <w:rsid w:val="0051182F"/>
    <w:rsid w:val="00513188"/>
    <w:rsid w:val="005136EE"/>
    <w:rsid w:val="005165A3"/>
    <w:rsid w:val="00516A1E"/>
    <w:rsid w:val="00516BF8"/>
    <w:rsid w:val="0051792C"/>
    <w:rsid w:val="00517DC3"/>
    <w:rsid w:val="00521679"/>
    <w:rsid w:val="0052223B"/>
    <w:rsid w:val="00522E80"/>
    <w:rsid w:val="00523492"/>
    <w:rsid w:val="00523AA5"/>
    <w:rsid w:val="00523D6F"/>
    <w:rsid w:val="00524787"/>
    <w:rsid w:val="00527ADC"/>
    <w:rsid w:val="00530D70"/>
    <w:rsid w:val="00531299"/>
    <w:rsid w:val="00531A8C"/>
    <w:rsid w:val="00532077"/>
    <w:rsid w:val="005324C4"/>
    <w:rsid w:val="0053377D"/>
    <w:rsid w:val="00533CA3"/>
    <w:rsid w:val="00534578"/>
    <w:rsid w:val="00534DC0"/>
    <w:rsid w:val="00535693"/>
    <w:rsid w:val="00536335"/>
    <w:rsid w:val="005364FC"/>
    <w:rsid w:val="005400DB"/>
    <w:rsid w:val="00540A54"/>
    <w:rsid w:val="00545012"/>
    <w:rsid w:val="00545B15"/>
    <w:rsid w:val="00546202"/>
    <w:rsid w:val="005474A6"/>
    <w:rsid w:val="00550D19"/>
    <w:rsid w:val="00550EB4"/>
    <w:rsid w:val="005537AC"/>
    <w:rsid w:val="00553CC2"/>
    <w:rsid w:val="00554A42"/>
    <w:rsid w:val="00554AF2"/>
    <w:rsid w:val="00554B74"/>
    <w:rsid w:val="00556D4F"/>
    <w:rsid w:val="00560243"/>
    <w:rsid w:val="00561853"/>
    <w:rsid w:val="005618A9"/>
    <w:rsid w:val="0056200A"/>
    <w:rsid w:val="00562AD0"/>
    <w:rsid w:val="0056323A"/>
    <w:rsid w:val="00563715"/>
    <w:rsid w:val="00564C27"/>
    <w:rsid w:val="00564D88"/>
    <w:rsid w:val="00565684"/>
    <w:rsid w:val="00566D93"/>
    <w:rsid w:val="0056782E"/>
    <w:rsid w:val="0056794C"/>
    <w:rsid w:val="00571EE4"/>
    <w:rsid w:val="00572D95"/>
    <w:rsid w:val="00573048"/>
    <w:rsid w:val="00573C74"/>
    <w:rsid w:val="00573FFD"/>
    <w:rsid w:val="005754AC"/>
    <w:rsid w:val="0057561A"/>
    <w:rsid w:val="00576EAD"/>
    <w:rsid w:val="0058040D"/>
    <w:rsid w:val="0058056B"/>
    <w:rsid w:val="00580764"/>
    <w:rsid w:val="00581389"/>
    <w:rsid w:val="005814A2"/>
    <w:rsid w:val="00581B37"/>
    <w:rsid w:val="00581E8B"/>
    <w:rsid w:val="0058327C"/>
    <w:rsid w:val="00583791"/>
    <w:rsid w:val="0058464F"/>
    <w:rsid w:val="00584B3F"/>
    <w:rsid w:val="00585ACC"/>
    <w:rsid w:val="00586361"/>
    <w:rsid w:val="0058637B"/>
    <w:rsid w:val="00586A92"/>
    <w:rsid w:val="00587F49"/>
    <w:rsid w:val="00590752"/>
    <w:rsid w:val="00590E59"/>
    <w:rsid w:val="005928A0"/>
    <w:rsid w:val="0059354C"/>
    <w:rsid w:val="005938CC"/>
    <w:rsid w:val="00596028"/>
    <w:rsid w:val="005960BD"/>
    <w:rsid w:val="0059615F"/>
    <w:rsid w:val="005A22D7"/>
    <w:rsid w:val="005A259A"/>
    <w:rsid w:val="005A28F4"/>
    <w:rsid w:val="005A2C56"/>
    <w:rsid w:val="005A2ED6"/>
    <w:rsid w:val="005A3407"/>
    <w:rsid w:val="005A3F1F"/>
    <w:rsid w:val="005A4A71"/>
    <w:rsid w:val="005A4EE5"/>
    <w:rsid w:val="005A65F4"/>
    <w:rsid w:val="005A6C35"/>
    <w:rsid w:val="005A6E4A"/>
    <w:rsid w:val="005B02CA"/>
    <w:rsid w:val="005B0358"/>
    <w:rsid w:val="005B3E31"/>
    <w:rsid w:val="005B3E66"/>
    <w:rsid w:val="005B3ED9"/>
    <w:rsid w:val="005B3EF1"/>
    <w:rsid w:val="005B49D7"/>
    <w:rsid w:val="005B4A54"/>
    <w:rsid w:val="005B5751"/>
    <w:rsid w:val="005B63F9"/>
    <w:rsid w:val="005B6788"/>
    <w:rsid w:val="005B6EC9"/>
    <w:rsid w:val="005B79C7"/>
    <w:rsid w:val="005C178C"/>
    <w:rsid w:val="005C228F"/>
    <w:rsid w:val="005C3A14"/>
    <w:rsid w:val="005C3F18"/>
    <w:rsid w:val="005C47BF"/>
    <w:rsid w:val="005C5BC8"/>
    <w:rsid w:val="005C7507"/>
    <w:rsid w:val="005D1807"/>
    <w:rsid w:val="005D18FE"/>
    <w:rsid w:val="005D1F1F"/>
    <w:rsid w:val="005D236E"/>
    <w:rsid w:val="005D241F"/>
    <w:rsid w:val="005D2770"/>
    <w:rsid w:val="005D2DBE"/>
    <w:rsid w:val="005D4095"/>
    <w:rsid w:val="005D471E"/>
    <w:rsid w:val="005D48B6"/>
    <w:rsid w:val="005D5035"/>
    <w:rsid w:val="005D5E6D"/>
    <w:rsid w:val="005D6A27"/>
    <w:rsid w:val="005E076F"/>
    <w:rsid w:val="005E1F23"/>
    <w:rsid w:val="005E1F47"/>
    <w:rsid w:val="005E27D8"/>
    <w:rsid w:val="005E4684"/>
    <w:rsid w:val="005E4B64"/>
    <w:rsid w:val="005E5CB4"/>
    <w:rsid w:val="005E758E"/>
    <w:rsid w:val="005F0051"/>
    <w:rsid w:val="005F0BB6"/>
    <w:rsid w:val="005F2743"/>
    <w:rsid w:val="005F3560"/>
    <w:rsid w:val="005F515C"/>
    <w:rsid w:val="005F55AA"/>
    <w:rsid w:val="005F6251"/>
    <w:rsid w:val="005F648B"/>
    <w:rsid w:val="006006A0"/>
    <w:rsid w:val="00600D3E"/>
    <w:rsid w:val="00601CC5"/>
    <w:rsid w:val="00601FC0"/>
    <w:rsid w:val="006027C0"/>
    <w:rsid w:val="006037CB"/>
    <w:rsid w:val="00603C3F"/>
    <w:rsid w:val="00605E54"/>
    <w:rsid w:val="00610078"/>
    <w:rsid w:val="00612156"/>
    <w:rsid w:val="00614ED8"/>
    <w:rsid w:val="006155F9"/>
    <w:rsid w:val="00616C1A"/>
    <w:rsid w:val="00616CDB"/>
    <w:rsid w:val="006171F4"/>
    <w:rsid w:val="00617F81"/>
    <w:rsid w:val="006200D2"/>
    <w:rsid w:val="00621CEA"/>
    <w:rsid w:val="006227DC"/>
    <w:rsid w:val="00622F59"/>
    <w:rsid w:val="00623EE0"/>
    <w:rsid w:val="00624A6C"/>
    <w:rsid w:val="00624B82"/>
    <w:rsid w:val="00625345"/>
    <w:rsid w:val="0062653F"/>
    <w:rsid w:val="00626A18"/>
    <w:rsid w:val="00626D00"/>
    <w:rsid w:val="0062764B"/>
    <w:rsid w:val="006276A9"/>
    <w:rsid w:val="006279A4"/>
    <w:rsid w:val="00627F8B"/>
    <w:rsid w:val="00630631"/>
    <w:rsid w:val="00630717"/>
    <w:rsid w:val="006309F2"/>
    <w:rsid w:val="00630A1C"/>
    <w:rsid w:val="00630D18"/>
    <w:rsid w:val="00632785"/>
    <w:rsid w:val="006328B7"/>
    <w:rsid w:val="00632F01"/>
    <w:rsid w:val="006333D3"/>
    <w:rsid w:val="006351E3"/>
    <w:rsid w:val="006352C4"/>
    <w:rsid w:val="00635EA0"/>
    <w:rsid w:val="00636B46"/>
    <w:rsid w:val="00636E82"/>
    <w:rsid w:val="00637582"/>
    <w:rsid w:val="006416DF"/>
    <w:rsid w:val="006417EE"/>
    <w:rsid w:val="00641EF5"/>
    <w:rsid w:val="0064235C"/>
    <w:rsid w:val="00644139"/>
    <w:rsid w:val="00644982"/>
    <w:rsid w:val="00644999"/>
    <w:rsid w:val="00644F2C"/>
    <w:rsid w:val="0064551D"/>
    <w:rsid w:val="00645771"/>
    <w:rsid w:val="00645852"/>
    <w:rsid w:val="00645C92"/>
    <w:rsid w:val="00646415"/>
    <w:rsid w:val="0065012F"/>
    <w:rsid w:val="0065043A"/>
    <w:rsid w:val="00650B3B"/>
    <w:rsid w:val="006519B8"/>
    <w:rsid w:val="00654260"/>
    <w:rsid w:val="00655247"/>
    <w:rsid w:val="00655A0D"/>
    <w:rsid w:val="0065680A"/>
    <w:rsid w:val="00660586"/>
    <w:rsid w:val="00660901"/>
    <w:rsid w:val="006618A7"/>
    <w:rsid w:val="0066281B"/>
    <w:rsid w:val="006628D7"/>
    <w:rsid w:val="006629A5"/>
    <w:rsid w:val="00663DBD"/>
    <w:rsid w:val="00663F42"/>
    <w:rsid w:val="006645B1"/>
    <w:rsid w:val="00664A08"/>
    <w:rsid w:val="00665156"/>
    <w:rsid w:val="00666B8F"/>
    <w:rsid w:val="006674A3"/>
    <w:rsid w:val="00667707"/>
    <w:rsid w:val="00670AB6"/>
    <w:rsid w:val="00673786"/>
    <w:rsid w:val="006744A9"/>
    <w:rsid w:val="00674BDF"/>
    <w:rsid w:val="00674CA3"/>
    <w:rsid w:val="006760E6"/>
    <w:rsid w:val="006767A9"/>
    <w:rsid w:val="0067698C"/>
    <w:rsid w:val="00676E81"/>
    <w:rsid w:val="00680631"/>
    <w:rsid w:val="006813DB"/>
    <w:rsid w:val="006826E9"/>
    <w:rsid w:val="00683C46"/>
    <w:rsid w:val="006841A6"/>
    <w:rsid w:val="00684873"/>
    <w:rsid w:val="0068582D"/>
    <w:rsid w:val="00686456"/>
    <w:rsid w:val="00690999"/>
    <w:rsid w:val="006909D2"/>
    <w:rsid w:val="006911B8"/>
    <w:rsid w:val="0069196F"/>
    <w:rsid w:val="00691F7A"/>
    <w:rsid w:val="00692808"/>
    <w:rsid w:val="006928CD"/>
    <w:rsid w:val="00692976"/>
    <w:rsid w:val="006948D0"/>
    <w:rsid w:val="00694DEF"/>
    <w:rsid w:val="006960A1"/>
    <w:rsid w:val="00696B6B"/>
    <w:rsid w:val="006970F5"/>
    <w:rsid w:val="006A03A6"/>
    <w:rsid w:val="006A07C7"/>
    <w:rsid w:val="006A0FB4"/>
    <w:rsid w:val="006A1899"/>
    <w:rsid w:val="006A298A"/>
    <w:rsid w:val="006A51A8"/>
    <w:rsid w:val="006A5A11"/>
    <w:rsid w:val="006A62F4"/>
    <w:rsid w:val="006A6979"/>
    <w:rsid w:val="006A6D4C"/>
    <w:rsid w:val="006A6D77"/>
    <w:rsid w:val="006A70B9"/>
    <w:rsid w:val="006A77DC"/>
    <w:rsid w:val="006B1635"/>
    <w:rsid w:val="006B199D"/>
    <w:rsid w:val="006B1B9A"/>
    <w:rsid w:val="006B2A16"/>
    <w:rsid w:val="006B2CED"/>
    <w:rsid w:val="006B7139"/>
    <w:rsid w:val="006B71AF"/>
    <w:rsid w:val="006C0B33"/>
    <w:rsid w:val="006C1467"/>
    <w:rsid w:val="006C1C6D"/>
    <w:rsid w:val="006C1DCF"/>
    <w:rsid w:val="006C3506"/>
    <w:rsid w:val="006C540C"/>
    <w:rsid w:val="006C604A"/>
    <w:rsid w:val="006C6107"/>
    <w:rsid w:val="006C63E1"/>
    <w:rsid w:val="006C717B"/>
    <w:rsid w:val="006C7255"/>
    <w:rsid w:val="006C728C"/>
    <w:rsid w:val="006C7E51"/>
    <w:rsid w:val="006D0A6F"/>
    <w:rsid w:val="006D1A52"/>
    <w:rsid w:val="006D3FEC"/>
    <w:rsid w:val="006D4550"/>
    <w:rsid w:val="006D7647"/>
    <w:rsid w:val="006D7BE2"/>
    <w:rsid w:val="006E1CB3"/>
    <w:rsid w:val="006E1FB4"/>
    <w:rsid w:val="006E2264"/>
    <w:rsid w:val="006E34E0"/>
    <w:rsid w:val="006E3BD1"/>
    <w:rsid w:val="006E3E0C"/>
    <w:rsid w:val="006E4097"/>
    <w:rsid w:val="006E451D"/>
    <w:rsid w:val="006E49CF"/>
    <w:rsid w:val="006E703B"/>
    <w:rsid w:val="006F02EA"/>
    <w:rsid w:val="006F0DAE"/>
    <w:rsid w:val="006F2017"/>
    <w:rsid w:val="006F2212"/>
    <w:rsid w:val="006F44CD"/>
    <w:rsid w:val="006F4717"/>
    <w:rsid w:val="006F4C37"/>
    <w:rsid w:val="006F79B1"/>
    <w:rsid w:val="007009B1"/>
    <w:rsid w:val="00701259"/>
    <w:rsid w:val="00702CFA"/>
    <w:rsid w:val="00702E17"/>
    <w:rsid w:val="007041C3"/>
    <w:rsid w:val="00704232"/>
    <w:rsid w:val="00704FF6"/>
    <w:rsid w:val="00705C0E"/>
    <w:rsid w:val="007104A4"/>
    <w:rsid w:val="00711325"/>
    <w:rsid w:val="00711A0B"/>
    <w:rsid w:val="00713592"/>
    <w:rsid w:val="00713906"/>
    <w:rsid w:val="0071498E"/>
    <w:rsid w:val="007155F0"/>
    <w:rsid w:val="00715AD7"/>
    <w:rsid w:val="0071694E"/>
    <w:rsid w:val="00717449"/>
    <w:rsid w:val="00717BF5"/>
    <w:rsid w:val="00717D41"/>
    <w:rsid w:val="00720C07"/>
    <w:rsid w:val="00721073"/>
    <w:rsid w:val="007219E6"/>
    <w:rsid w:val="00722AEF"/>
    <w:rsid w:val="007231DB"/>
    <w:rsid w:val="0072339E"/>
    <w:rsid w:val="00723B10"/>
    <w:rsid w:val="00724115"/>
    <w:rsid w:val="007246A2"/>
    <w:rsid w:val="00726ED4"/>
    <w:rsid w:val="00727FCF"/>
    <w:rsid w:val="00730A18"/>
    <w:rsid w:val="00730A3A"/>
    <w:rsid w:val="0073200D"/>
    <w:rsid w:val="007321C3"/>
    <w:rsid w:val="00732AAB"/>
    <w:rsid w:val="0073450A"/>
    <w:rsid w:val="0073587F"/>
    <w:rsid w:val="00736894"/>
    <w:rsid w:val="00737225"/>
    <w:rsid w:val="00737680"/>
    <w:rsid w:val="00737E3E"/>
    <w:rsid w:val="00741242"/>
    <w:rsid w:val="007417E4"/>
    <w:rsid w:val="00743F85"/>
    <w:rsid w:val="00744906"/>
    <w:rsid w:val="00746846"/>
    <w:rsid w:val="007503B6"/>
    <w:rsid w:val="00752291"/>
    <w:rsid w:val="00752433"/>
    <w:rsid w:val="00752E56"/>
    <w:rsid w:val="007531F5"/>
    <w:rsid w:val="00753EDA"/>
    <w:rsid w:val="00754E76"/>
    <w:rsid w:val="00755431"/>
    <w:rsid w:val="0075665E"/>
    <w:rsid w:val="0075701A"/>
    <w:rsid w:val="0075707A"/>
    <w:rsid w:val="00757582"/>
    <w:rsid w:val="00757714"/>
    <w:rsid w:val="0076047D"/>
    <w:rsid w:val="0076158B"/>
    <w:rsid w:val="007619DE"/>
    <w:rsid w:val="00761F8F"/>
    <w:rsid w:val="00763E1C"/>
    <w:rsid w:val="00765972"/>
    <w:rsid w:val="00765A93"/>
    <w:rsid w:val="0077082E"/>
    <w:rsid w:val="0077084D"/>
    <w:rsid w:val="00770F77"/>
    <w:rsid w:val="007722C5"/>
    <w:rsid w:val="00773EDD"/>
    <w:rsid w:val="00775ABF"/>
    <w:rsid w:val="0077618D"/>
    <w:rsid w:val="00776E04"/>
    <w:rsid w:val="007773EC"/>
    <w:rsid w:val="00777FE4"/>
    <w:rsid w:val="00780407"/>
    <w:rsid w:val="00780FDC"/>
    <w:rsid w:val="00781C0A"/>
    <w:rsid w:val="00784F08"/>
    <w:rsid w:val="00786B0C"/>
    <w:rsid w:val="00786F07"/>
    <w:rsid w:val="0078727B"/>
    <w:rsid w:val="0079029E"/>
    <w:rsid w:val="00790485"/>
    <w:rsid w:val="007905C4"/>
    <w:rsid w:val="00790765"/>
    <w:rsid w:val="0079385F"/>
    <w:rsid w:val="00794EF5"/>
    <w:rsid w:val="007950DD"/>
    <w:rsid w:val="00796C88"/>
    <w:rsid w:val="007A06FF"/>
    <w:rsid w:val="007A0DD6"/>
    <w:rsid w:val="007A113E"/>
    <w:rsid w:val="007A232B"/>
    <w:rsid w:val="007A24F3"/>
    <w:rsid w:val="007A2AA9"/>
    <w:rsid w:val="007A7FE5"/>
    <w:rsid w:val="007B0750"/>
    <w:rsid w:val="007B077B"/>
    <w:rsid w:val="007B4462"/>
    <w:rsid w:val="007B5587"/>
    <w:rsid w:val="007B6070"/>
    <w:rsid w:val="007B7550"/>
    <w:rsid w:val="007B7BEA"/>
    <w:rsid w:val="007C1649"/>
    <w:rsid w:val="007C1EE6"/>
    <w:rsid w:val="007C30D6"/>
    <w:rsid w:val="007C3206"/>
    <w:rsid w:val="007C3365"/>
    <w:rsid w:val="007C573E"/>
    <w:rsid w:val="007C5EEA"/>
    <w:rsid w:val="007C5FC5"/>
    <w:rsid w:val="007D039A"/>
    <w:rsid w:val="007D08ED"/>
    <w:rsid w:val="007D12B1"/>
    <w:rsid w:val="007D142B"/>
    <w:rsid w:val="007D3125"/>
    <w:rsid w:val="007D5240"/>
    <w:rsid w:val="007D555C"/>
    <w:rsid w:val="007D6684"/>
    <w:rsid w:val="007D6C35"/>
    <w:rsid w:val="007D7FFA"/>
    <w:rsid w:val="007E245C"/>
    <w:rsid w:val="007E284B"/>
    <w:rsid w:val="007E2DC3"/>
    <w:rsid w:val="007E3419"/>
    <w:rsid w:val="007E665B"/>
    <w:rsid w:val="007E716A"/>
    <w:rsid w:val="007E7DA9"/>
    <w:rsid w:val="007F066B"/>
    <w:rsid w:val="007F1BFE"/>
    <w:rsid w:val="007F21DE"/>
    <w:rsid w:val="007F23FD"/>
    <w:rsid w:val="007F273D"/>
    <w:rsid w:val="007F2B28"/>
    <w:rsid w:val="007F306E"/>
    <w:rsid w:val="007F321A"/>
    <w:rsid w:val="007F3ADE"/>
    <w:rsid w:val="007F41E0"/>
    <w:rsid w:val="007F47A7"/>
    <w:rsid w:val="007F6CED"/>
    <w:rsid w:val="007F70E9"/>
    <w:rsid w:val="007F794A"/>
    <w:rsid w:val="0080309B"/>
    <w:rsid w:val="00803A5C"/>
    <w:rsid w:val="00803D7A"/>
    <w:rsid w:val="008044E2"/>
    <w:rsid w:val="008076F7"/>
    <w:rsid w:val="00807B73"/>
    <w:rsid w:val="00807BB4"/>
    <w:rsid w:val="008101A3"/>
    <w:rsid w:val="00813450"/>
    <w:rsid w:val="00813A8F"/>
    <w:rsid w:val="00815926"/>
    <w:rsid w:val="00816414"/>
    <w:rsid w:val="008202CD"/>
    <w:rsid w:val="00820385"/>
    <w:rsid w:val="00822116"/>
    <w:rsid w:val="008223EA"/>
    <w:rsid w:val="00823842"/>
    <w:rsid w:val="00823C77"/>
    <w:rsid w:val="00824D1A"/>
    <w:rsid w:val="00824FAE"/>
    <w:rsid w:val="00825BBA"/>
    <w:rsid w:val="0082615B"/>
    <w:rsid w:val="0082618B"/>
    <w:rsid w:val="00827487"/>
    <w:rsid w:val="0082766B"/>
    <w:rsid w:val="0083115A"/>
    <w:rsid w:val="008331A8"/>
    <w:rsid w:val="0083488B"/>
    <w:rsid w:val="00835589"/>
    <w:rsid w:val="008361A9"/>
    <w:rsid w:val="0083630C"/>
    <w:rsid w:val="00837634"/>
    <w:rsid w:val="008402D6"/>
    <w:rsid w:val="0084126C"/>
    <w:rsid w:val="00842C33"/>
    <w:rsid w:val="00844404"/>
    <w:rsid w:val="008457B0"/>
    <w:rsid w:val="00847277"/>
    <w:rsid w:val="0085003D"/>
    <w:rsid w:val="0085141E"/>
    <w:rsid w:val="008534A1"/>
    <w:rsid w:val="00854E63"/>
    <w:rsid w:val="00855D48"/>
    <w:rsid w:val="00855E11"/>
    <w:rsid w:val="008560B6"/>
    <w:rsid w:val="00856E87"/>
    <w:rsid w:val="008572CA"/>
    <w:rsid w:val="00857994"/>
    <w:rsid w:val="00862104"/>
    <w:rsid w:val="00862585"/>
    <w:rsid w:val="008632ED"/>
    <w:rsid w:val="008636CC"/>
    <w:rsid w:val="008643E6"/>
    <w:rsid w:val="008648AB"/>
    <w:rsid w:val="00867DED"/>
    <w:rsid w:val="00870EC8"/>
    <w:rsid w:val="0087149D"/>
    <w:rsid w:val="00871CB7"/>
    <w:rsid w:val="00871E27"/>
    <w:rsid w:val="0087332A"/>
    <w:rsid w:val="00875C24"/>
    <w:rsid w:val="008766BC"/>
    <w:rsid w:val="008769A5"/>
    <w:rsid w:val="0087700F"/>
    <w:rsid w:val="0087709B"/>
    <w:rsid w:val="00877173"/>
    <w:rsid w:val="008772A4"/>
    <w:rsid w:val="00877AD9"/>
    <w:rsid w:val="008809AB"/>
    <w:rsid w:val="00880FF6"/>
    <w:rsid w:val="00881446"/>
    <w:rsid w:val="008834A3"/>
    <w:rsid w:val="00883721"/>
    <w:rsid w:val="008841DF"/>
    <w:rsid w:val="008865A5"/>
    <w:rsid w:val="00887526"/>
    <w:rsid w:val="0089017B"/>
    <w:rsid w:val="0089021F"/>
    <w:rsid w:val="00890D5B"/>
    <w:rsid w:val="00890DC2"/>
    <w:rsid w:val="00890F77"/>
    <w:rsid w:val="008916F0"/>
    <w:rsid w:val="00891971"/>
    <w:rsid w:val="00892B55"/>
    <w:rsid w:val="00892E03"/>
    <w:rsid w:val="0089302D"/>
    <w:rsid w:val="008933B8"/>
    <w:rsid w:val="00893718"/>
    <w:rsid w:val="0089400A"/>
    <w:rsid w:val="008944CA"/>
    <w:rsid w:val="00894B8C"/>
    <w:rsid w:val="00894E7D"/>
    <w:rsid w:val="00895556"/>
    <w:rsid w:val="008959C2"/>
    <w:rsid w:val="00895FA2"/>
    <w:rsid w:val="00896472"/>
    <w:rsid w:val="008969CF"/>
    <w:rsid w:val="008A057C"/>
    <w:rsid w:val="008A262A"/>
    <w:rsid w:val="008A2E28"/>
    <w:rsid w:val="008A3D3E"/>
    <w:rsid w:val="008A46AE"/>
    <w:rsid w:val="008A4AE9"/>
    <w:rsid w:val="008A5C8A"/>
    <w:rsid w:val="008A6EEC"/>
    <w:rsid w:val="008A73CB"/>
    <w:rsid w:val="008B124C"/>
    <w:rsid w:val="008B1831"/>
    <w:rsid w:val="008B38C9"/>
    <w:rsid w:val="008B3A31"/>
    <w:rsid w:val="008B3E1E"/>
    <w:rsid w:val="008B3E8F"/>
    <w:rsid w:val="008B52DE"/>
    <w:rsid w:val="008B690C"/>
    <w:rsid w:val="008B6A4E"/>
    <w:rsid w:val="008B6A74"/>
    <w:rsid w:val="008B71D4"/>
    <w:rsid w:val="008C0572"/>
    <w:rsid w:val="008C0D37"/>
    <w:rsid w:val="008C2279"/>
    <w:rsid w:val="008C2437"/>
    <w:rsid w:val="008C2506"/>
    <w:rsid w:val="008C2858"/>
    <w:rsid w:val="008C28DE"/>
    <w:rsid w:val="008C2F24"/>
    <w:rsid w:val="008C412A"/>
    <w:rsid w:val="008C560D"/>
    <w:rsid w:val="008C6189"/>
    <w:rsid w:val="008D05A4"/>
    <w:rsid w:val="008D4167"/>
    <w:rsid w:val="008D5DC3"/>
    <w:rsid w:val="008D5DED"/>
    <w:rsid w:val="008D5F08"/>
    <w:rsid w:val="008D78EE"/>
    <w:rsid w:val="008E0DA4"/>
    <w:rsid w:val="008E1552"/>
    <w:rsid w:val="008E1C5E"/>
    <w:rsid w:val="008E1FC7"/>
    <w:rsid w:val="008E2A0F"/>
    <w:rsid w:val="008E38F6"/>
    <w:rsid w:val="008E3C30"/>
    <w:rsid w:val="008E53E7"/>
    <w:rsid w:val="008E5B61"/>
    <w:rsid w:val="008E6675"/>
    <w:rsid w:val="008E7D69"/>
    <w:rsid w:val="008F057B"/>
    <w:rsid w:val="008F1808"/>
    <w:rsid w:val="008F184E"/>
    <w:rsid w:val="008F35AB"/>
    <w:rsid w:val="008F3D58"/>
    <w:rsid w:val="008F6857"/>
    <w:rsid w:val="008F75F7"/>
    <w:rsid w:val="0090013E"/>
    <w:rsid w:val="009007F6"/>
    <w:rsid w:val="009017D7"/>
    <w:rsid w:val="00902AE4"/>
    <w:rsid w:val="0090309F"/>
    <w:rsid w:val="0090352E"/>
    <w:rsid w:val="0090578F"/>
    <w:rsid w:val="0090669D"/>
    <w:rsid w:val="009066FB"/>
    <w:rsid w:val="009069D4"/>
    <w:rsid w:val="00906D94"/>
    <w:rsid w:val="00906F5A"/>
    <w:rsid w:val="009071BF"/>
    <w:rsid w:val="00907ED2"/>
    <w:rsid w:val="0091201F"/>
    <w:rsid w:val="009125CC"/>
    <w:rsid w:val="00915E61"/>
    <w:rsid w:val="00916036"/>
    <w:rsid w:val="009161B0"/>
    <w:rsid w:val="0091745C"/>
    <w:rsid w:val="009178CF"/>
    <w:rsid w:val="0091790F"/>
    <w:rsid w:val="00921516"/>
    <w:rsid w:val="00924441"/>
    <w:rsid w:val="009257D0"/>
    <w:rsid w:val="00925F7B"/>
    <w:rsid w:val="00926519"/>
    <w:rsid w:val="00926C28"/>
    <w:rsid w:val="00926E86"/>
    <w:rsid w:val="009271EC"/>
    <w:rsid w:val="00927F1E"/>
    <w:rsid w:val="0093092A"/>
    <w:rsid w:val="0093108E"/>
    <w:rsid w:val="00931613"/>
    <w:rsid w:val="00932993"/>
    <w:rsid w:val="00932BFF"/>
    <w:rsid w:val="00934032"/>
    <w:rsid w:val="00934281"/>
    <w:rsid w:val="009344D8"/>
    <w:rsid w:val="0093546D"/>
    <w:rsid w:val="00936CBD"/>
    <w:rsid w:val="00940CC2"/>
    <w:rsid w:val="00941462"/>
    <w:rsid w:val="00941776"/>
    <w:rsid w:val="00941C83"/>
    <w:rsid w:val="0094206A"/>
    <w:rsid w:val="00942303"/>
    <w:rsid w:val="00943486"/>
    <w:rsid w:val="0094424A"/>
    <w:rsid w:val="0094488F"/>
    <w:rsid w:val="00944A61"/>
    <w:rsid w:val="009469D4"/>
    <w:rsid w:val="00947E4C"/>
    <w:rsid w:val="0095007F"/>
    <w:rsid w:val="00952350"/>
    <w:rsid w:val="00952A1E"/>
    <w:rsid w:val="009533D5"/>
    <w:rsid w:val="00953CF7"/>
    <w:rsid w:val="009544C6"/>
    <w:rsid w:val="009560CB"/>
    <w:rsid w:val="0096058A"/>
    <w:rsid w:val="009607DA"/>
    <w:rsid w:val="00961FFC"/>
    <w:rsid w:val="00962435"/>
    <w:rsid w:val="00962577"/>
    <w:rsid w:val="00962691"/>
    <w:rsid w:val="00966132"/>
    <w:rsid w:val="009666A2"/>
    <w:rsid w:val="009670AC"/>
    <w:rsid w:val="0097013A"/>
    <w:rsid w:val="0097041A"/>
    <w:rsid w:val="00970ED1"/>
    <w:rsid w:val="00971353"/>
    <w:rsid w:val="0097557C"/>
    <w:rsid w:val="00975830"/>
    <w:rsid w:val="00975DEA"/>
    <w:rsid w:val="009763DE"/>
    <w:rsid w:val="009766DC"/>
    <w:rsid w:val="00977D7E"/>
    <w:rsid w:val="00981A15"/>
    <w:rsid w:val="009822D6"/>
    <w:rsid w:val="00982509"/>
    <w:rsid w:val="00983F2A"/>
    <w:rsid w:val="00984076"/>
    <w:rsid w:val="00984811"/>
    <w:rsid w:val="00986486"/>
    <w:rsid w:val="00986CA5"/>
    <w:rsid w:val="0099095B"/>
    <w:rsid w:val="00990A86"/>
    <w:rsid w:val="00990ED9"/>
    <w:rsid w:val="00991836"/>
    <w:rsid w:val="009920DF"/>
    <w:rsid w:val="00993E87"/>
    <w:rsid w:val="00994DB9"/>
    <w:rsid w:val="00995E14"/>
    <w:rsid w:val="009A1A78"/>
    <w:rsid w:val="009A2A52"/>
    <w:rsid w:val="009A43F5"/>
    <w:rsid w:val="009A457B"/>
    <w:rsid w:val="009A4ED1"/>
    <w:rsid w:val="009A6978"/>
    <w:rsid w:val="009A7E43"/>
    <w:rsid w:val="009B0F2C"/>
    <w:rsid w:val="009B106D"/>
    <w:rsid w:val="009B2850"/>
    <w:rsid w:val="009B28E2"/>
    <w:rsid w:val="009B527F"/>
    <w:rsid w:val="009B56FF"/>
    <w:rsid w:val="009B5F64"/>
    <w:rsid w:val="009B66D4"/>
    <w:rsid w:val="009B6BD9"/>
    <w:rsid w:val="009B7079"/>
    <w:rsid w:val="009B72EC"/>
    <w:rsid w:val="009B7839"/>
    <w:rsid w:val="009B7ADF"/>
    <w:rsid w:val="009B7B63"/>
    <w:rsid w:val="009B7BE5"/>
    <w:rsid w:val="009C0EC5"/>
    <w:rsid w:val="009C2D8C"/>
    <w:rsid w:val="009C37EF"/>
    <w:rsid w:val="009C43EC"/>
    <w:rsid w:val="009C594C"/>
    <w:rsid w:val="009C6553"/>
    <w:rsid w:val="009C65AC"/>
    <w:rsid w:val="009C6652"/>
    <w:rsid w:val="009C6C2F"/>
    <w:rsid w:val="009C7752"/>
    <w:rsid w:val="009D146A"/>
    <w:rsid w:val="009D1EBA"/>
    <w:rsid w:val="009D2A09"/>
    <w:rsid w:val="009D39F1"/>
    <w:rsid w:val="009D5CA8"/>
    <w:rsid w:val="009D73F9"/>
    <w:rsid w:val="009D7D6D"/>
    <w:rsid w:val="009E3739"/>
    <w:rsid w:val="009E4192"/>
    <w:rsid w:val="009E45FB"/>
    <w:rsid w:val="009E490A"/>
    <w:rsid w:val="009E4931"/>
    <w:rsid w:val="009E4B35"/>
    <w:rsid w:val="009E50F2"/>
    <w:rsid w:val="009E53AA"/>
    <w:rsid w:val="009E5EBC"/>
    <w:rsid w:val="009E698A"/>
    <w:rsid w:val="009E74C9"/>
    <w:rsid w:val="009F0FBF"/>
    <w:rsid w:val="009F1022"/>
    <w:rsid w:val="009F2336"/>
    <w:rsid w:val="009F284D"/>
    <w:rsid w:val="009F2EB4"/>
    <w:rsid w:val="009F478D"/>
    <w:rsid w:val="009F4AEF"/>
    <w:rsid w:val="009F4B58"/>
    <w:rsid w:val="009F5345"/>
    <w:rsid w:val="009F5D9C"/>
    <w:rsid w:val="009F6017"/>
    <w:rsid w:val="009F64B1"/>
    <w:rsid w:val="009F66ED"/>
    <w:rsid w:val="009F6AE2"/>
    <w:rsid w:val="009F6BAC"/>
    <w:rsid w:val="009F7398"/>
    <w:rsid w:val="00A0107E"/>
    <w:rsid w:val="00A01716"/>
    <w:rsid w:val="00A01A2F"/>
    <w:rsid w:val="00A01F0C"/>
    <w:rsid w:val="00A0348C"/>
    <w:rsid w:val="00A03B52"/>
    <w:rsid w:val="00A03F9C"/>
    <w:rsid w:val="00A047A5"/>
    <w:rsid w:val="00A06158"/>
    <w:rsid w:val="00A0685D"/>
    <w:rsid w:val="00A0689C"/>
    <w:rsid w:val="00A0742A"/>
    <w:rsid w:val="00A11D62"/>
    <w:rsid w:val="00A12CB2"/>
    <w:rsid w:val="00A13368"/>
    <w:rsid w:val="00A13391"/>
    <w:rsid w:val="00A14088"/>
    <w:rsid w:val="00A1603E"/>
    <w:rsid w:val="00A168B3"/>
    <w:rsid w:val="00A17D66"/>
    <w:rsid w:val="00A2036D"/>
    <w:rsid w:val="00A22669"/>
    <w:rsid w:val="00A24570"/>
    <w:rsid w:val="00A252CD"/>
    <w:rsid w:val="00A27278"/>
    <w:rsid w:val="00A3050B"/>
    <w:rsid w:val="00A30EBC"/>
    <w:rsid w:val="00A30F6C"/>
    <w:rsid w:val="00A322A1"/>
    <w:rsid w:val="00A32C6E"/>
    <w:rsid w:val="00A342A5"/>
    <w:rsid w:val="00A346B3"/>
    <w:rsid w:val="00A35BC2"/>
    <w:rsid w:val="00A362F4"/>
    <w:rsid w:val="00A3676D"/>
    <w:rsid w:val="00A379B1"/>
    <w:rsid w:val="00A405B1"/>
    <w:rsid w:val="00A40E55"/>
    <w:rsid w:val="00A43AE5"/>
    <w:rsid w:val="00A440A5"/>
    <w:rsid w:val="00A4490F"/>
    <w:rsid w:val="00A44B0A"/>
    <w:rsid w:val="00A45A54"/>
    <w:rsid w:val="00A46F96"/>
    <w:rsid w:val="00A46FB8"/>
    <w:rsid w:val="00A5125A"/>
    <w:rsid w:val="00A51EFE"/>
    <w:rsid w:val="00A51FCA"/>
    <w:rsid w:val="00A52AA8"/>
    <w:rsid w:val="00A52DDF"/>
    <w:rsid w:val="00A52FEB"/>
    <w:rsid w:val="00A533BA"/>
    <w:rsid w:val="00A535CC"/>
    <w:rsid w:val="00A536BC"/>
    <w:rsid w:val="00A53BF9"/>
    <w:rsid w:val="00A541F5"/>
    <w:rsid w:val="00A56198"/>
    <w:rsid w:val="00A565FB"/>
    <w:rsid w:val="00A579E8"/>
    <w:rsid w:val="00A57B27"/>
    <w:rsid w:val="00A608D5"/>
    <w:rsid w:val="00A6186A"/>
    <w:rsid w:val="00A63167"/>
    <w:rsid w:val="00A635E5"/>
    <w:rsid w:val="00A64126"/>
    <w:rsid w:val="00A6440D"/>
    <w:rsid w:val="00A64416"/>
    <w:rsid w:val="00A64491"/>
    <w:rsid w:val="00A64531"/>
    <w:rsid w:val="00A65263"/>
    <w:rsid w:val="00A70822"/>
    <w:rsid w:val="00A7145E"/>
    <w:rsid w:val="00A71826"/>
    <w:rsid w:val="00A726E0"/>
    <w:rsid w:val="00A7396A"/>
    <w:rsid w:val="00A774BD"/>
    <w:rsid w:val="00A77A6C"/>
    <w:rsid w:val="00A813AB"/>
    <w:rsid w:val="00A822E8"/>
    <w:rsid w:val="00A823C5"/>
    <w:rsid w:val="00A828A0"/>
    <w:rsid w:val="00A8302E"/>
    <w:rsid w:val="00A8492F"/>
    <w:rsid w:val="00A8522F"/>
    <w:rsid w:val="00A86016"/>
    <w:rsid w:val="00A87205"/>
    <w:rsid w:val="00A87CBB"/>
    <w:rsid w:val="00A934A5"/>
    <w:rsid w:val="00A9375B"/>
    <w:rsid w:val="00A9540E"/>
    <w:rsid w:val="00A974FA"/>
    <w:rsid w:val="00A979EA"/>
    <w:rsid w:val="00AA0547"/>
    <w:rsid w:val="00AA0A75"/>
    <w:rsid w:val="00AA0ACF"/>
    <w:rsid w:val="00AA1134"/>
    <w:rsid w:val="00AA189D"/>
    <w:rsid w:val="00AA18B6"/>
    <w:rsid w:val="00AA24EC"/>
    <w:rsid w:val="00AA3CDA"/>
    <w:rsid w:val="00AA6625"/>
    <w:rsid w:val="00AA6E22"/>
    <w:rsid w:val="00AA771F"/>
    <w:rsid w:val="00AB26F9"/>
    <w:rsid w:val="00AB29DA"/>
    <w:rsid w:val="00AB398F"/>
    <w:rsid w:val="00AB3BC4"/>
    <w:rsid w:val="00AB42A6"/>
    <w:rsid w:val="00AB48C9"/>
    <w:rsid w:val="00AB5FA4"/>
    <w:rsid w:val="00AC02BC"/>
    <w:rsid w:val="00AC152D"/>
    <w:rsid w:val="00AC2E80"/>
    <w:rsid w:val="00AC31C0"/>
    <w:rsid w:val="00AC4415"/>
    <w:rsid w:val="00AC4765"/>
    <w:rsid w:val="00AC5CF3"/>
    <w:rsid w:val="00AC5F6C"/>
    <w:rsid w:val="00AC6419"/>
    <w:rsid w:val="00AC64F0"/>
    <w:rsid w:val="00AC6854"/>
    <w:rsid w:val="00AC689A"/>
    <w:rsid w:val="00AC6B07"/>
    <w:rsid w:val="00AC7A93"/>
    <w:rsid w:val="00AD053E"/>
    <w:rsid w:val="00AD1669"/>
    <w:rsid w:val="00AD1800"/>
    <w:rsid w:val="00AD1C8F"/>
    <w:rsid w:val="00AD2333"/>
    <w:rsid w:val="00AD32CC"/>
    <w:rsid w:val="00AD3D1E"/>
    <w:rsid w:val="00AD4150"/>
    <w:rsid w:val="00AD5242"/>
    <w:rsid w:val="00AD636E"/>
    <w:rsid w:val="00AD65BD"/>
    <w:rsid w:val="00AE068D"/>
    <w:rsid w:val="00AE08BA"/>
    <w:rsid w:val="00AE218E"/>
    <w:rsid w:val="00AE2AC1"/>
    <w:rsid w:val="00AE3023"/>
    <w:rsid w:val="00AE3B9C"/>
    <w:rsid w:val="00AE3BAF"/>
    <w:rsid w:val="00AE3DA6"/>
    <w:rsid w:val="00AE4A5F"/>
    <w:rsid w:val="00AE4CCA"/>
    <w:rsid w:val="00AE5141"/>
    <w:rsid w:val="00AE6240"/>
    <w:rsid w:val="00AE75A9"/>
    <w:rsid w:val="00AF03EF"/>
    <w:rsid w:val="00AF0721"/>
    <w:rsid w:val="00AF0C18"/>
    <w:rsid w:val="00AF0FD4"/>
    <w:rsid w:val="00AF2C75"/>
    <w:rsid w:val="00AF2CA6"/>
    <w:rsid w:val="00AF4025"/>
    <w:rsid w:val="00AF524E"/>
    <w:rsid w:val="00B0145A"/>
    <w:rsid w:val="00B018EC"/>
    <w:rsid w:val="00B01AAD"/>
    <w:rsid w:val="00B01E10"/>
    <w:rsid w:val="00B02827"/>
    <w:rsid w:val="00B02C7C"/>
    <w:rsid w:val="00B037E4"/>
    <w:rsid w:val="00B04266"/>
    <w:rsid w:val="00B04ACA"/>
    <w:rsid w:val="00B05F89"/>
    <w:rsid w:val="00B06079"/>
    <w:rsid w:val="00B066F2"/>
    <w:rsid w:val="00B0703E"/>
    <w:rsid w:val="00B075EC"/>
    <w:rsid w:val="00B101CB"/>
    <w:rsid w:val="00B112F2"/>
    <w:rsid w:val="00B1229C"/>
    <w:rsid w:val="00B12BC4"/>
    <w:rsid w:val="00B144C5"/>
    <w:rsid w:val="00B1490A"/>
    <w:rsid w:val="00B14D46"/>
    <w:rsid w:val="00B14FE0"/>
    <w:rsid w:val="00B15940"/>
    <w:rsid w:val="00B15B13"/>
    <w:rsid w:val="00B166F7"/>
    <w:rsid w:val="00B16AA5"/>
    <w:rsid w:val="00B16D50"/>
    <w:rsid w:val="00B16F22"/>
    <w:rsid w:val="00B1732A"/>
    <w:rsid w:val="00B17BFB"/>
    <w:rsid w:val="00B206CC"/>
    <w:rsid w:val="00B210C6"/>
    <w:rsid w:val="00B217BC"/>
    <w:rsid w:val="00B21949"/>
    <w:rsid w:val="00B22CAD"/>
    <w:rsid w:val="00B22E0C"/>
    <w:rsid w:val="00B23D13"/>
    <w:rsid w:val="00B23EB0"/>
    <w:rsid w:val="00B2450E"/>
    <w:rsid w:val="00B24820"/>
    <w:rsid w:val="00B24F76"/>
    <w:rsid w:val="00B2584F"/>
    <w:rsid w:val="00B27292"/>
    <w:rsid w:val="00B272F1"/>
    <w:rsid w:val="00B278F7"/>
    <w:rsid w:val="00B30730"/>
    <w:rsid w:val="00B30C97"/>
    <w:rsid w:val="00B337F8"/>
    <w:rsid w:val="00B34E3D"/>
    <w:rsid w:val="00B36B7D"/>
    <w:rsid w:val="00B36C0B"/>
    <w:rsid w:val="00B4030E"/>
    <w:rsid w:val="00B409A2"/>
    <w:rsid w:val="00B41129"/>
    <w:rsid w:val="00B41327"/>
    <w:rsid w:val="00B41435"/>
    <w:rsid w:val="00B41761"/>
    <w:rsid w:val="00B41952"/>
    <w:rsid w:val="00B419F3"/>
    <w:rsid w:val="00B42A85"/>
    <w:rsid w:val="00B436D1"/>
    <w:rsid w:val="00B43A6A"/>
    <w:rsid w:val="00B43BA6"/>
    <w:rsid w:val="00B444F4"/>
    <w:rsid w:val="00B45ED9"/>
    <w:rsid w:val="00B4693F"/>
    <w:rsid w:val="00B4725C"/>
    <w:rsid w:val="00B508C0"/>
    <w:rsid w:val="00B50CDA"/>
    <w:rsid w:val="00B520C8"/>
    <w:rsid w:val="00B5264E"/>
    <w:rsid w:val="00B536F0"/>
    <w:rsid w:val="00B53811"/>
    <w:rsid w:val="00B53BC2"/>
    <w:rsid w:val="00B5534C"/>
    <w:rsid w:val="00B55767"/>
    <w:rsid w:val="00B55C36"/>
    <w:rsid w:val="00B55F70"/>
    <w:rsid w:val="00B56116"/>
    <w:rsid w:val="00B572BD"/>
    <w:rsid w:val="00B573FE"/>
    <w:rsid w:val="00B57D67"/>
    <w:rsid w:val="00B60042"/>
    <w:rsid w:val="00B60065"/>
    <w:rsid w:val="00B619DB"/>
    <w:rsid w:val="00B62862"/>
    <w:rsid w:val="00B63289"/>
    <w:rsid w:val="00B638AC"/>
    <w:rsid w:val="00B63C92"/>
    <w:rsid w:val="00B6444C"/>
    <w:rsid w:val="00B65560"/>
    <w:rsid w:val="00B657CF"/>
    <w:rsid w:val="00B65EE2"/>
    <w:rsid w:val="00B66157"/>
    <w:rsid w:val="00B663C8"/>
    <w:rsid w:val="00B67093"/>
    <w:rsid w:val="00B70F94"/>
    <w:rsid w:val="00B73D68"/>
    <w:rsid w:val="00B73F55"/>
    <w:rsid w:val="00B7445F"/>
    <w:rsid w:val="00B74F98"/>
    <w:rsid w:val="00B7618A"/>
    <w:rsid w:val="00B7739A"/>
    <w:rsid w:val="00B77639"/>
    <w:rsid w:val="00B77726"/>
    <w:rsid w:val="00B82735"/>
    <w:rsid w:val="00B829EF"/>
    <w:rsid w:val="00B848A6"/>
    <w:rsid w:val="00B84CBC"/>
    <w:rsid w:val="00B8509E"/>
    <w:rsid w:val="00B8593B"/>
    <w:rsid w:val="00B86102"/>
    <w:rsid w:val="00B86348"/>
    <w:rsid w:val="00B866D6"/>
    <w:rsid w:val="00B87C2C"/>
    <w:rsid w:val="00B87EA0"/>
    <w:rsid w:val="00B900C6"/>
    <w:rsid w:val="00B92C38"/>
    <w:rsid w:val="00B93378"/>
    <w:rsid w:val="00B93424"/>
    <w:rsid w:val="00B95405"/>
    <w:rsid w:val="00B9559F"/>
    <w:rsid w:val="00B955BA"/>
    <w:rsid w:val="00B9588D"/>
    <w:rsid w:val="00B96C1D"/>
    <w:rsid w:val="00B972C8"/>
    <w:rsid w:val="00BA0CE5"/>
    <w:rsid w:val="00BA140D"/>
    <w:rsid w:val="00BA31F6"/>
    <w:rsid w:val="00BA4265"/>
    <w:rsid w:val="00BA50EF"/>
    <w:rsid w:val="00BA55A3"/>
    <w:rsid w:val="00BA5B73"/>
    <w:rsid w:val="00BA64D5"/>
    <w:rsid w:val="00BA6F47"/>
    <w:rsid w:val="00BA707E"/>
    <w:rsid w:val="00BB08A2"/>
    <w:rsid w:val="00BB10EF"/>
    <w:rsid w:val="00BB148F"/>
    <w:rsid w:val="00BB165A"/>
    <w:rsid w:val="00BB1BFB"/>
    <w:rsid w:val="00BB264E"/>
    <w:rsid w:val="00BB2D48"/>
    <w:rsid w:val="00BB387B"/>
    <w:rsid w:val="00BB39E0"/>
    <w:rsid w:val="00BB3B52"/>
    <w:rsid w:val="00BB66B0"/>
    <w:rsid w:val="00BC05AD"/>
    <w:rsid w:val="00BC234C"/>
    <w:rsid w:val="00BC26BA"/>
    <w:rsid w:val="00BC33F8"/>
    <w:rsid w:val="00BC4409"/>
    <w:rsid w:val="00BC4657"/>
    <w:rsid w:val="00BC4A5B"/>
    <w:rsid w:val="00BC54E7"/>
    <w:rsid w:val="00BC66EB"/>
    <w:rsid w:val="00BC770B"/>
    <w:rsid w:val="00BC7824"/>
    <w:rsid w:val="00BD20B5"/>
    <w:rsid w:val="00BD226D"/>
    <w:rsid w:val="00BD2ADE"/>
    <w:rsid w:val="00BD2CAC"/>
    <w:rsid w:val="00BD3002"/>
    <w:rsid w:val="00BD477C"/>
    <w:rsid w:val="00BD5700"/>
    <w:rsid w:val="00BD5A5D"/>
    <w:rsid w:val="00BD64B0"/>
    <w:rsid w:val="00BD707B"/>
    <w:rsid w:val="00BD7E7F"/>
    <w:rsid w:val="00BE0107"/>
    <w:rsid w:val="00BE0321"/>
    <w:rsid w:val="00BE0AAD"/>
    <w:rsid w:val="00BE0FAD"/>
    <w:rsid w:val="00BE17E0"/>
    <w:rsid w:val="00BE1806"/>
    <w:rsid w:val="00BE183E"/>
    <w:rsid w:val="00BE1ECD"/>
    <w:rsid w:val="00BE20D7"/>
    <w:rsid w:val="00BE4FB2"/>
    <w:rsid w:val="00BE5055"/>
    <w:rsid w:val="00BE506C"/>
    <w:rsid w:val="00BE5202"/>
    <w:rsid w:val="00BE52C9"/>
    <w:rsid w:val="00BE658E"/>
    <w:rsid w:val="00BF00D0"/>
    <w:rsid w:val="00BF0A93"/>
    <w:rsid w:val="00BF153D"/>
    <w:rsid w:val="00BF4290"/>
    <w:rsid w:val="00BF4624"/>
    <w:rsid w:val="00BF5FFF"/>
    <w:rsid w:val="00BF64C5"/>
    <w:rsid w:val="00BF690A"/>
    <w:rsid w:val="00BF70E5"/>
    <w:rsid w:val="00BF742C"/>
    <w:rsid w:val="00BF7760"/>
    <w:rsid w:val="00BF777C"/>
    <w:rsid w:val="00BF77CA"/>
    <w:rsid w:val="00C0001A"/>
    <w:rsid w:val="00C0099B"/>
    <w:rsid w:val="00C00FB6"/>
    <w:rsid w:val="00C010FB"/>
    <w:rsid w:val="00C027D8"/>
    <w:rsid w:val="00C032E7"/>
    <w:rsid w:val="00C048A0"/>
    <w:rsid w:val="00C04B32"/>
    <w:rsid w:val="00C057F5"/>
    <w:rsid w:val="00C05BEA"/>
    <w:rsid w:val="00C06257"/>
    <w:rsid w:val="00C06FE8"/>
    <w:rsid w:val="00C0745A"/>
    <w:rsid w:val="00C10248"/>
    <w:rsid w:val="00C1035B"/>
    <w:rsid w:val="00C11904"/>
    <w:rsid w:val="00C144AF"/>
    <w:rsid w:val="00C144D1"/>
    <w:rsid w:val="00C163F1"/>
    <w:rsid w:val="00C168D8"/>
    <w:rsid w:val="00C16CFB"/>
    <w:rsid w:val="00C172E5"/>
    <w:rsid w:val="00C1742B"/>
    <w:rsid w:val="00C1794C"/>
    <w:rsid w:val="00C20941"/>
    <w:rsid w:val="00C20F61"/>
    <w:rsid w:val="00C21640"/>
    <w:rsid w:val="00C21794"/>
    <w:rsid w:val="00C22B22"/>
    <w:rsid w:val="00C30081"/>
    <w:rsid w:val="00C303BD"/>
    <w:rsid w:val="00C33008"/>
    <w:rsid w:val="00C339DB"/>
    <w:rsid w:val="00C33A15"/>
    <w:rsid w:val="00C341A3"/>
    <w:rsid w:val="00C346FE"/>
    <w:rsid w:val="00C3566A"/>
    <w:rsid w:val="00C35719"/>
    <w:rsid w:val="00C35A14"/>
    <w:rsid w:val="00C35BD0"/>
    <w:rsid w:val="00C36FED"/>
    <w:rsid w:val="00C37CED"/>
    <w:rsid w:val="00C37E06"/>
    <w:rsid w:val="00C4098F"/>
    <w:rsid w:val="00C40BC9"/>
    <w:rsid w:val="00C40E36"/>
    <w:rsid w:val="00C41041"/>
    <w:rsid w:val="00C4161F"/>
    <w:rsid w:val="00C416B1"/>
    <w:rsid w:val="00C42397"/>
    <w:rsid w:val="00C43383"/>
    <w:rsid w:val="00C43CB8"/>
    <w:rsid w:val="00C444D5"/>
    <w:rsid w:val="00C44DB5"/>
    <w:rsid w:val="00C44FCF"/>
    <w:rsid w:val="00C46111"/>
    <w:rsid w:val="00C478F1"/>
    <w:rsid w:val="00C5088A"/>
    <w:rsid w:val="00C543FD"/>
    <w:rsid w:val="00C558C0"/>
    <w:rsid w:val="00C559A1"/>
    <w:rsid w:val="00C55B5E"/>
    <w:rsid w:val="00C55EDE"/>
    <w:rsid w:val="00C55F66"/>
    <w:rsid w:val="00C562AE"/>
    <w:rsid w:val="00C56300"/>
    <w:rsid w:val="00C60374"/>
    <w:rsid w:val="00C615BB"/>
    <w:rsid w:val="00C6221E"/>
    <w:rsid w:val="00C62A28"/>
    <w:rsid w:val="00C641ED"/>
    <w:rsid w:val="00C67302"/>
    <w:rsid w:val="00C67684"/>
    <w:rsid w:val="00C67704"/>
    <w:rsid w:val="00C7037C"/>
    <w:rsid w:val="00C70609"/>
    <w:rsid w:val="00C708D7"/>
    <w:rsid w:val="00C70B74"/>
    <w:rsid w:val="00C71DAF"/>
    <w:rsid w:val="00C72751"/>
    <w:rsid w:val="00C7344F"/>
    <w:rsid w:val="00C73C97"/>
    <w:rsid w:val="00C759DC"/>
    <w:rsid w:val="00C75B56"/>
    <w:rsid w:val="00C76176"/>
    <w:rsid w:val="00C76913"/>
    <w:rsid w:val="00C76AD2"/>
    <w:rsid w:val="00C76B6D"/>
    <w:rsid w:val="00C76FB2"/>
    <w:rsid w:val="00C7716C"/>
    <w:rsid w:val="00C8047A"/>
    <w:rsid w:val="00C808B3"/>
    <w:rsid w:val="00C8273D"/>
    <w:rsid w:val="00C83D59"/>
    <w:rsid w:val="00C859F1"/>
    <w:rsid w:val="00C85B31"/>
    <w:rsid w:val="00C85D3D"/>
    <w:rsid w:val="00C86EA8"/>
    <w:rsid w:val="00C90A32"/>
    <w:rsid w:val="00C90B57"/>
    <w:rsid w:val="00C912E9"/>
    <w:rsid w:val="00C914AE"/>
    <w:rsid w:val="00C93C68"/>
    <w:rsid w:val="00C96403"/>
    <w:rsid w:val="00C96404"/>
    <w:rsid w:val="00C96832"/>
    <w:rsid w:val="00C96C48"/>
    <w:rsid w:val="00C97DF2"/>
    <w:rsid w:val="00CA05DD"/>
    <w:rsid w:val="00CA0783"/>
    <w:rsid w:val="00CA0BDA"/>
    <w:rsid w:val="00CA2515"/>
    <w:rsid w:val="00CA2D6D"/>
    <w:rsid w:val="00CA2DEE"/>
    <w:rsid w:val="00CA3497"/>
    <w:rsid w:val="00CA7051"/>
    <w:rsid w:val="00CA75D0"/>
    <w:rsid w:val="00CA7ACE"/>
    <w:rsid w:val="00CB0019"/>
    <w:rsid w:val="00CB0742"/>
    <w:rsid w:val="00CB0827"/>
    <w:rsid w:val="00CB1718"/>
    <w:rsid w:val="00CB1727"/>
    <w:rsid w:val="00CB25DC"/>
    <w:rsid w:val="00CB2BB9"/>
    <w:rsid w:val="00CB2EE0"/>
    <w:rsid w:val="00CB338E"/>
    <w:rsid w:val="00CB3B9D"/>
    <w:rsid w:val="00CB42D5"/>
    <w:rsid w:val="00CB4E9C"/>
    <w:rsid w:val="00CB5FDD"/>
    <w:rsid w:val="00CB7751"/>
    <w:rsid w:val="00CC1119"/>
    <w:rsid w:val="00CC25FD"/>
    <w:rsid w:val="00CC29F7"/>
    <w:rsid w:val="00CC2DF6"/>
    <w:rsid w:val="00CC39E4"/>
    <w:rsid w:val="00CC4B40"/>
    <w:rsid w:val="00CC4B9B"/>
    <w:rsid w:val="00CC52B1"/>
    <w:rsid w:val="00CC616A"/>
    <w:rsid w:val="00CD05E0"/>
    <w:rsid w:val="00CD3373"/>
    <w:rsid w:val="00CD4208"/>
    <w:rsid w:val="00CD4BAA"/>
    <w:rsid w:val="00CD5EA8"/>
    <w:rsid w:val="00CD671B"/>
    <w:rsid w:val="00CD6A30"/>
    <w:rsid w:val="00CD79A1"/>
    <w:rsid w:val="00CD7AAA"/>
    <w:rsid w:val="00CD7B64"/>
    <w:rsid w:val="00CE151A"/>
    <w:rsid w:val="00CE2D02"/>
    <w:rsid w:val="00CE4941"/>
    <w:rsid w:val="00CE53F7"/>
    <w:rsid w:val="00CE57C0"/>
    <w:rsid w:val="00CE67E5"/>
    <w:rsid w:val="00CE6BE2"/>
    <w:rsid w:val="00CE6F3A"/>
    <w:rsid w:val="00CE77A6"/>
    <w:rsid w:val="00CE7E6C"/>
    <w:rsid w:val="00CF05B8"/>
    <w:rsid w:val="00CF173C"/>
    <w:rsid w:val="00CF2672"/>
    <w:rsid w:val="00CF279B"/>
    <w:rsid w:val="00CF3193"/>
    <w:rsid w:val="00CF3B84"/>
    <w:rsid w:val="00CF45E4"/>
    <w:rsid w:val="00CF7CF6"/>
    <w:rsid w:val="00D00BDE"/>
    <w:rsid w:val="00D012BF"/>
    <w:rsid w:val="00D01C27"/>
    <w:rsid w:val="00D01E2E"/>
    <w:rsid w:val="00D03225"/>
    <w:rsid w:val="00D03902"/>
    <w:rsid w:val="00D03977"/>
    <w:rsid w:val="00D05985"/>
    <w:rsid w:val="00D1021C"/>
    <w:rsid w:val="00D1098B"/>
    <w:rsid w:val="00D13BDA"/>
    <w:rsid w:val="00D13E93"/>
    <w:rsid w:val="00D14A66"/>
    <w:rsid w:val="00D15868"/>
    <w:rsid w:val="00D16601"/>
    <w:rsid w:val="00D1682B"/>
    <w:rsid w:val="00D16F3C"/>
    <w:rsid w:val="00D1714E"/>
    <w:rsid w:val="00D179F1"/>
    <w:rsid w:val="00D20AB8"/>
    <w:rsid w:val="00D20F68"/>
    <w:rsid w:val="00D21EF2"/>
    <w:rsid w:val="00D21FC5"/>
    <w:rsid w:val="00D22BD7"/>
    <w:rsid w:val="00D23159"/>
    <w:rsid w:val="00D23A97"/>
    <w:rsid w:val="00D23AAB"/>
    <w:rsid w:val="00D24725"/>
    <w:rsid w:val="00D2532D"/>
    <w:rsid w:val="00D2612C"/>
    <w:rsid w:val="00D26B46"/>
    <w:rsid w:val="00D26CBF"/>
    <w:rsid w:val="00D270A6"/>
    <w:rsid w:val="00D308D7"/>
    <w:rsid w:val="00D3097D"/>
    <w:rsid w:val="00D3194D"/>
    <w:rsid w:val="00D321F1"/>
    <w:rsid w:val="00D33385"/>
    <w:rsid w:val="00D334F8"/>
    <w:rsid w:val="00D33E44"/>
    <w:rsid w:val="00D34B95"/>
    <w:rsid w:val="00D375CC"/>
    <w:rsid w:val="00D428AA"/>
    <w:rsid w:val="00D428C7"/>
    <w:rsid w:val="00D42C7C"/>
    <w:rsid w:val="00D42E08"/>
    <w:rsid w:val="00D438FA"/>
    <w:rsid w:val="00D44CD0"/>
    <w:rsid w:val="00D460D6"/>
    <w:rsid w:val="00D46869"/>
    <w:rsid w:val="00D46F1B"/>
    <w:rsid w:val="00D47277"/>
    <w:rsid w:val="00D50550"/>
    <w:rsid w:val="00D51AE9"/>
    <w:rsid w:val="00D51E0A"/>
    <w:rsid w:val="00D5268A"/>
    <w:rsid w:val="00D528AF"/>
    <w:rsid w:val="00D52F1D"/>
    <w:rsid w:val="00D53B74"/>
    <w:rsid w:val="00D53E89"/>
    <w:rsid w:val="00D54414"/>
    <w:rsid w:val="00D5498D"/>
    <w:rsid w:val="00D54BA8"/>
    <w:rsid w:val="00D55CCC"/>
    <w:rsid w:val="00D565B6"/>
    <w:rsid w:val="00D5693E"/>
    <w:rsid w:val="00D57597"/>
    <w:rsid w:val="00D636FB"/>
    <w:rsid w:val="00D6645C"/>
    <w:rsid w:val="00D67089"/>
    <w:rsid w:val="00D67340"/>
    <w:rsid w:val="00D70590"/>
    <w:rsid w:val="00D71AA5"/>
    <w:rsid w:val="00D80AC1"/>
    <w:rsid w:val="00D80FD9"/>
    <w:rsid w:val="00D82613"/>
    <w:rsid w:val="00D83C5B"/>
    <w:rsid w:val="00D83DDE"/>
    <w:rsid w:val="00D83FF1"/>
    <w:rsid w:val="00D84088"/>
    <w:rsid w:val="00D84C85"/>
    <w:rsid w:val="00D853DC"/>
    <w:rsid w:val="00D85474"/>
    <w:rsid w:val="00D86AFE"/>
    <w:rsid w:val="00D86FE8"/>
    <w:rsid w:val="00D879FE"/>
    <w:rsid w:val="00D90AE4"/>
    <w:rsid w:val="00D90C42"/>
    <w:rsid w:val="00D910E1"/>
    <w:rsid w:val="00D913E3"/>
    <w:rsid w:val="00D92627"/>
    <w:rsid w:val="00D93A9B"/>
    <w:rsid w:val="00D93ACB"/>
    <w:rsid w:val="00D947D6"/>
    <w:rsid w:val="00DA0886"/>
    <w:rsid w:val="00DA0BFB"/>
    <w:rsid w:val="00DA1471"/>
    <w:rsid w:val="00DA1B45"/>
    <w:rsid w:val="00DA2611"/>
    <w:rsid w:val="00DA3AEA"/>
    <w:rsid w:val="00DA46C5"/>
    <w:rsid w:val="00DA5C8B"/>
    <w:rsid w:val="00DA618F"/>
    <w:rsid w:val="00DA70DA"/>
    <w:rsid w:val="00DA7F9C"/>
    <w:rsid w:val="00DB0388"/>
    <w:rsid w:val="00DB03A8"/>
    <w:rsid w:val="00DB0CC6"/>
    <w:rsid w:val="00DB10BB"/>
    <w:rsid w:val="00DB1CBC"/>
    <w:rsid w:val="00DB2DCD"/>
    <w:rsid w:val="00DB345E"/>
    <w:rsid w:val="00DB3C96"/>
    <w:rsid w:val="00DB5166"/>
    <w:rsid w:val="00DB5F62"/>
    <w:rsid w:val="00DB69B1"/>
    <w:rsid w:val="00DC0452"/>
    <w:rsid w:val="00DC16F1"/>
    <w:rsid w:val="00DC1E8D"/>
    <w:rsid w:val="00DC2CA3"/>
    <w:rsid w:val="00DC3877"/>
    <w:rsid w:val="00DC6000"/>
    <w:rsid w:val="00DC61DB"/>
    <w:rsid w:val="00DC69E8"/>
    <w:rsid w:val="00DC6E07"/>
    <w:rsid w:val="00DC6E74"/>
    <w:rsid w:val="00DC74ED"/>
    <w:rsid w:val="00DC76BF"/>
    <w:rsid w:val="00DC7BBE"/>
    <w:rsid w:val="00DD0075"/>
    <w:rsid w:val="00DD0339"/>
    <w:rsid w:val="00DD2469"/>
    <w:rsid w:val="00DD295A"/>
    <w:rsid w:val="00DD505B"/>
    <w:rsid w:val="00DD5E1C"/>
    <w:rsid w:val="00DD7140"/>
    <w:rsid w:val="00DD71B5"/>
    <w:rsid w:val="00DE0F3C"/>
    <w:rsid w:val="00DE21CD"/>
    <w:rsid w:val="00DE4425"/>
    <w:rsid w:val="00DE46E4"/>
    <w:rsid w:val="00DE5131"/>
    <w:rsid w:val="00DE6970"/>
    <w:rsid w:val="00DE7D5D"/>
    <w:rsid w:val="00DE7F18"/>
    <w:rsid w:val="00DF2699"/>
    <w:rsid w:val="00DF2F39"/>
    <w:rsid w:val="00DF3434"/>
    <w:rsid w:val="00DF46B1"/>
    <w:rsid w:val="00DF4B42"/>
    <w:rsid w:val="00DF597F"/>
    <w:rsid w:val="00DF6271"/>
    <w:rsid w:val="00DF76AA"/>
    <w:rsid w:val="00E00694"/>
    <w:rsid w:val="00E01020"/>
    <w:rsid w:val="00E014BA"/>
    <w:rsid w:val="00E017A9"/>
    <w:rsid w:val="00E01A57"/>
    <w:rsid w:val="00E01C90"/>
    <w:rsid w:val="00E01DE8"/>
    <w:rsid w:val="00E020F0"/>
    <w:rsid w:val="00E0286C"/>
    <w:rsid w:val="00E0383E"/>
    <w:rsid w:val="00E03A6E"/>
    <w:rsid w:val="00E03C17"/>
    <w:rsid w:val="00E0405E"/>
    <w:rsid w:val="00E047AD"/>
    <w:rsid w:val="00E05912"/>
    <w:rsid w:val="00E0686B"/>
    <w:rsid w:val="00E06F5B"/>
    <w:rsid w:val="00E13BAE"/>
    <w:rsid w:val="00E15542"/>
    <w:rsid w:val="00E156DB"/>
    <w:rsid w:val="00E16597"/>
    <w:rsid w:val="00E16F12"/>
    <w:rsid w:val="00E16FCA"/>
    <w:rsid w:val="00E170D6"/>
    <w:rsid w:val="00E17822"/>
    <w:rsid w:val="00E2020C"/>
    <w:rsid w:val="00E206CE"/>
    <w:rsid w:val="00E22A05"/>
    <w:rsid w:val="00E22F07"/>
    <w:rsid w:val="00E25A3F"/>
    <w:rsid w:val="00E25B9C"/>
    <w:rsid w:val="00E26BC5"/>
    <w:rsid w:val="00E26C8F"/>
    <w:rsid w:val="00E30938"/>
    <w:rsid w:val="00E3094E"/>
    <w:rsid w:val="00E30BA7"/>
    <w:rsid w:val="00E318DD"/>
    <w:rsid w:val="00E32653"/>
    <w:rsid w:val="00E32A00"/>
    <w:rsid w:val="00E3352C"/>
    <w:rsid w:val="00E33AF7"/>
    <w:rsid w:val="00E33BD6"/>
    <w:rsid w:val="00E36CD0"/>
    <w:rsid w:val="00E379F2"/>
    <w:rsid w:val="00E37C0F"/>
    <w:rsid w:val="00E40119"/>
    <w:rsid w:val="00E41005"/>
    <w:rsid w:val="00E41B03"/>
    <w:rsid w:val="00E4235C"/>
    <w:rsid w:val="00E42B6E"/>
    <w:rsid w:val="00E430D9"/>
    <w:rsid w:val="00E444D7"/>
    <w:rsid w:val="00E447B5"/>
    <w:rsid w:val="00E44D26"/>
    <w:rsid w:val="00E45614"/>
    <w:rsid w:val="00E46047"/>
    <w:rsid w:val="00E472FA"/>
    <w:rsid w:val="00E47D1C"/>
    <w:rsid w:val="00E50B69"/>
    <w:rsid w:val="00E50CB5"/>
    <w:rsid w:val="00E5135F"/>
    <w:rsid w:val="00E52A07"/>
    <w:rsid w:val="00E53439"/>
    <w:rsid w:val="00E53AF3"/>
    <w:rsid w:val="00E54192"/>
    <w:rsid w:val="00E5630D"/>
    <w:rsid w:val="00E576FE"/>
    <w:rsid w:val="00E60807"/>
    <w:rsid w:val="00E60847"/>
    <w:rsid w:val="00E60A71"/>
    <w:rsid w:val="00E60F58"/>
    <w:rsid w:val="00E610AC"/>
    <w:rsid w:val="00E61C6E"/>
    <w:rsid w:val="00E64683"/>
    <w:rsid w:val="00E6682E"/>
    <w:rsid w:val="00E70F03"/>
    <w:rsid w:val="00E71248"/>
    <w:rsid w:val="00E732D3"/>
    <w:rsid w:val="00E734A3"/>
    <w:rsid w:val="00E738BA"/>
    <w:rsid w:val="00E753EB"/>
    <w:rsid w:val="00E771EF"/>
    <w:rsid w:val="00E77AE7"/>
    <w:rsid w:val="00E77D30"/>
    <w:rsid w:val="00E77F7A"/>
    <w:rsid w:val="00E81FDF"/>
    <w:rsid w:val="00E82014"/>
    <w:rsid w:val="00E82189"/>
    <w:rsid w:val="00E82598"/>
    <w:rsid w:val="00E83241"/>
    <w:rsid w:val="00E83FD0"/>
    <w:rsid w:val="00E84015"/>
    <w:rsid w:val="00E84F6A"/>
    <w:rsid w:val="00E85BE2"/>
    <w:rsid w:val="00E8647B"/>
    <w:rsid w:val="00E86930"/>
    <w:rsid w:val="00E87250"/>
    <w:rsid w:val="00E87AFD"/>
    <w:rsid w:val="00E87C4A"/>
    <w:rsid w:val="00E90ADC"/>
    <w:rsid w:val="00E90B17"/>
    <w:rsid w:val="00E91137"/>
    <w:rsid w:val="00E92179"/>
    <w:rsid w:val="00E9271B"/>
    <w:rsid w:val="00E927AC"/>
    <w:rsid w:val="00E931A0"/>
    <w:rsid w:val="00E93869"/>
    <w:rsid w:val="00E945BA"/>
    <w:rsid w:val="00E9662E"/>
    <w:rsid w:val="00E97308"/>
    <w:rsid w:val="00EA0B0F"/>
    <w:rsid w:val="00EA1A33"/>
    <w:rsid w:val="00EA2033"/>
    <w:rsid w:val="00EA24C3"/>
    <w:rsid w:val="00EA275F"/>
    <w:rsid w:val="00EA3074"/>
    <w:rsid w:val="00EA39FD"/>
    <w:rsid w:val="00EA3C5A"/>
    <w:rsid w:val="00EA453E"/>
    <w:rsid w:val="00EA4A22"/>
    <w:rsid w:val="00EA4B00"/>
    <w:rsid w:val="00EA55D6"/>
    <w:rsid w:val="00EA6685"/>
    <w:rsid w:val="00EA6FCC"/>
    <w:rsid w:val="00EB057E"/>
    <w:rsid w:val="00EB1107"/>
    <w:rsid w:val="00EB18D7"/>
    <w:rsid w:val="00EB2ACC"/>
    <w:rsid w:val="00EB2EBB"/>
    <w:rsid w:val="00EB6E90"/>
    <w:rsid w:val="00EB6FCF"/>
    <w:rsid w:val="00EB7F30"/>
    <w:rsid w:val="00EC05AF"/>
    <w:rsid w:val="00EC0954"/>
    <w:rsid w:val="00EC12A1"/>
    <w:rsid w:val="00EC1600"/>
    <w:rsid w:val="00EC3ED7"/>
    <w:rsid w:val="00EC4D8E"/>
    <w:rsid w:val="00EC60F6"/>
    <w:rsid w:val="00EC665B"/>
    <w:rsid w:val="00EC6F85"/>
    <w:rsid w:val="00EC76A0"/>
    <w:rsid w:val="00ED1F55"/>
    <w:rsid w:val="00ED21C1"/>
    <w:rsid w:val="00ED4E89"/>
    <w:rsid w:val="00ED4F52"/>
    <w:rsid w:val="00ED5042"/>
    <w:rsid w:val="00ED527E"/>
    <w:rsid w:val="00ED61E9"/>
    <w:rsid w:val="00ED6BAE"/>
    <w:rsid w:val="00ED74C8"/>
    <w:rsid w:val="00ED75F7"/>
    <w:rsid w:val="00EE00E2"/>
    <w:rsid w:val="00EE0523"/>
    <w:rsid w:val="00EE2372"/>
    <w:rsid w:val="00EE2AA8"/>
    <w:rsid w:val="00EE39F6"/>
    <w:rsid w:val="00EE3EBD"/>
    <w:rsid w:val="00EF1574"/>
    <w:rsid w:val="00EF1597"/>
    <w:rsid w:val="00EF1C81"/>
    <w:rsid w:val="00EF1D45"/>
    <w:rsid w:val="00EF1F7F"/>
    <w:rsid w:val="00EF2121"/>
    <w:rsid w:val="00EF2D25"/>
    <w:rsid w:val="00EF30EF"/>
    <w:rsid w:val="00EF33CF"/>
    <w:rsid w:val="00EF38DB"/>
    <w:rsid w:val="00EF4144"/>
    <w:rsid w:val="00EF6226"/>
    <w:rsid w:val="00EF7E29"/>
    <w:rsid w:val="00F0177F"/>
    <w:rsid w:val="00F028DD"/>
    <w:rsid w:val="00F033F6"/>
    <w:rsid w:val="00F03767"/>
    <w:rsid w:val="00F05AAA"/>
    <w:rsid w:val="00F05E26"/>
    <w:rsid w:val="00F06178"/>
    <w:rsid w:val="00F11746"/>
    <w:rsid w:val="00F11B59"/>
    <w:rsid w:val="00F12735"/>
    <w:rsid w:val="00F129AC"/>
    <w:rsid w:val="00F12CF3"/>
    <w:rsid w:val="00F12EE6"/>
    <w:rsid w:val="00F1323A"/>
    <w:rsid w:val="00F13A63"/>
    <w:rsid w:val="00F156DC"/>
    <w:rsid w:val="00F16C4D"/>
    <w:rsid w:val="00F20D5B"/>
    <w:rsid w:val="00F224F6"/>
    <w:rsid w:val="00F22672"/>
    <w:rsid w:val="00F2275E"/>
    <w:rsid w:val="00F22FFC"/>
    <w:rsid w:val="00F23627"/>
    <w:rsid w:val="00F243D3"/>
    <w:rsid w:val="00F256BE"/>
    <w:rsid w:val="00F2639C"/>
    <w:rsid w:val="00F278F9"/>
    <w:rsid w:val="00F306E9"/>
    <w:rsid w:val="00F31168"/>
    <w:rsid w:val="00F31217"/>
    <w:rsid w:val="00F313FE"/>
    <w:rsid w:val="00F32354"/>
    <w:rsid w:val="00F3264D"/>
    <w:rsid w:val="00F328C1"/>
    <w:rsid w:val="00F358ED"/>
    <w:rsid w:val="00F367EC"/>
    <w:rsid w:val="00F37F61"/>
    <w:rsid w:val="00F400F3"/>
    <w:rsid w:val="00F40543"/>
    <w:rsid w:val="00F413D5"/>
    <w:rsid w:val="00F41A7A"/>
    <w:rsid w:val="00F42557"/>
    <w:rsid w:val="00F43E0E"/>
    <w:rsid w:val="00F45E2C"/>
    <w:rsid w:val="00F478E0"/>
    <w:rsid w:val="00F47D3C"/>
    <w:rsid w:val="00F5008C"/>
    <w:rsid w:val="00F51B35"/>
    <w:rsid w:val="00F52581"/>
    <w:rsid w:val="00F5371F"/>
    <w:rsid w:val="00F537BE"/>
    <w:rsid w:val="00F53FB3"/>
    <w:rsid w:val="00F5446F"/>
    <w:rsid w:val="00F54EDF"/>
    <w:rsid w:val="00F558FE"/>
    <w:rsid w:val="00F5733F"/>
    <w:rsid w:val="00F609F1"/>
    <w:rsid w:val="00F60F81"/>
    <w:rsid w:val="00F6179C"/>
    <w:rsid w:val="00F61B46"/>
    <w:rsid w:val="00F61FB5"/>
    <w:rsid w:val="00F6256E"/>
    <w:rsid w:val="00F62F32"/>
    <w:rsid w:val="00F643AC"/>
    <w:rsid w:val="00F64EBF"/>
    <w:rsid w:val="00F6536D"/>
    <w:rsid w:val="00F66454"/>
    <w:rsid w:val="00F66F84"/>
    <w:rsid w:val="00F67610"/>
    <w:rsid w:val="00F705D9"/>
    <w:rsid w:val="00F71374"/>
    <w:rsid w:val="00F71C73"/>
    <w:rsid w:val="00F7224F"/>
    <w:rsid w:val="00F73DB0"/>
    <w:rsid w:val="00F73F00"/>
    <w:rsid w:val="00F74802"/>
    <w:rsid w:val="00F74822"/>
    <w:rsid w:val="00F7529C"/>
    <w:rsid w:val="00F762CD"/>
    <w:rsid w:val="00F76709"/>
    <w:rsid w:val="00F8097E"/>
    <w:rsid w:val="00F80B6B"/>
    <w:rsid w:val="00F83DD6"/>
    <w:rsid w:val="00F83F2F"/>
    <w:rsid w:val="00F85593"/>
    <w:rsid w:val="00F87135"/>
    <w:rsid w:val="00F91E85"/>
    <w:rsid w:val="00F938E9"/>
    <w:rsid w:val="00F94C3B"/>
    <w:rsid w:val="00F957FF"/>
    <w:rsid w:val="00F9593D"/>
    <w:rsid w:val="00F95D11"/>
    <w:rsid w:val="00F960F2"/>
    <w:rsid w:val="00F96918"/>
    <w:rsid w:val="00F97037"/>
    <w:rsid w:val="00F972F5"/>
    <w:rsid w:val="00F977F9"/>
    <w:rsid w:val="00F97EE5"/>
    <w:rsid w:val="00F97FC7"/>
    <w:rsid w:val="00FA0CD7"/>
    <w:rsid w:val="00FA1018"/>
    <w:rsid w:val="00FA174C"/>
    <w:rsid w:val="00FA23BD"/>
    <w:rsid w:val="00FA273F"/>
    <w:rsid w:val="00FA2B9E"/>
    <w:rsid w:val="00FA3097"/>
    <w:rsid w:val="00FA3733"/>
    <w:rsid w:val="00FA4F0E"/>
    <w:rsid w:val="00FA51CC"/>
    <w:rsid w:val="00FA6842"/>
    <w:rsid w:val="00FA6D0E"/>
    <w:rsid w:val="00FA6F86"/>
    <w:rsid w:val="00FA7060"/>
    <w:rsid w:val="00FA7600"/>
    <w:rsid w:val="00FB019B"/>
    <w:rsid w:val="00FB01FA"/>
    <w:rsid w:val="00FB100C"/>
    <w:rsid w:val="00FB107A"/>
    <w:rsid w:val="00FB1E2C"/>
    <w:rsid w:val="00FB217F"/>
    <w:rsid w:val="00FB253A"/>
    <w:rsid w:val="00FB2D8A"/>
    <w:rsid w:val="00FB2DD6"/>
    <w:rsid w:val="00FB4659"/>
    <w:rsid w:val="00FB4F49"/>
    <w:rsid w:val="00FB51AB"/>
    <w:rsid w:val="00FB6C11"/>
    <w:rsid w:val="00FB7F9E"/>
    <w:rsid w:val="00FC0712"/>
    <w:rsid w:val="00FC0A2D"/>
    <w:rsid w:val="00FC2A3A"/>
    <w:rsid w:val="00FC345A"/>
    <w:rsid w:val="00FC641A"/>
    <w:rsid w:val="00FC74B4"/>
    <w:rsid w:val="00FC7B90"/>
    <w:rsid w:val="00FC7BB6"/>
    <w:rsid w:val="00FD05FB"/>
    <w:rsid w:val="00FD1209"/>
    <w:rsid w:val="00FD1938"/>
    <w:rsid w:val="00FD1BD9"/>
    <w:rsid w:val="00FD20F5"/>
    <w:rsid w:val="00FD41CB"/>
    <w:rsid w:val="00FD478F"/>
    <w:rsid w:val="00FD62BC"/>
    <w:rsid w:val="00FD6923"/>
    <w:rsid w:val="00FD6FD6"/>
    <w:rsid w:val="00FE0C28"/>
    <w:rsid w:val="00FE0E3F"/>
    <w:rsid w:val="00FE10B3"/>
    <w:rsid w:val="00FE1C42"/>
    <w:rsid w:val="00FE246A"/>
    <w:rsid w:val="00FE7D9D"/>
    <w:rsid w:val="00FF09F6"/>
    <w:rsid w:val="00FF14DE"/>
    <w:rsid w:val="00FF14E6"/>
    <w:rsid w:val="00FF1722"/>
    <w:rsid w:val="00FF1A29"/>
    <w:rsid w:val="00FF242A"/>
    <w:rsid w:val="00FF2B23"/>
    <w:rsid w:val="00FF3527"/>
    <w:rsid w:val="00FF515F"/>
    <w:rsid w:val="00FF528B"/>
    <w:rsid w:val="00FF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05E9F"/>
  <w15:chartTrackingRefBased/>
  <w15:docId w15:val="{47DFF50C-C836-4F49-88AB-C8FF6228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E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4982"/>
    <w:pPr>
      <w:keepNext/>
      <w:keepLines/>
      <w:numPr>
        <w:numId w:val="1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982"/>
    <w:pPr>
      <w:keepNext/>
      <w:keepLines/>
      <w:numPr>
        <w:ilvl w:val="1"/>
        <w:numId w:val="1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982"/>
    <w:pPr>
      <w:keepNext/>
      <w:keepLines/>
      <w:numPr>
        <w:ilvl w:val="2"/>
        <w:numId w:val="1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498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8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8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8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8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8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4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82"/>
    <w:rPr>
      <w:rFonts w:eastAsiaTheme="majorEastAsia" w:cstheme="majorBidi"/>
      <w:color w:val="272727" w:themeColor="text1" w:themeTint="D8"/>
    </w:rPr>
  </w:style>
  <w:style w:type="paragraph" w:styleId="Title">
    <w:name w:val="Title"/>
    <w:basedOn w:val="Normal"/>
    <w:next w:val="Normal"/>
    <w:link w:val="TitleChar"/>
    <w:uiPriority w:val="10"/>
    <w:qFormat/>
    <w:rsid w:val="006449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4982"/>
    <w:rPr>
      <w:i/>
      <w:iCs/>
      <w:color w:val="404040" w:themeColor="text1" w:themeTint="BF"/>
    </w:rPr>
  </w:style>
  <w:style w:type="paragraph" w:styleId="ListParagraph">
    <w:name w:val="List Paragraph"/>
    <w:basedOn w:val="Normal"/>
    <w:uiPriority w:val="34"/>
    <w:qFormat/>
    <w:rsid w:val="00644982"/>
    <w:pPr>
      <w:ind w:left="720"/>
      <w:contextualSpacing/>
    </w:pPr>
  </w:style>
  <w:style w:type="character" w:styleId="IntenseEmphasis">
    <w:name w:val="Intense Emphasis"/>
    <w:basedOn w:val="DefaultParagraphFont"/>
    <w:uiPriority w:val="21"/>
    <w:qFormat/>
    <w:rsid w:val="00644982"/>
    <w:rPr>
      <w:i/>
      <w:iCs/>
      <w:color w:val="0F4761" w:themeColor="accent1" w:themeShade="BF"/>
    </w:rPr>
  </w:style>
  <w:style w:type="paragraph" w:styleId="IntenseQuote">
    <w:name w:val="Intense Quote"/>
    <w:basedOn w:val="Normal"/>
    <w:next w:val="Normal"/>
    <w:link w:val="IntenseQuoteChar"/>
    <w:uiPriority w:val="30"/>
    <w:qFormat/>
    <w:rsid w:val="00644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982"/>
    <w:rPr>
      <w:i/>
      <w:iCs/>
      <w:color w:val="0F4761" w:themeColor="accent1" w:themeShade="BF"/>
    </w:rPr>
  </w:style>
  <w:style w:type="character" w:styleId="IntenseReference">
    <w:name w:val="Intense Reference"/>
    <w:basedOn w:val="DefaultParagraphFont"/>
    <w:uiPriority w:val="32"/>
    <w:qFormat/>
    <w:rsid w:val="00644982"/>
    <w:rPr>
      <w:b/>
      <w:bCs/>
      <w:smallCaps/>
      <w:color w:val="0F4761" w:themeColor="accent1" w:themeShade="BF"/>
      <w:spacing w:val="5"/>
    </w:rPr>
  </w:style>
  <w:style w:type="paragraph" w:styleId="Revision">
    <w:name w:val="Revision"/>
    <w:hidden/>
    <w:uiPriority w:val="99"/>
    <w:semiHidden/>
    <w:rsid w:val="00B60065"/>
  </w:style>
  <w:style w:type="paragraph" w:styleId="FootnoteText">
    <w:name w:val="footnote text"/>
    <w:basedOn w:val="Normal"/>
    <w:link w:val="FootnoteTextChar"/>
    <w:uiPriority w:val="99"/>
    <w:unhideWhenUsed/>
    <w:rsid w:val="0079029E"/>
    <w:rPr>
      <w:sz w:val="20"/>
      <w:szCs w:val="20"/>
    </w:rPr>
  </w:style>
  <w:style w:type="character" w:customStyle="1" w:styleId="FootnoteTextChar">
    <w:name w:val="Footnote Text Char"/>
    <w:basedOn w:val="DefaultParagraphFont"/>
    <w:link w:val="FootnoteText"/>
    <w:uiPriority w:val="99"/>
    <w:rsid w:val="00B60065"/>
    <w:rPr>
      <w:sz w:val="20"/>
      <w:szCs w:val="20"/>
    </w:rPr>
  </w:style>
  <w:style w:type="character" w:styleId="FootnoteReference">
    <w:name w:val="footnote reference"/>
    <w:basedOn w:val="DefaultParagraphFont"/>
    <w:uiPriority w:val="99"/>
    <w:semiHidden/>
    <w:unhideWhenUsed/>
    <w:rsid w:val="0079029E"/>
    <w:rPr>
      <w:vertAlign w:val="superscript"/>
    </w:rPr>
  </w:style>
  <w:style w:type="paragraph" w:styleId="NormalWeb">
    <w:name w:val="Normal (Web)"/>
    <w:basedOn w:val="Normal"/>
    <w:uiPriority w:val="99"/>
    <w:semiHidden/>
    <w:unhideWhenUsed/>
    <w:rsid w:val="0008382C"/>
  </w:style>
  <w:style w:type="character" w:styleId="Hyperlink">
    <w:name w:val="Hyperlink"/>
    <w:basedOn w:val="DefaultParagraphFont"/>
    <w:uiPriority w:val="99"/>
    <w:unhideWhenUsed/>
    <w:rsid w:val="00C96403"/>
    <w:rPr>
      <w:color w:val="467886" w:themeColor="hyperlink"/>
      <w:u w:val="single"/>
    </w:rPr>
  </w:style>
  <w:style w:type="character" w:styleId="UnresolvedMention">
    <w:name w:val="Unresolved Mention"/>
    <w:basedOn w:val="DefaultParagraphFont"/>
    <w:uiPriority w:val="99"/>
    <w:semiHidden/>
    <w:unhideWhenUsed/>
    <w:rsid w:val="00C96403"/>
    <w:rPr>
      <w:color w:val="605E5C"/>
      <w:shd w:val="clear" w:color="auto" w:fill="E1DFDD"/>
    </w:rPr>
  </w:style>
  <w:style w:type="character" w:styleId="CommentReference">
    <w:name w:val="annotation reference"/>
    <w:basedOn w:val="DefaultParagraphFont"/>
    <w:uiPriority w:val="99"/>
    <w:semiHidden/>
    <w:unhideWhenUsed/>
    <w:rsid w:val="00CA2D6D"/>
    <w:rPr>
      <w:sz w:val="16"/>
      <w:szCs w:val="16"/>
    </w:rPr>
  </w:style>
  <w:style w:type="paragraph" w:styleId="CommentText">
    <w:name w:val="annotation text"/>
    <w:basedOn w:val="Normal"/>
    <w:link w:val="CommentTextChar"/>
    <w:uiPriority w:val="99"/>
    <w:unhideWhenUsed/>
    <w:rsid w:val="00CA2D6D"/>
    <w:rPr>
      <w:sz w:val="20"/>
      <w:szCs w:val="20"/>
    </w:rPr>
  </w:style>
  <w:style w:type="character" w:customStyle="1" w:styleId="CommentTextChar">
    <w:name w:val="Comment Text Char"/>
    <w:basedOn w:val="DefaultParagraphFont"/>
    <w:link w:val="CommentText"/>
    <w:uiPriority w:val="99"/>
    <w:rsid w:val="00CA2D6D"/>
    <w:rPr>
      <w:sz w:val="20"/>
      <w:szCs w:val="20"/>
    </w:rPr>
  </w:style>
  <w:style w:type="paragraph" w:styleId="CommentSubject">
    <w:name w:val="annotation subject"/>
    <w:basedOn w:val="CommentText"/>
    <w:next w:val="CommentText"/>
    <w:link w:val="CommentSubjectChar"/>
    <w:uiPriority w:val="99"/>
    <w:semiHidden/>
    <w:unhideWhenUsed/>
    <w:rsid w:val="00CA2D6D"/>
    <w:rPr>
      <w:b/>
      <w:bCs/>
    </w:rPr>
  </w:style>
  <w:style w:type="character" w:customStyle="1" w:styleId="CommentSubjectChar">
    <w:name w:val="Comment Subject Char"/>
    <w:basedOn w:val="CommentTextChar"/>
    <w:link w:val="CommentSubject"/>
    <w:uiPriority w:val="99"/>
    <w:semiHidden/>
    <w:rsid w:val="00CA2D6D"/>
    <w:rPr>
      <w:b/>
      <w:bCs/>
      <w:sz w:val="20"/>
      <w:szCs w:val="20"/>
    </w:rPr>
  </w:style>
  <w:style w:type="paragraph" w:styleId="Header">
    <w:name w:val="header"/>
    <w:basedOn w:val="Normal"/>
    <w:link w:val="HeaderChar"/>
    <w:uiPriority w:val="99"/>
    <w:unhideWhenUsed/>
    <w:rsid w:val="00415AD3"/>
    <w:pPr>
      <w:tabs>
        <w:tab w:val="center" w:pos="4680"/>
        <w:tab w:val="right" w:pos="9360"/>
      </w:tabs>
    </w:pPr>
  </w:style>
  <w:style w:type="character" w:customStyle="1" w:styleId="HeaderChar">
    <w:name w:val="Header Char"/>
    <w:basedOn w:val="DefaultParagraphFont"/>
    <w:link w:val="Header"/>
    <w:uiPriority w:val="99"/>
    <w:rsid w:val="00415AD3"/>
  </w:style>
  <w:style w:type="paragraph" w:styleId="Footer">
    <w:name w:val="footer"/>
    <w:basedOn w:val="Normal"/>
    <w:link w:val="FooterChar"/>
    <w:uiPriority w:val="99"/>
    <w:unhideWhenUsed/>
    <w:rsid w:val="00415AD3"/>
    <w:pPr>
      <w:tabs>
        <w:tab w:val="center" w:pos="4680"/>
        <w:tab w:val="right" w:pos="9360"/>
      </w:tabs>
    </w:pPr>
  </w:style>
  <w:style w:type="character" w:customStyle="1" w:styleId="FooterChar">
    <w:name w:val="Footer Char"/>
    <w:basedOn w:val="DefaultParagraphFont"/>
    <w:link w:val="Footer"/>
    <w:uiPriority w:val="99"/>
    <w:rsid w:val="00415AD3"/>
  </w:style>
  <w:style w:type="character" w:styleId="FollowedHyperlink">
    <w:name w:val="FollowedHyperlink"/>
    <w:basedOn w:val="DefaultParagraphFont"/>
    <w:uiPriority w:val="99"/>
    <w:semiHidden/>
    <w:unhideWhenUsed/>
    <w:rsid w:val="00B41952"/>
    <w:rPr>
      <w:color w:val="96607D" w:themeColor="followedHyperlink"/>
      <w:u w:val="single"/>
    </w:rPr>
  </w:style>
  <w:style w:type="character" w:styleId="PageNumber">
    <w:name w:val="page number"/>
    <w:basedOn w:val="DefaultParagraphFont"/>
    <w:uiPriority w:val="99"/>
    <w:semiHidden/>
    <w:unhideWhenUsed/>
    <w:rsid w:val="00177DF7"/>
  </w:style>
  <w:style w:type="paragraph" w:styleId="BodyText">
    <w:name w:val="Body Text"/>
    <w:basedOn w:val="Normal"/>
    <w:link w:val="BodyTextChar"/>
    <w:uiPriority w:val="99"/>
    <w:unhideWhenUsed/>
    <w:rsid w:val="006E3E0C"/>
    <w:pPr>
      <w:spacing w:after="120"/>
    </w:pPr>
  </w:style>
  <w:style w:type="character" w:customStyle="1" w:styleId="BodyTextChar">
    <w:name w:val="Body Text Char"/>
    <w:basedOn w:val="DefaultParagraphFont"/>
    <w:link w:val="BodyText"/>
    <w:uiPriority w:val="99"/>
    <w:rsid w:val="006E3E0C"/>
  </w:style>
  <w:style w:type="paragraph" w:styleId="BodyTextFirstIndent">
    <w:name w:val="Body Text First Indent"/>
    <w:basedOn w:val="BodyText"/>
    <w:link w:val="BodyTextFirstIndentChar"/>
    <w:uiPriority w:val="99"/>
    <w:unhideWhenUsed/>
    <w:rsid w:val="006E3E0C"/>
    <w:pPr>
      <w:spacing w:after="0"/>
      <w:ind w:firstLine="360"/>
    </w:pPr>
  </w:style>
  <w:style w:type="character" w:customStyle="1" w:styleId="BodyTextFirstIndentChar">
    <w:name w:val="Body Text First Indent Char"/>
    <w:basedOn w:val="BodyTextChar"/>
    <w:link w:val="BodyTextFirstIndent"/>
    <w:uiPriority w:val="99"/>
    <w:rsid w:val="006E3E0C"/>
  </w:style>
  <w:style w:type="paragraph" w:styleId="NoSpacing">
    <w:name w:val="No Spacing"/>
    <w:uiPriority w:val="1"/>
    <w:qFormat/>
    <w:rsid w:val="0067698C"/>
    <w:pPr>
      <w:ind w:left="10" w:hanging="10"/>
    </w:pPr>
    <w:rPr>
      <w:rFonts w:ascii="Times New Roman" w:eastAsia="Times New Roman" w:hAnsi="Times New Roman" w:cs="Times New Roman"/>
      <w:b/>
      <w:color w:val="000000"/>
      <w:sz w:val="12"/>
      <w:lang w:bidi="en-US"/>
    </w:rPr>
  </w:style>
  <w:style w:type="paragraph" w:styleId="EndnoteText">
    <w:name w:val="endnote text"/>
    <w:basedOn w:val="Normal"/>
    <w:link w:val="EndnoteTextChar"/>
    <w:uiPriority w:val="99"/>
    <w:semiHidden/>
    <w:unhideWhenUsed/>
    <w:rsid w:val="0079029E"/>
    <w:rPr>
      <w:sz w:val="20"/>
      <w:szCs w:val="20"/>
    </w:rPr>
  </w:style>
  <w:style w:type="character" w:customStyle="1" w:styleId="EndnoteTextChar">
    <w:name w:val="Endnote Text Char"/>
    <w:basedOn w:val="DefaultParagraphFont"/>
    <w:link w:val="EndnoteText"/>
    <w:uiPriority w:val="99"/>
    <w:semiHidden/>
    <w:rsid w:val="0079029E"/>
    <w:rPr>
      <w:sz w:val="20"/>
      <w:szCs w:val="20"/>
    </w:rPr>
  </w:style>
  <w:style w:type="character" w:styleId="EndnoteReference">
    <w:name w:val="endnote reference"/>
    <w:basedOn w:val="DefaultParagraphFont"/>
    <w:uiPriority w:val="99"/>
    <w:semiHidden/>
    <w:unhideWhenUsed/>
    <w:rsid w:val="0079029E"/>
    <w:rPr>
      <w:vertAlign w:val="superscript"/>
    </w:rPr>
  </w:style>
  <w:style w:type="table" w:styleId="LightGrid-Accent6">
    <w:name w:val="Light Grid Accent 6"/>
    <w:basedOn w:val="TableNormal"/>
    <w:uiPriority w:val="62"/>
    <w:semiHidden/>
    <w:unhideWhenUsed/>
    <w:rsid w:val="0079029E"/>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customStyle="1" w:styleId="ng-star-inserted">
    <w:name w:val="ng-star-inserted"/>
    <w:basedOn w:val="DefaultParagraphFont"/>
    <w:rsid w:val="00CD5EA8"/>
  </w:style>
  <w:style w:type="paragraph" w:styleId="BodyTextIndent">
    <w:name w:val="Body Text Indent"/>
    <w:basedOn w:val="Normal"/>
    <w:link w:val="BodyTextIndentChar"/>
    <w:uiPriority w:val="99"/>
    <w:unhideWhenUsed/>
    <w:rsid w:val="00D83DDE"/>
    <w:pPr>
      <w:spacing w:after="120"/>
      <w:ind w:left="360"/>
    </w:pPr>
  </w:style>
  <w:style w:type="character" w:customStyle="1" w:styleId="BodyTextIndentChar">
    <w:name w:val="Body Text Indent Char"/>
    <w:basedOn w:val="DefaultParagraphFont"/>
    <w:link w:val="BodyTextIndent"/>
    <w:uiPriority w:val="99"/>
    <w:rsid w:val="00D83DDE"/>
    <w:rPr>
      <w:rFonts w:ascii="Times New Roman" w:eastAsia="Times New Roman" w:hAnsi="Times New Roman" w:cs="Times New Roman"/>
      <w:kern w:val="0"/>
      <w14:ligatures w14:val="none"/>
    </w:rPr>
  </w:style>
  <w:style w:type="paragraph" w:styleId="BodyTextFirstIndent2">
    <w:name w:val="Body Text First Indent 2"/>
    <w:basedOn w:val="BodyTextIndent"/>
    <w:link w:val="BodyTextFirstIndent2Char"/>
    <w:uiPriority w:val="99"/>
    <w:unhideWhenUsed/>
    <w:rsid w:val="00D83DDE"/>
    <w:pPr>
      <w:spacing w:after="0"/>
      <w:ind w:firstLine="360"/>
    </w:pPr>
  </w:style>
  <w:style w:type="character" w:customStyle="1" w:styleId="BodyTextFirstIndent2Char">
    <w:name w:val="Body Text First Indent 2 Char"/>
    <w:basedOn w:val="BodyTextIndentChar"/>
    <w:link w:val="BodyTextFirstIndent2"/>
    <w:uiPriority w:val="99"/>
    <w:rsid w:val="00D83DD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6629">
      <w:bodyDiv w:val="1"/>
      <w:marLeft w:val="0"/>
      <w:marRight w:val="0"/>
      <w:marTop w:val="0"/>
      <w:marBottom w:val="0"/>
      <w:divBdr>
        <w:top w:val="none" w:sz="0" w:space="0" w:color="auto"/>
        <w:left w:val="none" w:sz="0" w:space="0" w:color="auto"/>
        <w:bottom w:val="none" w:sz="0" w:space="0" w:color="auto"/>
        <w:right w:val="none" w:sz="0" w:space="0" w:color="auto"/>
      </w:divBdr>
    </w:div>
    <w:div w:id="11297854">
      <w:bodyDiv w:val="1"/>
      <w:marLeft w:val="0"/>
      <w:marRight w:val="0"/>
      <w:marTop w:val="0"/>
      <w:marBottom w:val="0"/>
      <w:divBdr>
        <w:top w:val="none" w:sz="0" w:space="0" w:color="auto"/>
        <w:left w:val="none" w:sz="0" w:space="0" w:color="auto"/>
        <w:bottom w:val="none" w:sz="0" w:space="0" w:color="auto"/>
        <w:right w:val="none" w:sz="0" w:space="0" w:color="auto"/>
      </w:divBdr>
    </w:div>
    <w:div w:id="11298275">
      <w:bodyDiv w:val="1"/>
      <w:marLeft w:val="0"/>
      <w:marRight w:val="0"/>
      <w:marTop w:val="0"/>
      <w:marBottom w:val="0"/>
      <w:divBdr>
        <w:top w:val="none" w:sz="0" w:space="0" w:color="auto"/>
        <w:left w:val="none" w:sz="0" w:space="0" w:color="auto"/>
        <w:bottom w:val="none" w:sz="0" w:space="0" w:color="auto"/>
        <w:right w:val="none" w:sz="0" w:space="0" w:color="auto"/>
      </w:divBdr>
    </w:div>
    <w:div w:id="11345542">
      <w:bodyDiv w:val="1"/>
      <w:marLeft w:val="0"/>
      <w:marRight w:val="0"/>
      <w:marTop w:val="0"/>
      <w:marBottom w:val="0"/>
      <w:divBdr>
        <w:top w:val="none" w:sz="0" w:space="0" w:color="auto"/>
        <w:left w:val="none" w:sz="0" w:space="0" w:color="auto"/>
        <w:bottom w:val="none" w:sz="0" w:space="0" w:color="auto"/>
        <w:right w:val="none" w:sz="0" w:space="0" w:color="auto"/>
      </w:divBdr>
    </w:div>
    <w:div w:id="14113135">
      <w:bodyDiv w:val="1"/>
      <w:marLeft w:val="0"/>
      <w:marRight w:val="0"/>
      <w:marTop w:val="0"/>
      <w:marBottom w:val="0"/>
      <w:divBdr>
        <w:top w:val="none" w:sz="0" w:space="0" w:color="auto"/>
        <w:left w:val="none" w:sz="0" w:space="0" w:color="auto"/>
        <w:bottom w:val="none" w:sz="0" w:space="0" w:color="auto"/>
        <w:right w:val="none" w:sz="0" w:space="0" w:color="auto"/>
      </w:divBdr>
    </w:div>
    <w:div w:id="18043948">
      <w:bodyDiv w:val="1"/>
      <w:marLeft w:val="0"/>
      <w:marRight w:val="0"/>
      <w:marTop w:val="0"/>
      <w:marBottom w:val="0"/>
      <w:divBdr>
        <w:top w:val="none" w:sz="0" w:space="0" w:color="auto"/>
        <w:left w:val="none" w:sz="0" w:space="0" w:color="auto"/>
        <w:bottom w:val="none" w:sz="0" w:space="0" w:color="auto"/>
        <w:right w:val="none" w:sz="0" w:space="0" w:color="auto"/>
      </w:divBdr>
    </w:div>
    <w:div w:id="18361326">
      <w:bodyDiv w:val="1"/>
      <w:marLeft w:val="0"/>
      <w:marRight w:val="0"/>
      <w:marTop w:val="0"/>
      <w:marBottom w:val="0"/>
      <w:divBdr>
        <w:top w:val="none" w:sz="0" w:space="0" w:color="auto"/>
        <w:left w:val="none" w:sz="0" w:space="0" w:color="auto"/>
        <w:bottom w:val="none" w:sz="0" w:space="0" w:color="auto"/>
        <w:right w:val="none" w:sz="0" w:space="0" w:color="auto"/>
      </w:divBdr>
      <w:divsChild>
        <w:div w:id="179066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305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8730">
      <w:bodyDiv w:val="1"/>
      <w:marLeft w:val="0"/>
      <w:marRight w:val="0"/>
      <w:marTop w:val="0"/>
      <w:marBottom w:val="0"/>
      <w:divBdr>
        <w:top w:val="none" w:sz="0" w:space="0" w:color="auto"/>
        <w:left w:val="none" w:sz="0" w:space="0" w:color="auto"/>
        <w:bottom w:val="none" w:sz="0" w:space="0" w:color="auto"/>
        <w:right w:val="none" w:sz="0" w:space="0" w:color="auto"/>
      </w:divBdr>
      <w:divsChild>
        <w:div w:id="543636217">
          <w:marLeft w:val="0"/>
          <w:marRight w:val="0"/>
          <w:marTop w:val="0"/>
          <w:marBottom w:val="0"/>
          <w:divBdr>
            <w:top w:val="none" w:sz="0" w:space="0" w:color="auto"/>
            <w:left w:val="none" w:sz="0" w:space="0" w:color="auto"/>
            <w:bottom w:val="none" w:sz="0" w:space="0" w:color="auto"/>
            <w:right w:val="none" w:sz="0" w:space="0" w:color="auto"/>
          </w:divBdr>
          <w:divsChild>
            <w:div w:id="1237741783">
              <w:marLeft w:val="0"/>
              <w:marRight w:val="0"/>
              <w:marTop w:val="0"/>
              <w:marBottom w:val="0"/>
              <w:divBdr>
                <w:top w:val="none" w:sz="0" w:space="0" w:color="auto"/>
                <w:left w:val="none" w:sz="0" w:space="0" w:color="auto"/>
                <w:bottom w:val="none" w:sz="0" w:space="0" w:color="auto"/>
                <w:right w:val="none" w:sz="0" w:space="0" w:color="auto"/>
              </w:divBdr>
              <w:divsChild>
                <w:div w:id="52780270">
                  <w:marLeft w:val="0"/>
                  <w:marRight w:val="0"/>
                  <w:marTop w:val="0"/>
                  <w:marBottom w:val="0"/>
                  <w:divBdr>
                    <w:top w:val="none" w:sz="0" w:space="0" w:color="auto"/>
                    <w:left w:val="none" w:sz="0" w:space="0" w:color="auto"/>
                    <w:bottom w:val="none" w:sz="0" w:space="0" w:color="auto"/>
                    <w:right w:val="none" w:sz="0" w:space="0" w:color="auto"/>
                  </w:divBdr>
                  <w:divsChild>
                    <w:div w:id="15092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217">
      <w:bodyDiv w:val="1"/>
      <w:marLeft w:val="0"/>
      <w:marRight w:val="0"/>
      <w:marTop w:val="0"/>
      <w:marBottom w:val="0"/>
      <w:divBdr>
        <w:top w:val="none" w:sz="0" w:space="0" w:color="auto"/>
        <w:left w:val="none" w:sz="0" w:space="0" w:color="auto"/>
        <w:bottom w:val="none" w:sz="0" w:space="0" w:color="auto"/>
        <w:right w:val="none" w:sz="0" w:space="0" w:color="auto"/>
      </w:divBdr>
      <w:divsChild>
        <w:div w:id="1204368030">
          <w:marLeft w:val="0"/>
          <w:marRight w:val="0"/>
          <w:marTop w:val="0"/>
          <w:marBottom w:val="0"/>
          <w:divBdr>
            <w:top w:val="none" w:sz="0" w:space="0" w:color="auto"/>
            <w:left w:val="none" w:sz="0" w:space="0" w:color="auto"/>
            <w:bottom w:val="none" w:sz="0" w:space="0" w:color="auto"/>
            <w:right w:val="none" w:sz="0" w:space="0" w:color="auto"/>
          </w:divBdr>
          <w:divsChild>
            <w:div w:id="1571885242">
              <w:marLeft w:val="0"/>
              <w:marRight w:val="0"/>
              <w:marTop w:val="0"/>
              <w:marBottom w:val="0"/>
              <w:divBdr>
                <w:top w:val="none" w:sz="0" w:space="0" w:color="auto"/>
                <w:left w:val="none" w:sz="0" w:space="0" w:color="auto"/>
                <w:bottom w:val="none" w:sz="0" w:space="0" w:color="auto"/>
                <w:right w:val="none" w:sz="0" w:space="0" w:color="auto"/>
              </w:divBdr>
              <w:divsChild>
                <w:div w:id="793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4720">
      <w:bodyDiv w:val="1"/>
      <w:marLeft w:val="0"/>
      <w:marRight w:val="0"/>
      <w:marTop w:val="0"/>
      <w:marBottom w:val="0"/>
      <w:divBdr>
        <w:top w:val="none" w:sz="0" w:space="0" w:color="auto"/>
        <w:left w:val="none" w:sz="0" w:space="0" w:color="auto"/>
        <w:bottom w:val="none" w:sz="0" w:space="0" w:color="auto"/>
        <w:right w:val="none" w:sz="0" w:space="0" w:color="auto"/>
      </w:divBdr>
    </w:div>
    <w:div w:id="26026776">
      <w:bodyDiv w:val="1"/>
      <w:marLeft w:val="0"/>
      <w:marRight w:val="0"/>
      <w:marTop w:val="0"/>
      <w:marBottom w:val="0"/>
      <w:divBdr>
        <w:top w:val="none" w:sz="0" w:space="0" w:color="auto"/>
        <w:left w:val="none" w:sz="0" w:space="0" w:color="auto"/>
        <w:bottom w:val="none" w:sz="0" w:space="0" w:color="auto"/>
        <w:right w:val="none" w:sz="0" w:space="0" w:color="auto"/>
      </w:divBdr>
    </w:div>
    <w:div w:id="26683926">
      <w:bodyDiv w:val="1"/>
      <w:marLeft w:val="0"/>
      <w:marRight w:val="0"/>
      <w:marTop w:val="0"/>
      <w:marBottom w:val="0"/>
      <w:divBdr>
        <w:top w:val="none" w:sz="0" w:space="0" w:color="auto"/>
        <w:left w:val="none" w:sz="0" w:space="0" w:color="auto"/>
        <w:bottom w:val="none" w:sz="0" w:space="0" w:color="auto"/>
        <w:right w:val="none" w:sz="0" w:space="0" w:color="auto"/>
      </w:divBdr>
      <w:divsChild>
        <w:div w:id="1138837811">
          <w:marLeft w:val="0"/>
          <w:marRight w:val="0"/>
          <w:marTop w:val="0"/>
          <w:marBottom w:val="0"/>
          <w:divBdr>
            <w:top w:val="none" w:sz="0" w:space="0" w:color="auto"/>
            <w:left w:val="none" w:sz="0" w:space="0" w:color="auto"/>
            <w:bottom w:val="none" w:sz="0" w:space="0" w:color="auto"/>
            <w:right w:val="none" w:sz="0" w:space="0" w:color="auto"/>
          </w:divBdr>
          <w:divsChild>
            <w:div w:id="2011827429">
              <w:marLeft w:val="0"/>
              <w:marRight w:val="0"/>
              <w:marTop w:val="0"/>
              <w:marBottom w:val="0"/>
              <w:divBdr>
                <w:top w:val="none" w:sz="0" w:space="0" w:color="auto"/>
                <w:left w:val="none" w:sz="0" w:space="0" w:color="auto"/>
                <w:bottom w:val="none" w:sz="0" w:space="0" w:color="auto"/>
                <w:right w:val="none" w:sz="0" w:space="0" w:color="auto"/>
              </w:divBdr>
              <w:divsChild>
                <w:div w:id="348682185">
                  <w:marLeft w:val="0"/>
                  <w:marRight w:val="0"/>
                  <w:marTop w:val="0"/>
                  <w:marBottom w:val="0"/>
                  <w:divBdr>
                    <w:top w:val="none" w:sz="0" w:space="0" w:color="auto"/>
                    <w:left w:val="none" w:sz="0" w:space="0" w:color="auto"/>
                    <w:bottom w:val="none" w:sz="0" w:space="0" w:color="auto"/>
                    <w:right w:val="none" w:sz="0" w:space="0" w:color="auto"/>
                  </w:divBdr>
                  <w:divsChild>
                    <w:div w:id="5185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2344">
          <w:marLeft w:val="0"/>
          <w:marRight w:val="0"/>
          <w:marTop w:val="0"/>
          <w:marBottom w:val="0"/>
          <w:divBdr>
            <w:top w:val="none" w:sz="0" w:space="0" w:color="auto"/>
            <w:left w:val="none" w:sz="0" w:space="0" w:color="auto"/>
            <w:bottom w:val="none" w:sz="0" w:space="0" w:color="auto"/>
            <w:right w:val="none" w:sz="0" w:space="0" w:color="auto"/>
          </w:divBdr>
          <w:divsChild>
            <w:div w:id="102845079">
              <w:marLeft w:val="0"/>
              <w:marRight w:val="0"/>
              <w:marTop w:val="0"/>
              <w:marBottom w:val="0"/>
              <w:divBdr>
                <w:top w:val="none" w:sz="0" w:space="0" w:color="auto"/>
                <w:left w:val="none" w:sz="0" w:space="0" w:color="auto"/>
                <w:bottom w:val="none" w:sz="0" w:space="0" w:color="auto"/>
                <w:right w:val="none" w:sz="0" w:space="0" w:color="auto"/>
              </w:divBdr>
              <w:divsChild>
                <w:div w:id="632104045">
                  <w:marLeft w:val="0"/>
                  <w:marRight w:val="0"/>
                  <w:marTop w:val="0"/>
                  <w:marBottom w:val="0"/>
                  <w:divBdr>
                    <w:top w:val="none" w:sz="0" w:space="0" w:color="auto"/>
                    <w:left w:val="none" w:sz="0" w:space="0" w:color="auto"/>
                    <w:bottom w:val="none" w:sz="0" w:space="0" w:color="auto"/>
                    <w:right w:val="none" w:sz="0" w:space="0" w:color="auto"/>
                  </w:divBdr>
                  <w:divsChild>
                    <w:div w:id="916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9388">
      <w:bodyDiv w:val="1"/>
      <w:marLeft w:val="0"/>
      <w:marRight w:val="0"/>
      <w:marTop w:val="0"/>
      <w:marBottom w:val="0"/>
      <w:divBdr>
        <w:top w:val="none" w:sz="0" w:space="0" w:color="auto"/>
        <w:left w:val="none" w:sz="0" w:space="0" w:color="auto"/>
        <w:bottom w:val="none" w:sz="0" w:space="0" w:color="auto"/>
        <w:right w:val="none" w:sz="0" w:space="0" w:color="auto"/>
      </w:divBdr>
      <w:divsChild>
        <w:div w:id="1732121695">
          <w:marLeft w:val="0"/>
          <w:marRight w:val="0"/>
          <w:marTop w:val="0"/>
          <w:marBottom w:val="0"/>
          <w:divBdr>
            <w:top w:val="none" w:sz="0" w:space="0" w:color="auto"/>
            <w:left w:val="none" w:sz="0" w:space="0" w:color="auto"/>
            <w:bottom w:val="none" w:sz="0" w:space="0" w:color="auto"/>
            <w:right w:val="none" w:sz="0" w:space="0" w:color="auto"/>
          </w:divBdr>
          <w:divsChild>
            <w:div w:id="712534543">
              <w:marLeft w:val="0"/>
              <w:marRight w:val="0"/>
              <w:marTop w:val="0"/>
              <w:marBottom w:val="0"/>
              <w:divBdr>
                <w:top w:val="none" w:sz="0" w:space="0" w:color="auto"/>
                <w:left w:val="none" w:sz="0" w:space="0" w:color="auto"/>
                <w:bottom w:val="none" w:sz="0" w:space="0" w:color="auto"/>
                <w:right w:val="none" w:sz="0" w:space="0" w:color="auto"/>
              </w:divBdr>
              <w:divsChild>
                <w:div w:id="6153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721">
      <w:bodyDiv w:val="1"/>
      <w:marLeft w:val="0"/>
      <w:marRight w:val="0"/>
      <w:marTop w:val="0"/>
      <w:marBottom w:val="0"/>
      <w:divBdr>
        <w:top w:val="none" w:sz="0" w:space="0" w:color="auto"/>
        <w:left w:val="none" w:sz="0" w:space="0" w:color="auto"/>
        <w:bottom w:val="none" w:sz="0" w:space="0" w:color="auto"/>
        <w:right w:val="none" w:sz="0" w:space="0" w:color="auto"/>
      </w:divBdr>
    </w:div>
    <w:div w:id="30762348">
      <w:bodyDiv w:val="1"/>
      <w:marLeft w:val="0"/>
      <w:marRight w:val="0"/>
      <w:marTop w:val="0"/>
      <w:marBottom w:val="0"/>
      <w:divBdr>
        <w:top w:val="none" w:sz="0" w:space="0" w:color="auto"/>
        <w:left w:val="none" w:sz="0" w:space="0" w:color="auto"/>
        <w:bottom w:val="none" w:sz="0" w:space="0" w:color="auto"/>
        <w:right w:val="none" w:sz="0" w:space="0" w:color="auto"/>
      </w:divBdr>
      <w:divsChild>
        <w:div w:id="1195658918">
          <w:marLeft w:val="0"/>
          <w:marRight w:val="0"/>
          <w:marTop w:val="0"/>
          <w:marBottom w:val="0"/>
          <w:divBdr>
            <w:top w:val="none" w:sz="0" w:space="0" w:color="auto"/>
            <w:left w:val="none" w:sz="0" w:space="0" w:color="auto"/>
            <w:bottom w:val="none" w:sz="0" w:space="0" w:color="auto"/>
            <w:right w:val="none" w:sz="0" w:space="0" w:color="auto"/>
          </w:divBdr>
        </w:div>
        <w:div w:id="1516188269">
          <w:marLeft w:val="0"/>
          <w:marRight w:val="0"/>
          <w:marTop w:val="0"/>
          <w:marBottom w:val="0"/>
          <w:divBdr>
            <w:top w:val="none" w:sz="0" w:space="0" w:color="auto"/>
            <w:left w:val="none" w:sz="0" w:space="0" w:color="auto"/>
            <w:bottom w:val="none" w:sz="0" w:space="0" w:color="auto"/>
            <w:right w:val="none" w:sz="0" w:space="0" w:color="auto"/>
          </w:divBdr>
        </w:div>
        <w:div w:id="78453785">
          <w:marLeft w:val="0"/>
          <w:marRight w:val="0"/>
          <w:marTop w:val="0"/>
          <w:marBottom w:val="0"/>
          <w:divBdr>
            <w:top w:val="none" w:sz="0" w:space="0" w:color="auto"/>
            <w:left w:val="none" w:sz="0" w:space="0" w:color="auto"/>
            <w:bottom w:val="none" w:sz="0" w:space="0" w:color="auto"/>
            <w:right w:val="none" w:sz="0" w:space="0" w:color="auto"/>
          </w:divBdr>
        </w:div>
      </w:divsChild>
    </w:div>
    <w:div w:id="32928505">
      <w:bodyDiv w:val="1"/>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770515830">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2237">
      <w:bodyDiv w:val="1"/>
      <w:marLeft w:val="0"/>
      <w:marRight w:val="0"/>
      <w:marTop w:val="0"/>
      <w:marBottom w:val="0"/>
      <w:divBdr>
        <w:top w:val="none" w:sz="0" w:space="0" w:color="auto"/>
        <w:left w:val="none" w:sz="0" w:space="0" w:color="auto"/>
        <w:bottom w:val="none" w:sz="0" w:space="0" w:color="auto"/>
        <w:right w:val="none" w:sz="0" w:space="0" w:color="auto"/>
      </w:divBdr>
      <w:divsChild>
        <w:div w:id="221252622">
          <w:marLeft w:val="0"/>
          <w:marRight w:val="0"/>
          <w:marTop w:val="0"/>
          <w:marBottom w:val="0"/>
          <w:divBdr>
            <w:top w:val="none" w:sz="0" w:space="0" w:color="auto"/>
            <w:left w:val="none" w:sz="0" w:space="0" w:color="auto"/>
            <w:bottom w:val="none" w:sz="0" w:space="0" w:color="auto"/>
            <w:right w:val="none" w:sz="0" w:space="0" w:color="auto"/>
          </w:divBdr>
          <w:divsChild>
            <w:div w:id="729352033">
              <w:marLeft w:val="0"/>
              <w:marRight w:val="0"/>
              <w:marTop w:val="0"/>
              <w:marBottom w:val="0"/>
              <w:divBdr>
                <w:top w:val="none" w:sz="0" w:space="0" w:color="auto"/>
                <w:left w:val="none" w:sz="0" w:space="0" w:color="auto"/>
                <w:bottom w:val="none" w:sz="0" w:space="0" w:color="auto"/>
                <w:right w:val="none" w:sz="0" w:space="0" w:color="auto"/>
              </w:divBdr>
              <w:divsChild>
                <w:div w:id="46877969">
                  <w:marLeft w:val="0"/>
                  <w:marRight w:val="0"/>
                  <w:marTop w:val="0"/>
                  <w:marBottom w:val="0"/>
                  <w:divBdr>
                    <w:top w:val="none" w:sz="0" w:space="0" w:color="auto"/>
                    <w:left w:val="none" w:sz="0" w:space="0" w:color="auto"/>
                    <w:bottom w:val="none" w:sz="0" w:space="0" w:color="auto"/>
                    <w:right w:val="none" w:sz="0" w:space="0" w:color="auto"/>
                  </w:divBdr>
                  <w:divsChild>
                    <w:div w:id="18371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2243">
      <w:bodyDiv w:val="1"/>
      <w:marLeft w:val="0"/>
      <w:marRight w:val="0"/>
      <w:marTop w:val="0"/>
      <w:marBottom w:val="0"/>
      <w:divBdr>
        <w:top w:val="none" w:sz="0" w:space="0" w:color="auto"/>
        <w:left w:val="none" w:sz="0" w:space="0" w:color="auto"/>
        <w:bottom w:val="none" w:sz="0" w:space="0" w:color="auto"/>
        <w:right w:val="none" w:sz="0" w:space="0" w:color="auto"/>
      </w:divBdr>
    </w:div>
    <w:div w:id="41172069">
      <w:bodyDiv w:val="1"/>
      <w:marLeft w:val="0"/>
      <w:marRight w:val="0"/>
      <w:marTop w:val="0"/>
      <w:marBottom w:val="0"/>
      <w:divBdr>
        <w:top w:val="none" w:sz="0" w:space="0" w:color="auto"/>
        <w:left w:val="none" w:sz="0" w:space="0" w:color="auto"/>
        <w:bottom w:val="none" w:sz="0" w:space="0" w:color="auto"/>
        <w:right w:val="none" w:sz="0" w:space="0" w:color="auto"/>
      </w:divBdr>
    </w:div>
    <w:div w:id="44064056">
      <w:bodyDiv w:val="1"/>
      <w:marLeft w:val="0"/>
      <w:marRight w:val="0"/>
      <w:marTop w:val="0"/>
      <w:marBottom w:val="0"/>
      <w:divBdr>
        <w:top w:val="none" w:sz="0" w:space="0" w:color="auto"/>
        <w:left w:val="none" w:sz="0" w:space="0" w:color="auto"/>
        <w:bottom w:val="none" w:sz="0" w:space="0" w:color="auto"/>
        <w:right w:val="none" w:sz="0" w:space="0" w:color="auto"/>
      </w:divBdr>
    </w:div>
    <w:div w:id="52242209">
      <w:bodyDiv w:val="1"/>
      <w:marLeft w:val="0"/>
      <w:marRight w:val="0"/>
      <w:marTop w:val="0"/>
      <w:marBottom w:val="0"/>
      <w:divBdr>
        <w:top w:val="none" w:sz="0" w:space="0" w:color="auto"/>
        <w:left w:val="none" w:sz="0" w:space="0" w:color="auto"/>
        <w:bottom w:val="none" w:sz="0" w:space="0" w:color="auto"/>
        <w:right w:val="none" w:sz="0" w:space="0" w:color="auto"/>
      </w:divBdr>
      <w:divsChild>
        <w:div w:id="939800553">
          <w:marLeft w:val="0"/>
          <w:marRight w:val="0"/>
          <w:marTop w:val="0"/>
          <w:marBottom w:val="0"/>
          <w:divBdr>
            <w:top w:val="none" w:sz="0" w:space="0" w:color="auto"/>
            <w:left w:val="none" w:sz="0" w:space="0" w:color="auto"/>
            <w:bottom w:val="none" w:sz="0" w:space="0" w:color="auto"/>
            <w:right w:val="none" w:sz="0" w:space="0" w:color="auto"/>
          </w:divBdr>
          <w:divsChild>
            <w:div w:id="712732935">
              <w:marLeft w:val="0"/>
              <w:marRight w:val="0"/>
              <w:marTop w:val="0"/>
              <w:marBottom w:val="0"/>
              <w:divBdr>
                <w:top w:val="none" w:sz="0" w:space="0" w:color="auto"/>
                <w:left w:val="none" w:sz="0" w:space="0" w:color="auto"/>
                <w:bottom w:val="none" w:sz="0" w:space="0" w:color="auto"/>
                <w:right w:val="none" w:sz="0" w:space="0" w:color="auto"/>
              </w:divBdr>
              <w:divsChild>
                <w:div w:id="14201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4743">
      <w:bodyDiv w:val="1"/>
      <w:marLeft w:val="0"/>
      <w:marRight w:val="0"/>
      <w:marTop w:val="0"/>
      <w:marBottom w:val="0"/>
      <w:divBdr>
        <w:top w:val="none" w:sz="0" w:space="0" w:color="auto"/>
        <w:left w:val="none" w:sz="0" w:space="0" w:color="auto"/>
        <w:bottom w:val="none" w:sz="0" w:space="0" w:color="auto"/>
        <w:right w:val="none" w:sz="0" w:space="0" w:color="auto"/>
      </w:divBdr>
    </w:div>
    <w:div w:id="64886910">
      <w:bodyDiv w:val="1"/>
      <w:marLeft w:val="0"/>
      <w:marRight w:val="0"/>
      <w:marTop w:val="0"/>
      <w:marBottom w:val="0"/>
      <w:divBdr>
        <w:top w:val="none" w:sz="0" w:space="0" w:color="auto"/>
        <w:left w:val="none" w:sz="0" w:space="0" w:color="auto"/>
        <w:bottom w:val="none" w:sz="0" w:space="0" w:color="auto"/>
        <w:right w:val="none" w:sz="0" w:space="0" w:color="auto"/>
      </w:divBdr>
    </w:div>
    <w:div w:id="64956416">
      <w:bodyDiv w:val="1"/>
      <w:marLeft w:val="0"/>
      <w:marRight w:val="0"/>
      <w:marTop w:val="0"/>
      <w:marBottom w:val="0"/>
      <w:divBdr>
        <w:top w:val="none" w:sz="0" w:space="0" w:color="auto"/>
        <w:left w:val="none" w:sz="0" w:space="0" w:color="auto"/>
        <w:bottom w:val="none" w:sz="0" w:space="0" w:color="auto"/>
        <w:right w:val="none" w:sz="0" w:space="0" w:color="auto"/>
      </w:divBdr>
      <w:divsChild>
        <w:div w:id="197740652">
          <w:marLeft w:val="0"/>
          <w:marRight w:val="0"/>
          <w:marTop w:val="0"/>
          <w:marBottom w:val="0"/>
          <w:divBdr>
            <w:top w:val="none" w:sz="0" w:space="0" w:color="auto"/>
            <w:left w:val="none" w:sz="0" w:space="0" w:color="auto"/>
            <w:bottom w:val="none" w:sz="0" w:space="0" w:color="auto"/>
            <w:right w:val="none" w:sz="0" w:space="0" w:color="auto"/>
          </w:divBdr>
          <w:divsChild>
            <w:div w:id="1271277451">
              <w:marLeft w:val="0"/>
              <w:marRight w:val="0"/>
              <w:marTop w:val="0"/>
              <w:marBottom w:val="0"/>
              <w:divBdr>
                <w:top w:val="none" w:sz="0" w:space="0" w:color="auto"/>
                <w:left w:val="none" w:sz="0" w:space="0" w:color="auto"/>
                <w:bottom w:val="none" w:sz="0" w:space="0" w:color="auto"/>
                <w:right w:val="none" w:sz="0" w:space="0" w:color="auto"/>
              </w:divBdr>
              <w:divsChild>
                <w:div w:id="19746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2148">
      <w:bodyDiv w:val="1"/>
      <w:marLeft w:val="0"/>
      <w:marRight w:val="0"/>
      <w:marTop w:val="0"/>
      <w:marBottom w:val="0"/>
      <w:divBdr>
        <w:top w:val="none" w:sz="0" w:space="0" w:color="auto"/>
        <w:left w:val="none" w:sz="0" w:space="0" w:color="auto"/>
        <w:bottom w:val="none" w:sz="0" w:space="0" w:color="auto"/>
        <w:right w:val="none" w:sz="0" w:space="0" w:color="auto"/>
      </w:divBdr>
    </w:div>
    <w:div w:id="67190956">
      <w:bodyDiv w:val="1"/>
      <w:marLeft w:val="0"/>
      <w:marRight w:val="0"/>
      <w:marTop w:val="0"/>
      <w:marBottom w:val="0"/>
      <w:divBdr>
        <w:top w:val="none" w:sz="0" w:space="0" w:color="auto"/>
        <w:left w:val="none" w:sz="0" w:space="0" w:color="auto"/>
        <w:bottom w:val="none" w:sz="0" w:space="0" w:color="auto"/>
        <w:right w:val="none" w:sz="0" w:space="0" w:color="auto"/>
      </w:divBdr>
      <w:divsChild>
        <w:div w:id="755324801">
          <w:marLeft w:val="0"/>
          <w:marRight w:val="0"/>
          <w:marTop w:val="0"/>
          <w:marBottom w:val="0"/>
          <w:divBdr>
            <w:top w:val="none" w:sz="0" w:space="0" w:color="auto"/>
            <w:left w:val="none" w:sz="0" w:space="0" w:color="auto"/>
            <w:bottom w:val="none" w:sz="0" w:space="0" w:color="auto"/>
            <w:right w:val="none" w:sz="0" w:space="0" w:color="auto"/>
          </w:divBdr>
          <w:divsChild>
            <w:div w:id="592395533">
              <w:marLeft w:val="0"/>
              <w:marRight w:val="0"/>
              <w:marTop w:val="0"/>
              <w:marBottom w:val="0"/>
              <w:divBdr>
                <w:top w:val="none" w:sz="0" w:space="0" w:color="auto"/>
                <w:left w:val="none" w:sz="0" w:space="0" w:color="auto"/>
                <w:bottom w:val="none" w:sz="0" w:space="0" w:color="auto"/>
                <w:right w:val="none" w:sz="0" w:space="0" w:color="auto"/>
              </w:divBdr>
              <w:divsChild>
                <w:div w:id="12083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7094">
      <w:bodyDiv w:val="1"/>
      <w:marLeft w:val="0"/>
      <w:marRight w:val="0"/>
      <w:marTop w:val="0"/>
      <w:marBottom w:val="0"/>
      <w:divBdr>
        <w:top w:val="none" w:sz="0" w:space="0" w:color="auto"/>
        <w:left w:val="none" w:sz="0" w:space="0" w:color="auto"/>
        <w:bottom w:val="none" w:sz="0" w:space="0" w:color="auto"/>
        <w:right w:val="none" w:sz="0" w:space="0" w:color="auto"/>
      </w:divBdr>
    </w:div>
    <w:div w:id="71322510">
      <w:bodyDiv w:val="1"/>
      <w:marLeft w:val="0"/>
      <w:marRight w:val="0"/>
      <w:marTop w:val="0"/>
      <w:marBottom w:val="0"/>
      <w:divBdr>
        <w:top w:val="none" w:sz="0" w:space="0" w:color="auto"/>
        <w:left w:val="none" w:sz="0" w:space="0" w:color="auto"/>
        <w:bottom w:val="none" w:sz="0" w:space="0" w:color="auto"/>
        <w:right w:val="none" w:sz="0" w:space="0" w:color="auto"/>
      </w:divBdr>
      <w:divsChild>
        <w:div w:id="58752145">
          <w:marLeft w:val="0"/>
          <w:marRight w:val="0"/>
          <w:marTop w:val="0"/>
          <w:marBottom w:val="0"/>
          <w:divBdr>
            <w:top w:val="none" w:sz="0" w:space="0" w:color="auto"/>
            <w:left w:val="none" w:sz="0" w:space="0" w:color="auto"/>
            <w:bottom w:val="none" w:sz="0" w:space="0" w:color="auto"/>
            <w:right w:val="none" w:sz="0" w:space="0" w:color="auto"/>
          </w:divBdr>
          <w:divsChild>
            <w:div w:id="1027411986">
              <w:marLeft w:val="0"/>
              <w:marRight w:val="0"/>
              <w:marTop w:val="0"/>
              <w:marBottom w:val="0"/>
              <w:divBdr>
                <w:top w:val="none" w:sz="0" w:space="0" w:color="auto"/>
                <w:left w:val="none" w:sz="0" w:space="0" w:color="auto"/>
                <w:bottom w:val="none" w:sz="0" w:space="0" w:color="auto"/>
                <w:right w:val="none" w:sz="0" w:space="0" w:color="auto"/>
              </w:divBdr>
              <w:divsChild>
                <w:div w:id="7978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7862">
      <w:bodyDiv w:val="1"/>
      <w:marLeft w:val="0"/>
      <w:marRight w:val="0"/>
      <w:marTop w:val="0"/>
      <w:marBottom w:val="0"/>
      <w:divBdr>
        <w:top w:val="none" w:sz="0" w:space="0" w:color="auto"/>
        <w:left w:val="none" w:sz="0" w:space="0" w:color="auto"/>
        <w:bottom w:val="none" w:sz="0" w:space="0" w:color="auto"/>
        <w:right w:val="none" w:sz="0" w:space="0" w:color="auto"/>
      </w:divBdr>
      <w:divsChild>
        <w:div w:id="692850369">
          <w:marLeft w:val="0"/>
          <w:marRight w:val="0"/>
          <w:marTop w:val="0"/>
          <w:marBottom w:val="0"/>
          <w:divBdr>
            <w:top w:val="none" w:sz="0" w:space="0" w:color="auto"/>
            <w:left w:val="none" w:sz="0" w:space="0" w:color="auto"/>
            <w:bottom w:val="none" w:sz="0" w:space="0" w:color="auto"/>
            <w:right w:val="none" w:sz="0" w:space="0" w:color="auto"/>
          </w:divBdr>
          <w:divsChild>
            <w:div w:id="1026055602">
              <w:marLeft w:val="0"/>
              <w:marRight w:val="0"/>
              <w:marTop w:val="0"/>
              <w:marBottom w:val="0"/>
              <w:divBdr>
                <w:top w:val="none" w:sz="0" w:space="0" w:color="auto"/>
                <w:left w:val="none" w:sz="0" w:space="0" w:color="auto"/>
                <w:bottom w:val="none" w:sz="0" w:space="0" w:color="auto"/>
                <w:right w:val="none" w:sz="0" w:space="0" w:color="auto"/>
              </w:divBdr>
              <w:divsChild>
                <w:div w:id="1642882670">
                  <w:marLeft w:val="0"/>
                  <w:marRight w:val="0"/>
                  <w:marTop w:val="0"/>
                  <w:marBottom w:val="0"/>
                  <w:divBdr>
                    <w:top w:val="none" w:sz="0" w:space="0" w:color="auto"/>
                    <w:left w:val="none" w:sz="0" w:space="0" w:color="auto"/>
                    <w:bottom w:val="none" w:sz="0" w:space="0" w:color="auto"/>
                    <w:right w:val="none" w:sz="0" w:space="0" w:color="auto"/>
                  </w:divBdr>
                  <w:divsChild>
                    <w:div w:id="8306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8678">
      <w:bodyDiv w:val="1"/>
      <w:marLeft w:val="0"/>
      <w:marRight w:val="0"/>
      <w:marTop w:val="0"/>
      <w:marBottom w:val="0"/>
      <w:divBdr>
        <w:top w:val="none" w:sz="0" w:space="0" w:color="auto"/>
        <w:left w:val="none" w:sz="0" w:space="0" w:color="auto"/>
        <w:bottom w:val="none" w:sz="0" w:space="0" w:color="auto"/>
        <w:right w:val="none" w:sz="0" w:space="0" w:color="auto"/>
      </w:divBdr>
    </w:div>
    <w:div w:id="81998556">
      <w:bodyDiv w:val="1"/>
      <w:marLeft w:val="0"/>
      <w:marRight w:val="0"/>
      <w:marTop w:val="0"/>
      <w:marBottom w:val="0"/>
      <w:divBdr>
        <w:top w:val="none" w:sz="0" w:space="0" w:color="auto"/>
        <w:left w:val="none" w:sz="0" w:space="0" w:color="auto"/>
        <w:bottom w:val="none" w:sz="0" w:space="0" w:color="auto"/>
        <w:right w:val="none" w:sz="0" w:space="0" w:color="auto"/>
      </w:divBdr>
    </w:div>
    <w:div w:id="82145774">
      <w:bodyDiv w:val="1"/>
      <w:marLeft w:val="0"/>
      <w:marRight w:val="0"/>
      <w:marTop w:val="0"/>
      <w:marBottom w:val="0"/>
      <w:divBdr>
        <w:top w:val="none" w:sz="0" w:space="0" w:color="auto"/>
        <w:left w:val="none" w:sz="0" w:space="0" w:color="auto"/>
        <w:bottom w:val="none" w:sz="0" w:space="0" w:color="auto"/>
        <w:right w:val="none" w:sz="0" w:space="0" w:color="auto"/>
      </w:divBdr>
      <w:divsChild>
        <w:div w:id="15252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03048">
      <w:bodyDiv w:val="1"/>
      <w:marLeft w:val="0"/>
      <w:marRight w:val="0"/>
      <w:marTop w:val="0"/>
      <w:marBottom w:val="0"/>
      <w:divBdr>
        <w:top w:val="none" w:sz="0" w:space="0" w:color="auto"/>
        <w:left w:val="none" w:sz="0" w:space="0" w:color="auto"/>
        <w:bottom w:val="none" w:sz="0" w:space="0" w:color="auto"/>
        <w:right w:val="none" w:sz="0" w:space="0" w:color="auto"/>
      </w:divBdr>
      <w:divsChild>
        <w:div w:id="472601058">
          <w:marLeft w:val="0"/>
          <w:marRight w:val="0"/>
          <w:marTop w:val="0"/>
          <w:marBottom w:val="0"/>
          <w:divBdr>
            <w:top w:val="none" w:sz="0" w:space="0" w:color="auto"/>
            <w:left w:val="none" w:sz="0" w:space="0" w:color="auto"/>
            <w:bottom w:val="none" w:sz="0" w:space="0" w:color="auto"/>
            <w:right w:val="none" w:sz="0" w:space="0" w:color="auto"/>
          </w:divBdr>
          <w:divsChild>
            <w:div w:id="548765545">
              <w:marLeft w:val="0"/>
              <w:marRight w:val="0"/>
              <w:marTop w:val="0"/>
              <w:marBottom w:val="0"/>
              <w:divBdr>
                <w:top w:val="none" w:sz="0" w:space="0" w:color="auto"/>
                <w:left w:val="none" w:sz="0" w:space="0" w:color="auto"/>
                <w:bottom w:val="none" w:sz="0" w:space="0" w:color="auto"/>
                <w:right w:val="none" w:sz="0" w:space="0" w:color="auto"/>
              </w:divBdr>
              <w:divsChild>
                <w:div w:id="129787175">
                  <w:marLeft w:val="0"/>
                  <w:marRight w:val="0"/>
                  <w:marTop w:val="0"/>
                  <w:marBottom w:val="0"/>
                  <w:divBdr>
                    <w:top w:val="none" w:sz="0" w:space="0" w:color="auto"/>
                    <w:left w:val="none" w:sz="0" w:space="0" w:color="auto"/>
                    <w:bottom w:val="none" w:sz="0" w:space="0" w:color="auto"/>
                    <w:right w:val="none" w:sz="0" w:space="0" w:color="auto"/>
                  </w:divBdr>
                  <w:divsChild>
                    <w:div w:id="20822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85093">
          <w:marLeft w:val="0"/>
          <w:marRight w:val="0"/>
          <w:marTop w:val="0"/>
          <w:marBottom w:val="0"/>
          <w:divBdr>
            <w:top w:val="none" w:sz="0" w:space="0" w:color="auto"/>
            <w:left w:val="none" w:sz="0" w:space="0" w:color="auto"/>
            <w:bottom w:val="none" w:sz="0" w:space="0" w:color="auto"/>
            <w:right w:val="none" w:sz="0" w:space="0" w:color="auto"/>
          </w:divBdr>
          <w:divsChild>
            <w:div w:id="1365790818">
              <w:marLeft w:val="0"/>
              <w:marRight w:val="0"/>
              <w:marTop w:val="0"/>
              <w:marBottom w:val="0"/>
              <w:divBdr>
                <w:top w:val="none" w:sz="0" w:space="0" w:color="auto"/>
                <w:left w:val="none" w:sz="0" w:space="0" w:color="auto"/>
                <w:bottom w:val="none" w:sz="0" w:space="0" w:color="auto"/>
                <w:right w:val="none" w:sz="0" w:space="0" w:color="auto"/>
              </w:divBdr>
              <w:divsChild>
                <w:div w:id="1429347355">
                  <w:marLeft w:val="0"/>
                  <w:marRight w:val="0"/>
                  <w:marTop w:val="0"/>
                  <w:marBottom w:val="0"/>
                  <w:divBdr>
                    <w:top w:val="none" w:sz="0" w:space="0" w:color="auto"/>
                    <w:left w:val="none" w:sz="0" w:space="0" w:color="auto"/>
                    <w:bottom w:val="none" w:sz="0" w:space="0" w:color="auto"/>
                    <w:right w:val="none" w:sz="0" w:space="0" w:color="auto"/>
                  </w:divBdr>
                  <w:divsChild>
                    <w:div w:id="20339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7583">
      <w:bodyDiv w:val="1"/>
      <w:marLeft w:val="0"/>
      <w:marRight w:val="0"/>
      <w:marTop w:val="0"/>
      <w:marBottom w:val="0"/>
      <w:divBdr>
        <w:top w:val="none" w:sz="0" w:space="0" w:color="auto"/>
        <w:left w:val="none" w:sz="0" w:space="0" w:color="auto"/>
        <w:bottom w:val="none" w:sz="0" w:space="0" w:color="auto"/>
        <w:right w:val="none" w:sz="0" w:space="0" w:color="auto"/>
      </w:divBdr>
    </w:div>
    <w:div w:id="88157758">
      <w:bodyDiv w:val="1"/>
      <w:marLeft w:val="0"/>
      <w:marRight w:val="0"/>
      <w:marTop w:val="0"/>
      <w:marBottom w:val="0"/>
      <w:divBdr>
        <w:top w:val="none" w:sz="0" w:space="0" w:color="auto"/>
        <w:left w:val="none" w:sz="0" w:space="0" w:color="auto"/>
        <w:bottom w:val="none" w:sz="0" w:space="0" w:color="auto"/>
        <w:right w:val="none" w:sz="0" w:space="0" w:color="auto"/>
      </w:divBdr>
      <w:divsChild>
        <w:div w:id="437799221">
          <w:marLeft w:val="0"/>
          <w:marRight w:val="0"/>
          <w:marTop w:val="360"/>
          <w:marBottom w:val="360"/>
          <w:divBdr>
            <w:top w:val="none" w:sz="0" w:space="0" w:color="auto"/>
            <w:left w:val="none" w:sz="0" w:space="0" w:color="auto"/>
            <w:bottom w:val="none" w:sz="0" w:space="0" w:color="auto"/>
            <w:right w:val="none" w:sz="0" w:space="0" w:color="auto"/>
          </w:divBdr>
          <w:divsChild>
            <w:div w:id="560403048">
              <w:marLeft w:val="0"/>
              <w:marRight w:val="0"/>
              <w:marTop w:val="0"/>
              <w:marBottom w:val="0"/>
              <w:divBdr>
                <w:top w:val="none" w:sz="0" w:space="0" w:color="auto"/>
                <w:left w:val="none" w:sz="0" w:space="0" w:color="auto"/>
                <w:bottom w:val="none" w:sz="0" w:space="0" w:color="auto"/>
                <w:right w:val="none" w:sz="0" w:space="0" w:color="auto"/>
              </w:divBdr>
            </w:div>
          </w:divsChild>
        </w:div>
        <w:div w:id="748696800">
          <w:marLeft w:val="0"/>
          <w:marRight w:val="0"/>
          <w:marTop w:val="360"/>
          <w:marBottom w:val="360"/>
          <w:divBdr>
            <w:top w:val="none" w:sz="0" w:space="0" w:color="auto"/>
            <w:left w:val="none" w:sz="0" w:space="0" w:color="auto"/>
            <w:bottom w:val="none" w:sz="0" w:space="0" w:color="auto"/>
            <w:right w:val="none" w:sz="0" w:space="0" w:color="auto"/>
          </w:divBdr>
          <w:divsChild>
            <w:div w:id="5060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6912">
      <w:bodyDiv w:val="1"/>
      <w:marLeft w:val="0"/>
      <w:marRight w:val="0"/>
      <w:marTop w:val="0"/>
      <w:marBottom w:val="0"/>
      <w:divBdr>
        <w:top w:val="none" w:sz="0" w:space="0" w:color="auto"/>
        <w:left w:val="none" w:sz="0" w:space="0" w:color="auto"/>
        <w:bottom w:val="none" w:sz="0" w:space="0" w:color="auto"/>
        <w:right w:val="none" w:sz="0" w:space="0" w:color="auto"/>
      </w:divBdr>
    </w:div>
    <w:div w:id="89788466">
      <w:bodyDiv w:val="1"/>
      <w:marLeft w:val="0"/>
      <w:marRight w:val="0"/>
      <w:marTop w:val="0"/>
      <w:marBottom w:val="0"/>
      <w:divBdr>
        <w:top w:val="none" w:sz="0" w:space="0" w:color="auto"/>
        <w:left w:val="none" w:sz="0" w:space="0" w:color="auto"/>
        <w:bottom w:val="none" w:sz="0" w:space="0" w:color="auto"/>
        <w:right w:val="none" w:sz="0" w:space="0" w:color="auto"/>
      </w:divBdr>
    </w:div>
    <w:div w:id="96416645">
      <w:bodyDiv w:val="1"/>
      <w:marLeft w:val="0"/>
      <w:marRight w:val="0"/>
      <w:marTop w:val="0"/>
      <w:marBottom w:val="0"/>
      <w:divBdr>
        <w:top w:val="none" w:sz="0" w:space="0" w:color="auto"/>
        <w:left w:val="none" w:sz="0" w:space="0" w:color="auto"/>
        <w:bottom w:val="none" w:sz="0" w:space="0" w:color="auto"/>
        <w:right w:val="none" w:sz="0" w:space="0" w:color="auto"/>
      </w:divBdr>
      <w:divsChild>
        <w:div w:id="1453674221">
          <w:marLeft w:val="0"/>
          <w:marRight w:val="0"/>
          <w:marTop w:val="0"/>
          <w:marBottom w:val="0"/>
          <w:divBdr>
            <w:top w:val="none" w:sz="0" w:space="0" w:color="auto"/>
            <w:left w:val="none" w:sz="0" w:space="0" w:color="auto"/>
            <w:bottom w:val="none" w:sz="0" w:space="0" w:color="auto"/>
            <w:right w:val="none" w:sz="0" w:space="0" w:color="auto"/>
          </w:divBdr>
        </w:div>
      </w:divsChild>
    </w:div>
    <w:div w:id="98186732">
      <w:bodyDiv w:val="1"/>
      <w:marLeft w:val="0"/>
      <w:marRight w:val="0"/>
      <w:marTop w:val="0"/>
      <w:marBottom w:val="0"/>
      <w:divBdr>
        <w:top w:val="none" w:sz="0" w:space="0" w:color="auto"/>
        <w:left w:val="none" w:sz="0" w:space="0" w:color="auto"/>
        <w:bottom w:val="none" w:sz="0" w:space="0" w:color="auto"/>
        <w:right w:val="none" w:sz="0" w:space="0" w:color="auto"/>
      </w:divBdr>
    </w:div>
    <w:div w:id="100030558">
      <w:bodyDiv w:val="1"/>
      <w:marLeft w:val="0"/>
      <w:marRight w:val="0"/>
      <w:marTop w:val="0"/>
      <w:marBottom w:val="0"/>
      <w:divBdr>
        <w:top w:val="none" w:sz="0" w:space="0" w:color="auto"/>
        <w:left w:val="none" w:sz="0" w:space="0" w:color="auto"/>
        <w:bottom w:val="none" w:sz="0" w:space="0" w:color="auto"/>
        <w:right w:val="none" w:sz="0" w:space="0" w:color="auto"/>
      </w:divBdr>
    </w:div>
    <w:div w:id="100104889">
      <w:bodyDiv w:val="1"/>
      <w:marLeft w:val="0"/>
      <w:marRight w:val="0"/>
      <w:marTop w:val="0"/>
      <w:marBottom w:val="0"/>
      <w:divBdr>
        <w:top w:val="none" w:sz="0" w:space="0" w:color="auto"/>
        <w:left w:val="none" w:sz="0" w:space="0" w:color="auto"/>
        <w:bottom w:val="none" w:sz="0" w:space="0" w:color="auto"/>
        <w:right w:val="none" w:sz="0" w:space="0" w:color="auto"/>
      </w:divBdr>
      <w:divsChild>
        <w:div w:id="1772700290">
          <w:marLeft w:val="0"/>
          <w:marRight w:val="0"/>
          <w:marTop w:val="0"/>
          <w:marBottom w:val="0"/>
          <w:divBdr>
            <w:top w:val="none" w:sz="0" w:space="0" w:color="auto"/>
            <w:left w:val="none" w:sz="0" w:space="0" w:color="auto"/>
            <w:bottom w:val="none" w:sz="0" w:space="0" w:color="auto"/>
            <w:right w:val="none" w:sz="0" w:space="0" w:color="auto"/>
          </w:divBdr>
          <w:divsChild>
            <w:div w:id="971984297">
              <w:marLeft w:val="0"/>
              <w:marRight w:val="0"/>
              <w:marTop w:val="0"/>
              <w:marBottom w:val="0"/>
              <w:divBdr>
                <w:top w:val="none" w:sz="0" w:space="0" w:color="auto"/>
                <w:left w:val="none" w:sz="0" w:space="0" w:color="auto"/>
                <w:bottom w:val="none" w:sz="0" w:space="0" w:color="auto"/>
                <w:right w:val="none" w:sz="0" w:space="0" w:color="auto"/>
              </w:divBdr>
              <w:divsChild>
                <w:div w:id="8203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8773">
      <w:bodyDiv w:val="1"/>
      <w:marLeft w:val="0"/>
      <w:marRight w:val="0"/>
      <w:marTop w:val="0"/>
      <w:marBottom w:val="0"/>
      <w:divBdr>
        <w:top w:val="none" w:sz="0" w:space="0" w:color="auto"/>
        <w:left w:val="none" w:sz="0" w:space="0" w:color="auto"/>
        <w:bottom w:val="none" w:sz="0" w:space="0" w:color="auto"/>
        <w:right w:val="none" w:sz="0" w:space="0" w:color="auto"/>
      </w:divBdr>
    </w:div>
    <w:div w:id="106656541">
      <w:bodyDiv w:val="1"/>
      <w:marLeft w:val="0"/>
      <w:marRight w:val="0"/>
      <w:marTop w:val="0"/>
      <w:marBottom w:val="0"/>
      <w:divBdr>
        <w:top w:val="none" w:sz="0" w:space="0" w:color="auto"/>
        <w:left w:val="none" w:sz="0" w:space="0" w:color="auto"/>
        <w:bottom w:val="none" w:sz="0" w:space="0" w:color="auto"/>
        <w:right w:val="none" w:sz="0" w:space="0" w:color="auto"/>
      </w:divBdr>
    </w:div>
    <w:div w:id="111217446">
      <w:bodyDiv w:val="1"/>
      <w:marLeft w:val="0"/>
      <w:marRight w:val="0"/>
      <w:marTop w:val="0"/>
      <w:marBottom w:val="0"/>
      <w:divBdr>
        <w:top w:val="none" w:sz="0" w:space="0" w:color="auto"/>
        <w:left w:val="none" w:sz="0" w:space="0" w:color="auto"/>
        <w:bottom w:val="none" w:sz="0" w:space="0" w:color="auto"/>
        <w:right w:val="none" w:sz="0" w:space="0" w:color="auto"/>
      </w:divBdr>
      <w:divsChild>
        <w:div w:id="853690703">
          <w:marLeft w:val="0"/>
          <w:marRight w:val="0"/>
          <w:marTop w:val="0"/>
          <w:marBottom w:val="0"/>
          <w:divBdr>
            <w:top w:val="none" w:sz="0" w:space="0" w:color="auto"/>
            <w:left w:val="none" w:sz="0" w:space="0" w:color="auto"/>
            <w:bottom w:val="none" w:sz="0" w:space="0" w:color="auto"/>
            <w:right w:val="none" w:sz="0" w:space="0" w:color="auto"/>
          </w:divBdr>
          <w:divsChild>
            <w:div w:id="499734832">
              <w:marLeft w:val="0"/>
              <w:marRight w:val="0"/>
              <w:marTop w:val="0"/>
              <w:marBottom w:val="0"/>
              <w:divBdr>
                <w:top w:val="none" w:sz="0" w:space="0" w:color="auto"/>
                <w:left w:val="none" w:sz="0" w:space="0" w:color="auto"/>
                <w:bottom w:val="none" w:sz="0" w:space="0" w:color="auto"/>
                <w:right w:val="none" w:sz="0" w:space="0" w:color="auto"/>
              </w:divBdr>
              <w:divsChild>
                <w:div w:id="10859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5496">
      <w:bodyDiv w:val="1"/>
      <w:marLeft w:val="0"/>
      <w:marRight w:val="0"/>
      <w:marTop w:val="0"/>
      <w:marBottom w:val="0"/>
      <w:divBdr>
        <w:top w:val="none" w:sz="0" w:space="0" w:color="auto"/>
        <w:left w:val="none" w:sz="0" w:space="0" w:color="auto"/>
        <w:bottom w:val="none" w:sz="0" w:space="0" w:color="auto"/>
        <w:right w:val="none" w:sz="0" w:space="0" w:color="auto"/>
      </w:divBdr>
    </w:div>
    <w:div w:id="112409906">
      <w:bodyDiv w:val="1"/>
      <w:marLeft w:val="0"/>
      <w:marRight w:val="0"/>
      <w:marTop w:val="0"/>
      <w:marBottom w:val="0"/>
      <w:divBdr>
        <w:top w:val="none" w:sz="0" w:space="0" w:color="auto"/>
        <w:left w:val="none" w:sz="0" w:space="0" w:color="auto"/>
        <w:bottom w:val="none" w:sz="0" w:space="0" w:color="auto"/>
        <w:right w:val="none" w:sz="0" w:space="0" w:color="auto"/>
      </w:divBdr>
    </w:div>
    <w:div w:id="114982637">
      <w:bodyDiv w:val="1"/>
      <w:marLeft w:val="0"/>
      <w:marRight w:val="0"/>
      <w:marTop w:val="0"/>
      <w:marBottom w:val="0"/>
      <w:divBdr>
        <w:top w:val="none" w:sz="0" w:space="0" w:color="auto"/>
        <w:left w:val="none" w:sz="0" w:space="0" w:color="auto"/>
        <w:bottom w:val="none" w:sz="0" w:space="0" w:color="auto"/>
        <w:right w:val="none" w:sz="0" w:space="0" w:color="auto"/>
      </w:divBdr>
    </w:div>
    <w:div w:id="115636768">
      <w:bodyDiv w:val="1"/>
      <w:marLeft w:val="0"/>
      <w:marRight w:val="0"/>
      <w:marTop w:val="0"/>
      <w:marBottom w:val="0"/>
      <w:divBdr>
        <w:top w:val="none" w:sz="0" w:space="0" w:color="auto"/>
        <w:left w:val="none" w:sz="0" w:space="0" w:color="auto"/>
        <w:bottom w:val="none" w:sz="0" w:space="0" w:color="auto"/>
        <w:right w:val="none" w:sz="0" w:space="0" w:color="auto"/>
      </w:divBdr>
      <w:divsChild>
        <w:div w:id="1714697500">
          <w:marLeft w:val="0"/>
          <w:marRight w:val="0"/>
          <w:marTop w:val="0"/>
          <w:marBottom w:val="0"/>
          <w:divBdr>
            <w:top w:val="none" w:sz="0" w:space="0" w:color="auto"/>
            <w:left w:val="none" w:sz="0" w:space="0" w:color="auto"/>
            <w:bottom w:val="none" w:sz="0" w:space="0" w:color="auto"/>
            <w:right w:val="none" w:sz="0" w:space="0" w:color="auto"/>
          </w:divBdr>
          <w:divsChild>
            <w:div w:id="1094403296">
              <w:marLeft w:val="0"/>
              <w:marRight w:val="0"/>
              <w:marTop w:val="0"/>
              <w:marBottom w:val="0"/>
              <w:divBdr>
                <w:top w:val="none" w:sz="0" w:space="0" w:color="auto"/>
                <w:left w:val="none" w:sz="0" w:space="0" w:color="auto"/>
                <w:bottom w:val="none" w:sz="0" w:space="0" w:color="auto"/>
                <w:right w:val="none" w:sz="0" w:space="0" w:color="auto"/>
              </w:divBdr>
              <w:divsChild>
                <w:div w:id="1029721879">
                  <w:marLeft w:val="0"/>
                  <w:marRight w:val="0"/>
                  <w:marTop w:val="0"/>
                  <w:marBottom w:val="0"/>
                  <w:divBdr>
                    <w:top w:val="none" w:sz="0" w:space="0" w:color="auto"/>
                    <w:left w:val="none" w:sz="0" w:space="0" w:color="auto"/>
                    <w:bottom w:val="none" w:sz="0" w:space="0" w:color="auto"/>
                    <w:right w:val="none" w:sz="0" w:space="0" w:color="auto"/>
                  </w:divBdr>
                  <w:divsChild>
                    <w:div w:id="4377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30516">
      <w:bodyDiv w:val="1"/>
      <w:marLeft w:val="0"/>
      <w:marRight w:val="0"/>
      <w:marTop w:val="0"/>
      <w:marBottom w:val="0"/>
      <w:divBdr>
        <w:top w:val="none" w:sz="0" w:space="0" w:color="auto"/>
        <w:left w:val="none" w:sz="0" w:space="0" w:color="auto"/>
        <w:bottom w:val="none" w:sz="0" w:space="0" w:color="auto"/>
        <w:right w:val="none" w:sz="0" w:space="0" w:color="auto"/>
      </w:divBdr>
    </w:div>
    <w:div w:id="119955752">
      <w:bodyDiv w:val="1"/>
      <w:marLeft w:val="0"/>
      <w:marRight w:val="0"/>
      <w:marTop w:val="0"/>
      <w:marBottom w:val="0"/>
      <w:divBdr>
        <w:top w:val="none" w:sz="0" w:space="0" w:color="auto"/>
        <w:left w:val="none" w:sz="0" w:space="0" w:color="auto"/>
        <w:bottom w:val="none" w:sz="0" w:space="0" w:color="auto"/>
        <w:right w:val="none" w:sz="0" w:space="0" w:color="auto"/>
      </w:divBdr>
      <w:divsChild>
        <w:div w:id="528106421">
          <w:marLeft w:val="0"/>
          <w:marRight w:val="0"/>
          <w:marTop w:val="0"/>
          <w:marBottom w:val="0"/>
          <w:divBdr>
            <w:top w:val="none" w:sz="0" w:space="0" w:color="auto"/>
            <w:left w:val="none" w:sz="0" w:space="0" w:color="auto"/>
            <w:bottom w:val="none" w:sz="0" w:space="0" w:color="auto"/>
            <w:right w:val="none" w:sz="0" w:space="0" w:color="auto"/>
          </w:divBdr>
          <w:divsChild>
            <w:div w:id="1364478401">
              <w:marLeft w:val="0"/>
              <w:marRight w:val="0"/>
              <w:marTop w:val="0"/>
              <w:marBottom w:val="0"/>
              <w:divBdr>
                <w:top w:val="none" w:sz="0" w:space="0" w:color="auto"/>
                <w:left w:val="none" w:sz="0" w:space="0" w:color="auto"/>
                <w:bottom w:val="none" w:sz="0" w:space="0" w:color="auto"/>
                <w:right w:val="none" w:sz="0" w:space="0" w:color="auto"/>
              </w:divBdr>
              <w:divsChild>
                <w:div w:id="1856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8704">
      <w:bodyDiv w:val="1"/>
      <w:marLeft w:val="0"/>
      <w:marRight w:val="0"/>
      <w:marTop w:val="0"/>
      <w:marBottom w:val="0"/>
      <w:divBdr>
        <w:top w:val="none" w:sz="0" w:space="0" w:color="auto"/>
        <w:left w:val="none" w:sz="0" w:space="0" w:color="auto"/>
        <w:bottom w:val="none" w:sz="0" w:space="0" w:color="auto"/>
        <w:right w:val="none" w:sz="0" w:space="0" w:color="auto"/>
      </w:divBdr>
    </w:div>
    <w:div w:id="121651333">
      <w:bodyDiv w:val="1"/>
      <w:marLeft w:val="0"/>
      <w:marRight w:val="0"/>
      <w:marTop w:val="0"/>
      <w:marBottom w:val="0"/>
      <w:divBdr>
        <w:top w:val="none" w:sz="0" w:space="0" w:color="auto"/>
        <w:left w:val="none" w:sz="0" w:space="0" w:color="auto"/>
        <w:bottom w:val="none" w:sz="0" w:space="0" w:color="auto"/>
        <w:right w:val="none" w:sz="0" w:space="0" w:color="auto"/>
      </w:divBdr>
      <w:divsChild>
        <w:div w:id="453212085">
          <w:marLeft w:val="0"/>
          <w:marRight w:val="0"/>
          <w:marTop w:val="0"/>
          <w:marBottom w:val="0"/>
          <w:divBdr>
            <w:top w:val="none" w:sz="0" w:space="0" w:color="auto"/>
            <w:left w:val="none" w:sz="0" w:space="0" w:color="auto"/>
            <w:bottom w:val="none" w:sz="0" w:space="0" w:color="auto"/>
            <w:right w:val="none" w:sz="0" w:space="0" w:color="auto"/>
          </w:divBdr>
          <w:divsChild>
            <w:div w:id="298152642">
              <w:marLeft w:val="0"/>
              <w:marRight w:val="0"/>
              <w:marTop w:val="0"/>
              <w:marBottom w:val="0"/>
              <w:divBdr>
                <w:top w:val="none" w:sz="0" w:space="0" w:color="auto"/>
                <w:left w:val="none" w:sz="0" w:space="0" w:color="auto"/>
                <w:bottom w:val="none" w:sz="0" w:space="0" w:color="auto"/>
                <w:right w:val="none" w:sz="0" w:space="0" w:color="auto"/>
              </w:divBdr>
              <w:divsChild>
                <w:div w:id="1315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2048">
      <w:bodyDiv w:val="1"/>
      <w:marLeft w:val="0"/>
      <w:marRight w:val="0"/>
      <w:marTop w:val="0"/>
      <w:marBottom w:val="0"/>
      <w:divBdr>
        <w:top w:val="none" w:sz="0" w:space="0" w:color="auto"/>
        <w:left w:val="none" w:sz="0" w:space="0" w:color="auto"/>
        <w:bottom w:val="none" w:sz="0" w:space="0" w:color="auto"/>
        <w:right w:val="none" w:sz="0" w:space="0" w:color="auto"/>
      </w:divBdr>
    </w:div>
    <w:div w:id="126046793">
      <w:bodyDiv w:val="1"/>
      <w:marLeft w:val="0"/>
      <w:marRight w:val="0"/>
      <w:marTop w:val="0"/>
      <w:marBottom w:val="0"/>
      <w:divBdr>
        <w:top w:val="none" w:sz="0" w:space="0" w:color="auto"/>
        <w:left w:val="none" w:sz="0" w:space="0" w:color="auto"/>
        <w:bottom w:val="none" w:sz="0" w:space="0" w:color="auto"/>
        <w:right w:val="none" w:sz="0" w:space="0" w:color="auto"/>
      </w:divBdr>
      <w:divsChild>
        <w:div w:id="434060679">
          <w:marLeft w:val="0"/>
          <w:marRight w:val="0"/>
          <w:marTop w:val="0"/>
          <w:marBottom w:val="0"/>
          <w:divBdr>
            <w:top w:val="none" w:sz="0" w:space="0" w:color="auto"/>
            <w:left w:val="none" w:sz="0" w:space="0" w:color="auto"/>
            <w:bottom w:val="none" w:sz="0" w:space="0" w:color="auto"/>
            <w:right w:val="none" w:sz="0" w:space="0" w:color="auto"/>
          </w:divBdr>
          <w:divsChild>
            <w:div w:id="968436012">
              <w:marLeft w:val="0"/>
              <w:marRight w:val="0"/>
              <w:marTop w:val="0"/>
              <w:marBottom w:val="0"/>
              <w:divBdr>
                <w:top w:val="none" w:sz="0" w:space="0" w:color="auto"/>
                <w:left w:val="none" w:sz="0" w:space="0" w:color="auto"/>
                <w:bottom w:val="none" w:sz="0" w:space="0" w:color="auto"/>
                <w:right w:val="none" w:sz="0" w:space="0" w:color="auto"/>
              </w:divBdr>
              <w:divsChild>
                <w:div w:id="15283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9464">
      <w:bodyDiv w:val="1"/>
      <w:marLeft w:val="0"/>
      <w:marRight w:val="0"/>
      <w:marTop w:val="0"/>
      <w:marBottom w:val="0"/>
      <w:divBdr>
        <w:top w:val="none" w:sz="0" w:space="0" w:color="auto"/>
        <w:left w:val="none" w:sz="0" w:space="0" w:color="auto"/>
        <w:bottom w:val="none" w:sz="0" w:space="0" w:color="auto"/>
        <w:right w:val="none" w:sz="0" w:space="0" w:color="auto"/>
      </w:divBdr>
    </w:div>
    <w:div w:id="132062196">
      <w:bodyDiv w:val="1"/>
      <w:marLeft w:val="0"/>
      <w:marRight w:val="0"/>
      <w:marTop w:val="0"/>
      <w:marBottom w:val="0"/>
      <w:divBdr>
        <w:top w:val="none" w:sz="0" w:space="0" w:color="auto"/>
        <w:left w:val="none" w:sz="0" w:space="0" w:color="auto"/>
        <w:bottom w:val="none" w:sz="0" w:space="0" w:color="auto"/>
        <w:right w:val="none" w:sz="0" w:space="0" w:color="auto"/>
      </w:divBdr>
      <w:divsChild>
        <w:div w:id="115961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43609">
      <w:bodyDiv w:val="1"/>
      <w:marLeft w:val="0"/>
      <w:marRight w:val="0"/>
      <w:marTop w:val="0"/>
      <w:marBottom w:val="0"/>
      <w:divBdr>
        <w:top w:val="none" w:sz="0" w:space="0" w:color="auto"/>
        <w:left w:val="none" w:sz="0" w:space="0" w:color="auto"/>
        <w:bottom w:val="none" w:sz="0" w:space="0" w:color="auto"/>
        <w:right w:val="none" w:sz="0" w:space="0" w:color="auto"/>
      </w:divBdr>
      <w:divsChild>
        <w:div w:id="1777872709">
          <w:marLeft w:val="0"/>
          <w:marRight w:val="0"/>
          <w:marTop w:val="0"/>
          <w:marBottom w:val="0"/>
          <w:divBdr>
            <w:top w:val="none" w:sz="0" w:space="0" w:color="auto"/>
            <w:left w:val="none" w:sz="0" w:space="0" w:color="auto"/>
            <w:bottom w:val="none" w:sz="0" w:space="0" w:color="auto"/>
            <w:right w:val="none" w:sz="0" w:space="0" w:color="auto"/>
          </w:divBdr>
        </w:div>
      </w:divsChild>
    </w:div>
    <w:div w:id="132453673">
      <w:bodyDiv w:val="1"/>
      <w:marLeft w:val="0"/>
      <w:marRight w:val="0"/>
      <w:marTop w:val="0"/>
      <w:marBottom w:val="0"/>
      <w:divBdr>
        <w:top w:val="none" w:sz="0" w:space="0" w:color="auto"/>
        <w:left w:val="none" w:sz="0" w:space="0" w:color="auto"/>
        <w:bottom w:val="none" w:sz="0" w:space="0" w:color="auto"/>
        <w:right w:val="none" w:sz="0" w:space="0" w:color="auto"/>
      </w:divBdr>
    </w:div>
    <w:div w:id="135755981">
      <w:bodyDiv w:val="1"/>
      <w:marLeft w:val="0"/>
      <w:marRight w:val="0"/>
      <w:marTop w:val="0"/>
      <w:marBottom w:val="0"/>
      <w:divBdr>
        <w:top w:val="none" w:sz="0" w:space="0" w:color="auto"/>
        <w:left w:val="none" w:sz="0" w:space="0" w:color="auto"/>
        <w:bottom w:val="none" w:sz="0" w:space="0" w:color="auto"/>
        <w:right w:val="none" w:sz="0" w:space="0" w:color="auto"/>
      </w:divBdr>
      <w:divsChild>
        <w:div w:id="310017520">
          <w:marLeft w:val="0"/>
          <w:marRight w:val="0"/>
          <w:marTop w:val="0"/>
          <w:marBottom w:val="0"/>
          <w:divBdr>
            <w:top w:val="none" w:sz="0" w:space="0" w:color="auto"/>
            <w:left w:val="none" w:sz="0" w:space="0" w:color="auto"/>
            <w:bottom w:val="none" w:sz="0" w:space="0" w:color="auto"/>
            <w:right w:val="none" w:sz="0" w:space="0" w:color="auto"/>
          </w:divBdr>
          <w:divsChild>
            <w:div w:id="1274097731">
              <w:marLeft w:val="0"/>
              <w:marRight w:val="0"/>
              <w:marTop w:val="0"/>
              <w:marBottom w:val="0"/>
              <w:divBdr>
                <w:top w:val="none" w:sz="0" w:space="0" w:color="auto"/>
                <w:left w:val="none" w:sz="0" w:space="0" w:color="auto"/>
                <w:bottom w:val="none" w:sz="0" w:space="0" w:color="auto"/>
                <w:right w:val="none" w:sz="0" w:space="0" w:color="auto"/>
              </w:divBdr>
              <w:divsChild>
                <w:div w:id="7793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4289">
      <w:bodyDiv w:val="1"/>
      <w:marLeft w:val="0"/>
      <w:marRight w:val="0"/>
      <w:marTop w:val="0"/>
      <w:marBottom w:val="0"/>
      <w:divBdr>
        <w:top w:val="none" w:sz="0" w:space="0" w:color="auto"/>
        <w:left w:val="none" w:sz="0" w:space="0" w:color="auto"/>
        <w:bottom w:val="none" w:sz="0" w:space="0" w:color="auto"/>
        <w:right w:val="none" w:sz="0" w:space="0" w:color="auto"/>
      </w:divBdr>
      <w:divsChild>
        <w:div w:id="1762337574">
          <w:marLeft w:val="0"/>
          <w:marRight w:val="0"/>
          <w:marTop w:val="0"/>
          <w:marBottom w:val="0"/>
          <w:divBdr>
            <w:top w:val="none" w:sz="0" w:space="0" w:color="auto"/>
            <w:left w:val="none" w:sz="0" w:space="0" w:color="auto"/>
            <w:bottom w:val="none" w:sz="0" w:space="0" w:color="auto"/>
            <w:right w:val="none" w:sz="0" w:space="0" w:color="auto"/>
          </w:divBdr>
          <w:divsChild>
            <w:div w:id="1598438927">
              <w:marLeft w:val="0"/>
              <w:marRight w:val="0"/>
              <w:marTop w:val="0"/>
              <w:marBottom w:val="0"/>
              <w:divBdr>
                <w:top w:val="none" w:sz="0" w:space="0" w:color="auto"/>
                <w:left w:val="none" w:sz="0" w:space="0" w:color="auto"/>
                <w:bottom w:val="none" w:sz="0" w:space="0" w:color="auto"/>
                <w:right w:val="none" w:sz="0" w:space="0" w:color="auto"/>
              </w:divBdr>
              <w:divsChild>
                <w:div w:id="2053917033">
                  <w:marLeft w:val="0"/>
                  <w:marRight w:val="0"/>
                  <w:marTop w:val="0"/>
                  <w:marBottom w:val="0"/>
                  <w:divBdr>
                    <w:top w:val="none" w:sz="0" w:space="0" w:color="auto"/>
                    <w:left w:val="none" w:sz="0" w:space="0" w:color="auto"/>
                    <w:bottom w:val="none" w:sz="0" w:space="0" w:color="auto"/>
                    <w:right w:val="none" w:sz="0" w:space="0" w:color="auto"/>
                  </w:divBdr>
                  <w:divsChild>
                    <w:div w:id="17005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89864">
      <w:bodyDiv w:val="1"/>
      <w:marLeft w:val="0"/>
      <w:marRight w:val="0"/>
      <w:marTop w:val="0"/>
      <w:marBottom w:val="0"/>
      <w:divBdr>
        <w:top w:val="none" w:sz="0" w:space="0" w:color="auto"/>
        <w:left w:val="none" w:sz="0" w:space="0" w:color="auto"/>
        <w:bottom w:val="none" w:sz="0" w:space="0" w:color="auto"/>
        <w:right w:val="none" w:sz="0" w:space="0" w:color="auto"/>
      </w:divBdr>
    </w:div>
    <w:div w:id="140772899">
      <w:bodyDiv w:val="1"/>
      <w:marLeft w:val="0"/>
      <w:marRight w:val="0"/>
      <w:marTop w:val="0"/>
      <w:marBottom w:val="0"/>
      <w:divBdr>
        <w:top w:val="none" w:sz="0" w:space="0" w:color="auto"/>
        <w:left w:val="none" w:sz="0" w:space="0" w:color="auto"/>
        <w:bottom w:val="none" w:sz="0" w:space="0" w:color="auto"/>
        <w:right w:val="none" w:sz="0" w:space="0" w:color="auto"/>
      </w:divBdr>
    </w:div>
    <w:div w:id="141581103">
      <w:bodyDiv w:val="1"/>
      <w:marLeft w:val="0"/>
      <w:marRight w:val="0"/>
      <w:marTop w:val="0"/>
      <w:marBottom w:val="0"/>
      <w:divBdr>
        <w:top w:val="none" w:sz="0" w:space="0" w:color="auto"/>
        <w:left w:val="none" w:sz="0" w:space="0" w:color="auto"/>
        <w:bottom w:val="none" w:sz="0" w:space="0" w:color="auto"/>
        <w:right w:val="none" w:sz="0" w:space="0" w:color="auto"/>
      </w:divBdr>
    </w:div>
    <w:div w:id="144130955">
      <w:bodyDiv w:val="1"/>
      <w:marLeft w:val="0"/>
      <w:marRight w:val="0"/>
      <w:marTop w:val="0"/>
      <w:marBottom w:val="0"/>
      <w:divBdr>
        <w:top w:val="none" w:sz="0" w:space="0" w:color="auto"/>
        <w:left w:val="none" w:sz="0" w:space="0" w:color="auto"/>
        <w:bottom w:val="none" w:sz="0" w:space="0" w:color="auto"/>
        <w:right w:val="none" w:sz="0" w:space="0" w:color="auto"/>
      </w:divBdr>
    </w:div>
    <w:div w:id="145980266">
      <w:bodyDiv w:val="1"/>
      <w:marLeft w:val="0"/>
      <w:marRight w:val="0"/>
      <w:marTop w:val="0"/>
      <w:marBottom w:val="0"/>
      <w:divBdr>
        <w:top w:val="none" w:sz="0" w:space="0" w:color="auto"/>
        <w:left w:val="none" w:sz="0" w:space="0" w:color="auto"/>
        <w:bottom w:val="none" w:sz="0" w:space="0" w:color="auto"/>
        <w:right w:val="none" w:sz="0" w:space="0" w:color="auto"/>
      </w:divBdr>
    </w:div>
    <w:div w:id="150830830">
      <w:bodyDiv w:val="1"/>
      <w:marLeft w:val="0"/>
      <w:marRight w:val="0"/>
      <w:marTop w:val="0"/>
      <w:marBottom w:val="0"/>
      <w:divBdr>
        <w:top w:val="none" w:sz="0" w:space="0" w:color="auto"/>
        <w:left w:val="none" w:sz="0" w:space="0" w:color="auto"/>
        <w:bottom w:val="none" w:sz="0" w:space="0" w:color="auto"/>
        <w:right w:val="none" w:sz="0" w:space="0" w:color="auto"/>
      </w:divBdr>
      <w:divsChild>
        <w:div w:id="1490752790">
          <w:marLeft w:val="0"/>
          <w:marRight w:val="0"/>
          <w:marTop w:val="0"/>
          <w:marBottom w:val="0"/>
          <w:divBdr>
            <w:top w:val="none" w:sz="0" w:space="0" w:color="auto"/>
            <w:left w:val="none" w:sz="0" w:space="0" w:color="auto"/>
            <w:bottom w:val="none" w:sz="0" w:space="0" w:color="auto"/>
            <w:right w:val="none" w:sz="0" w:space="0" w:color="auto"/>
          </w:divBdr>
          <w:divsChild>
            <w:div w:id="227158138">
              <w:marLeft w:val="0"/>
              <w:marRight w:val="0"/>
              <w:marTop w:val="0"/>
              <w:marBottom w:val="0"/>
              <w:divBdr>
                <w:top w:val="none" w:sz="0" w:space="0" w:color="auto"/>
                <w:left w:val="none" w:sz="0" w:space="0" w:color="auto"/>
                <w:bottom w:val="none" w:sz="0" w:space="0" w:color="auto"/>
                <w:right w:val="none" w:sz="0" w:space="0" w:color="auto"/>
              </w:divBdr>
              <w:divsChild>
                <w:div w:id="17178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0666">
      <w:bodyDiv w:val="1"/>
      <w:marLeft w:val="0"/>
      <w:marRight w:val="0"/>
      <w:marTop w:val="0"/>
      <w:marBottom w:val="0"/>
      <w:divBdr>
        <w:top w:val="none" w:sz="0" w:space="0" w:color="auto"/>
        <w:left w:val="none" w:sz="0" w:space="0" w:color="auto"/>
        <w:bottom w:val="none" w:sz="0" w:space="0" w:color="auto"/>
        <w:right w:val="none" w:sz="0" w:space="0" w:color="auto"/>
      </w:divBdr>
    </w:div>
    <w:div w:id="154954180">
      <w:bodyDiv w:val="1"/>
      <w:marLeft w:val="0"/>
      <w:marRight w:val="0"/>
      <w:marTop w:val="0"/>
      <w:marBottom w:val="0"/>
      <w:divBdr>
        <w:top w:val="none" w:sz="0" w:space="0" w:color="auto"/>
        <w:left w:val="none" w:sz="0" w:space="0" w:color="auto"/>
        <w:bottom w:val="none" w:sz="0" w:space="0" w:color="auto"/>
        <w:right w:val="none" w:sz="0" w:space="0" w:color="auto"/>
      </w:divBdr>
      <w:divsChild>
        <w:div w:id="116150024">
          <w:marLeft w:val="0"/>
          <w:marRight w:val="0"/>
          <w:marTop w:val="0"/>
          <w:marBottom w:val="0"/>
          <w:divBdr>
            <w:top w:val="none" w:sz="0" w:space="0" w:color="auto"/>
            <w:left w:val="none" w:sz="0" w:space="0" w:color="auto"/>
            <w:bottom w:val="none" w:sz="0" w:space="0" w:color="auto"/>
            <w:right w:val="none" w:sz="0" w:space="0" w:color="auto"/>
          </w:divBdr>
          <w:divsChild>
            <w:div w:id="212160601">
              <w:marLeft w:val="0"/>
              <w:marRight w:val="0"/>
              <w:marTop w:val="0"/>
              <w:marBottom w:val="0"/>
              <w:divBdr>
                <w:top w:val="none" w:sz="0" w:space="0" w:color="auto"/>
                <w:left w:val="none" w:sz="0" w:space="0" w:color="auto"/>
                <w:bottom w:val="none" w:sz="0" w:space="0" w:color="auto"/>
                <w:right w:val="none" w:sz="0" w:space="0" w:color="auto"/>
              </w:divBdr>
              <w:divsChild>
                <w:div w:id="203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6682">
      <w:bodyDiv w:val="1"/>
      <w:marLeft w:val="0"/>
      <w:marRight w:val="0"/>
      <w:marTop w:val="0"/>
      <w:marBottom w:val="0"/>
      <w:divBdr>
        <w:top w:val="none" w:sz="0" w:space="0" w:color="auto"/>
        <w:left w:val="none" w:sz="0" w:space="0" w:color="auto"/>
        <w:bottom w:val="none" w:sz="0" w:space="0" w:color="auto"/>
        <w:right w:val="none" w:sz="0" w:space="0" w:color="auto"/>
      </w:divBdr>
    </w:div>
    <w:div w:id="155195211">
      <w:bodyDiv w:val="1"/>
      <w:marLeft w:val="0"/>
      <w:marRight w:val="0"/>
      <w:marTop w:val="0"/>
      <w:marBottom w:val="0"/>
      <w:divBdr>
        <w:top w:val="none" w:sz="0" w:space="0" w:color="auto"/>
        <w:left w:val="none" w:sz="0" w:space="0" w:color="auto"/>
        <w:bottom w:val="none" w:sz="0" w:space="0" w:color="auto"/>
        <w:right w:val="none" w:sz="0" w:space="0" w:color="auto"/>
      </w:divBdr>
    </w:div>
    <w:div w:id="157893458">
      <w:bodyDiv w:val="1"/>
      <w:marLeft w:val="0"/>
      <w:marRight w:val="0"/>
      <w:marTop w:val="0"/>
      <w:marBottom w:val="0"/>
      <w:divBdr>
        <w:top w:val="none" w:sz="0" w:space="0" w:color="auto"/>
        <w:left w:val="none" w:sz="0" w:space="0" w:color="auto"/>
        <w:bottom w:val="none" w:sz="0" w:space="0" w:color="auto"/>
        <w:right w:val="none" w:sz="0" w:space="0" w:color="auto"/>
      </w:divBdr>
      <w:divsChild>
        <w:div w:id="1681157385">
          <w:marLeft w:val="0"/>
          <w:marRight w:val="0"/>
          <w:marTop w:val="0"/>
          <w:marBottom w:val="0"/>
          <w:divBdr>
            <w:top w:val="none" w:sz="0" w:space="0" w:color="auto"/>
            <w:left w:val="none" w:sz="0" w:space="0" w:color="auto"/>
            <w:bottom w:val="none" w:sz="0" w:space="0" w:color="auto"/>
            <w:right w:val="none" w:sz="0" w:space="0" w:color="auto"/>
          </w:divBdr>
          <w:divsChild>
            <w:div w:id="1244291505">
              <w:marLeft w:val="0"/>
              <w:marRight w:val="0"/>
              <w:marTop w:val="0"/>
              <w:marBottom w:val="0"/>
              <w:divBdr>
                <w:top w:val="none" w:sz="0" w:space="0" w:color="auto"/>
                <w:left w:val="none" w:sz="0" w:space="0" w:color="auto"/>
                <w:bottom w:val="none" w:sz="0" w:space="0" w:color="auto"/>
                <w:right w:val="none" w:sz="0" w:space="0" w:color="auto"/>
              </w:divBdr>
              <w:divsChild>
                <w:div w:id="68189034">
                  <w:marLeft w:val="0"/>
                  <w:marRight w:val="0"/>
                  <w:marTop w:val="0"/>
                  <w:marBottom w:val="0"/>
                  <w:divBdr>
                    <w:top w:val="none" w:sz="0" w:space="0" w:color="auto"/>
                    <w:left w:val="none" w:sz="0" w:space="0" w:color="auto"/>
                    <w:bottom w:val="none" w:sz="0" w:space="0" w:color="auto"/>
                    <w:right w:val="none" w:sz="0" w:space="0" w:color="auto"/>
                  </w:divBdr>
                  <w:divsChild>
                    <w:div w:id="20740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9088">
      <w:bodyDiv w:val="1"/>
      <w:marLeft w:val="0"/>
      <w:marRight w:val="0"/>
      <w:marTop w:val="0"/>
      <w:marBottom w:val="0"/>
      <w:divBdr>
        <w:top w:val="none" w:sz="0" w:space="0" w:color="auto"/>
        <w:left w:val="none" w:sz="0" w:space="0" w:color="auto"/>
        <w:bottom w:val="none" w:sz="0" w:space="0" w:color="auto"/>
        <w:right w:val="none" w:sz="0" w:space="0" w:color="auto"/>
      </w:divBdr>
    </w:div>
    <w:div w:id="164787646">
      <w:bodyDiv w:val="1"/>
      <w:marLeft w:val="0"/>
      <w:marRight w:val="0"/>
      <w:marTop w:val="0"/>
      <w:marBottom w:val="0"/>
      <w:divBdr>
        <w:top w:val="none" w:sz="0" w:space="0" w:color="auto"/>
        <w:left w:val="none" w:sz="0" w:space="0" w:color="auto"/>
        <w:bottom w:val="none" w:sz="0" w:space="0" w:color="auto"/>
        <w:right w:val="none" w:sz="0" w:space="0" w:color="auto"/>
      </w:divBdr>
    </w:div>
    <w:div w:id="168259631">
      <w:bodyDiv w:val="1"/>
      <w:marLeft w:val="0"/>
      <w:marRight w:val="0"/>
      <w:marTop w:val="0"/>
      <w:marBottom w:val="0"/>
      <w:divBdr>
        <w:top w:val="none" w:sz="0" w:space="0" w:color="auto"/>
        <w:left w:val="none" w:sz="0" w:space="0" w:color="auto"/>
        <w:bottom w:val="none" w:sz="0" w:space="0" w:color="auto"/>
        <w:right w:val="none" w:sz="0" w:space="0" w:color="auto"/>
      </w:divBdr>
    </w:div>
    <w:div w:id="170221059">
      <w:bodyDiv w:val="1"/>
      <w:marLeft w:val="0"/>
      <w:marRight w:val="0"/>
      <w:marTop w:val="0"/>
      <w:marBottom w:val="0"/>
      <w:divBdr>
        <w:top w:val="none" w:sz="0" w:space="0" w:color="auto"/>
        <w:left w:val="none" w:sz="0" w:space="0" w:color="auto"/>
        <w:bottom w:val="none" w:sz="0" w:space="0" w:color="auto"/>
        <w:right w:val="none" w:sz="0" w:space="0" w:color="auto"/>
      </w:divBdr>
    </w:div>
    <w:div w:id="173307983">
      <w:bodyDiv w:val="1"/>
      <w:marLeft w:val="0"/>
      <w:marRight w:val="0"/>
      <w:marTop w:val="0"/>
      <w:marBottom w:val="0"/>
      <w:divBdr>
        <w:top w:val="none" w:sz="0" w:space="0" w:color="auto"/>
        <w:left w:val="none" w:sz="0" w:space="0" w:color="auto"/>
        <w:bottom w:val="none" w:sz="0" w:space="0" w:color="auto"/>
        <w:right w:val="none" w:sz="0" w:space="0" w:color="auto"/>
      </w:divBdr>
    </w:div>
    <w:div w:id="174155894">
      <w:bodyDiv w:val="1"/>
      <w:marLeft w:val="0"/>
      <w:marRight w:val="0"/>
      <w:marTop w:val="0"/>
      <w:marBottom w:val="0"/>
      <w:divBdr>
        <w:top w:val="none" w:sz="0" w:space="0" w:color="auto"/>
        <w:left w:val="none" w:sz="0" w:space="0" w:color="auto"/>
        <w:bottom w:val="none" w:sz="0" w:space="0" w:color="auto"/>
        <w:right w:val="none" w:sz="0" w:space="0" w:color="auto"/>
      </w:divBdr>
    </w:div>
    <w:div w:id="176190978">
      <w:bodyDiv w:val="1"/>
      <w:marLeft w:val="0"/>
      <w:marRight w:val="0"/>
      <w:marTop w:val="0"/>
      <w:marBottom w:val="0"/>
      <w:divBdr>
        <w:top w:val="none" w:sz="0" w:space="0" w:color="auto"/>
        <w:left w:val="none" w:sz="0" w:space="0" w:color="auto"/>
        <w:bottom w:val="none" w:sz="0" w:space="0" w:color="auto"/>
        <w:right w:val="none" w:sz="0" w:space="0" w:color="auto"/>
      </w:divBdr>
      <w:divsChild>
        <w:div w:id="1241600299">
          <w:marLeft w:val="0"/>
          <w:marRight w:val="0"/>
          <w:marTop w:val="0"/>
          <w:marBottom w:val="0"/>
          <w:divBdr>
            <w:top w:val="none" w:sz="0" w:space="0" w:color="auto"/>
            <w:left w:val="none" w:sz="0" w:space="0" w:color="auto"/>
            <w:bottom w:val="none" w:sz="0" w:space="0" w:color="auto"/>
            <w:right w:val="none" w:sz="0" w:space="0" w:color="auto"/>
          </w:divBdr>
          <w:divsChild>
            <w:div w:id="1772816757">
              <w:marLeft w:val="0"/>
              <w:marRight w:val="0"/>
              <w:marTop w:val="0"/>
              <w:marBottom w:val="0"/>
              <w:divBdr>
                <w:top w:val="none" w:sz="0" w:space="0" w:color="auto"/>
                <w:left w:val="none" w:sz="0" w:space="0" w:color="auto"/>
                <w:bottom w:val="none" w:sz="0" w:space="0" w:color="auto"/>
                <w:right w:val="none" w:sz="0" w:space="0" w:color="auto"/>
              </w:divBdr>
              <w:divsChild>
                <w:div w:id="1712653645">
                  <w:marLeft w:val="0"/>
                  <w:marRight w:val="0"/>
                  <w:marTop w:val="0"/>
                  <w:marBottom w:val="0"/>
                  <w:divBdr>
                    <w:top w:val="none" w:sz="0" w:space="0" w:color="auto"/>
                    <w:left w:val="none" w:sz="0" w:space="0" w:color="auto"/>
                    <w:bottom w:val="none" w:sz="0" w:space="0" w:color="auto"/>
                    <w:right w:val="none" w:sz="0" w:space="0" w:color="auto"/>
                  </w:divBdr>
                  <w:divsChild>
                    <w:div w:id="3588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8471">
      <w:bodyDiv w:val="1"/>
      <w:marLeft w:val="0"/>
      <w:marRight w:val="0"/>
      <w:marTop w:val="0"/>
      <w:marBottom w:val="0"/>
      <w:divBdr>
        <w:top w:val="none" w:sz="0" w:space="0" w:color="auto"/>
        <w:left w:val="none" w:sz="0" w:space="0" w:color="auto"/>
        <w:bottom w:val="none" w:sz="0" w:space="0" w:color="auto"/>
        <w:right w:val="none" w:sz="0" w:space="0" w:color="auto"/>
      </w:divBdr>
    </w:div>
    <w:div w:id="179897989">
      <w:bodyDiv w:val="1"/>
      <w:marLeft w:val="0"/>
      <w:marRight w:val="0"/>
      <w:marTop w:val="0"/>
      <w:marBottom w:val="0"/>
      <w:divBdr>
        <w:top w:val="none" w:sz="0" w:space="0" w:color="auto"/>
        <w:left w:val="none" w:sz="0" w:space="0" w:color="auto"/>
        <w:bottom w:val="none" w:sz="0" w:space="0" w:color="auto"/>
        <w:right w:val="none" w:sz="0" w:space="0" w:color="auto"/>
      </w:divBdr>
      <w:divsChild>
        <w:div w:id="117649438">
          <w:marLeft w:val="0"/>
          <w:marRight w:val="0"/>
          <w:marTop w:val="0"/>
          <w:marBottom w:val="0"/>
          <w:divBdr>
            <w:top w:val="none" w:sz="0" w:space="0" w:color="auto"/>
            <w:left w:val="none" w:sz="0" w:space="0" w:color="auto"/>
            <w:bottom w:val="none" w:sz="0" w:space="0" w:color="auto"/>
            <w:right w:val="none" w:sz="0" w:space="0" w:color="auto"/>
          </w:divBdr>
          <w:divsChild>
            <w:div w:id="1946377783">
              <w:marLeft w:val="0"/>
              <w:marRight w:val="0"/>
              <w:marTop w:val="0"/>
              <w:marBottom w:val="0"/>
              <w:divBdr>
                <w:top w:val="none" w:sz="0" w:space="0" w:color="auto"/>
                <w:left w:val="none" w:sz="0" w:space="0" w:color="auto"/>
                <w:bottom w:val="none" w:sz="0" w:space="0" w:color="auto"/>
                <w:right w:val="none" w:sz="0" w:space="0" w:color="auto"/>
              </w:divBdr>
              <w:divsChild>
                <w:div w:id="667438992">
                  <w:marLeft w:val="0"/>
                  <w:marRight w:val="0"/>
                  <w:marTop w:val="0"/>
                  <w:marBottom w:val="0"/>
                  <w:divBdr>
                    <w:top w:val="none" w:sz="0" w:space="0" w:color="auto"/>
                    <w:left w:val="none" w:sz="0" w:space="0" w:color="auto"/>
                    <w:bottom w:val="none" w:sz="0" w:space="0" w:color="auto"/>
                    <w:right w:val="none" w:sz="0" w:space="0" w:color="auto"/>
                  </w:divBdr>
                  <w:divsChild>
                    <w:div w:id="9951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74507">
          <w:marLeft w:val="0"/>
          <w:marRight w:val="0"/>
          <w:marTop w:val="0"/>
          <w:marBottom w:val="0"/>
          <w:divBdr>
            <w:top w:val="none" w:sz="0" w:space="0" w:color="auto"/>
            <w:left w:val="none" w:sz="0" w:space="0" w:color="auto"/>
            <w:bottom w:val="none" w:sz="0" w:space="0" w:color="auto"/>
            <w:right w:val="none" w:sz="0" w:space="0" w:color="auto"/>
          </w:divBdr>
          <w:divsChild>
            <w:div w:id="434131860">
              <w:marLeft w:val="0"/>
              <w:marRight w:val="0"/>
              <w:marTop w:val="0"/>
              <w:marBottom w:val="0"/>
              <w:divBdr>
                <w:top w:val="none" w:sz="0" w:space="0" w:color="auto"/>
                <w:left w:val="none" w:sz="0" w:space="0" w:color="auto"/>
                <w:bottom w:val="none" w:sz="0" w:space="0" w:color="auto"/>
                <w:right w:val="none" w:sz="0" w:space="0" w:color="auto"/>
              </w:divBdr>
              <w:divsChild>
                <w:div w:id="1282570496">
                  <w:marLeft w:val="0"/>
                  <w:marRight w:val="0"/>
                  <w:marTop w:val="0"/>
                  <w:marBottom w:val="0"/>
                  <w:divBdr>
                    <w:top w:val="none" w:sz="0" w:space="0" w:color="auto"/>
                    <w:left w:val="none" w:sz="0" w:space="0" w:color="auto"/>
                    <w:bottom w:val="none" w:sz="0" w:space="0" w:color="auto"/>
                    <w:right w:val="none" w:sz="0" w:space="0" w:color="auto"/>
                  </w:divBdr>
                  <w:divsChild>
                    <w:div w:id="20702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12329">
      <w:bodyDiv w:val="1"/>
      <w:marLeft w:val="0"/>
      <w:marRight w:val="0"/>
      <w:marTop w:val="0"/>
      <w:marBottom w:val="0"/>
      <w:divBdr>
        <w:top w:val="none" w:sz="0" w:space="0" w:color="auto"/>
        <w:left w:val="none" w:sz="0" w:space="0" w:color="auto"/>
        <w:bottom w:val="none" w:sz="0" w:space="0" w:color="auto"/>
        <w:right w:val="none" w:sz="0" w:space="0" w:color="auto"/>
      </w:divBdr>
      <w:divsChild>
        <w:div w:id="729693385">
          <w:marLeft w:val="0"/>
          <w:marRight w:val="0"/>
          <w:marTop w:val="0"/>
          <w:marBottom w:val="0"/>
          <w:divBdr>
            <w:top w:val="none" w:sz="0" w:space="0" w:color="auto"/>
            <w:left w:val="none" w:sz="0" w:space="0" w:color="auto"/>
            <w:bottom w:val="none" w:sz="0" w:space="0" w:color="auto"/>
            <w:right w:val="none" w:sz="0" w:space="0" w:color="auto"/>
          </w:divBdr>
          <w:divsChild>
            <w:div w:id="195315615">
              <w:marLeft w:val="0"/>
              <w:marRight w:val="0"/>
              <w:marTop w:val="0"/>
              <w:marBottom w:val="0"/>
              <w:divBdr>
                <w:top w:val="none" w:sz="0" w:space="0" w:color="auto"/>
                <w:left w:val="none" w:sz="0" w:space="0" w:color="auto"/>
                <w:bottom w:val="none" w:sz="0" w:space="0" w:color="auto"/>
                <w:right w:val="none" w:sz="0" w:space="0" w:color="auto"/>
              </w:divBdr>
              <w:divsChild>
                <w:div w:id="12080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0030">
      <w:bodyDiv w:val="1"/>
      <w:marLeft w:val="0"/>
      <w:marRight w:val="0"/>
      <w:marTop w:val="0"/>
      <w:marBottom w:val="0"/>
      <w:divBdr>
        <w:top w:val="none" w:sz="0" w:space="0" w:color="auto"/>
        <w:left w:val="none" w:sz="0" w:space="0" w:color="auto"/>
        <w:bottom w:val="none" w:sz="0" w:space="0" w:color="auto"/>
        <w:right w:val="none" w:sz="0" w:space="0" w:color="auto"/>
      </w:divBdr>
    </w:div>
    <w:div w:id="1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63163731">
          <w:marLeft w:val="0"/>
          <w:marRight w:val="0"/>
          <w:marTop w:val="0"/>
          <w:marBottom w:val="0"/>
          <w:divBdr>
            <w:top w:val="none" w:sz="0" w:space="0" w:color="auto"/>
            <w:left w:val="none" w:sz="0" w:space="0" w:color="auto"/>
            <w:bottom w:val="none" w:sz="0" w:space="0" w:color="auto"/>
            <w:right w:val="none" w:sz="0" w:space="0" w:color="auto"/>
          </w:divBdr>
          <w:divsChild>
            <w:div w:id="190462697">
              <w:marLeft w:val="0"/>
              <w:marRight w:val="0"/>
              <w:marTop w:val="0"/>
              <w:marBottom w:val="0"/>
              <w:divBdr>
                <w:top w:val="none" w:sz="0" w:space="0" w:color="auto"/>
                <w:left w:val="none" w:sz="0" w:space="0" w:color="auto"/>
                <w:bottom w:val="none" w:sz="0" w:space="0" w:color="auto"/>
                <w:right w:val="none" w:sz="0" w:space="0" w:color="auto"/>
              </w:divBdr>
              <w:divsChild>
                <w:div w:id="17869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0930">
      <w:bodyDiv w:val="1"/>
      <w:marLeft w:val="0"/>
      <w:marRight w:val="0"/>
      <w:marTop w:val="0"/>
      <w:marBottom w:val="0"/>
      <w:divBdr>
        <w:top w:val="none" w:sz="0" w:space="0" w:color="auto"/>
        <w:left w:val="none" w:sz="0" w:space="0" w:color="auto"/>
        <w:bottom w:val="none" w:sz="0" w:space="0" w:color="auto"/>
        <w:right w:val="none" w:sz="0" w:space="0" w:color="auto"/>
      </w:divBdr>
      <w:divsChild>
        <w:div w:id="541944626">
          <w:marLeft w:val="0"/>
          <w:marRight w:val="0"/>
          <w:marTop w:val="0"/>
          <w:marBottom w:val="0"/>
          <w:divBdr>
            <w:top w:val="none" w:sz="0" w:space="0" w:color="auto"/>
            <w:left w:val="none" w:sz="0" w:space="0" w:color="auto"/>
            <w:bottom w:val="none" w:sz="0" w:space="0" w:color="auto"/>
            <w:right w:val="none" w:sz="0" w:space="0" w:color="auto"/>
          </w:divBdr>
        </w:div>
      </w:divsChild>
    </w:div>
    <w:div w:id="191068646">
      <w:bodyDiv w:val="1"/>
      <w:marLeft w:val="0"/>
      <w:marRight w:val="0"/>
      <w:marTop w:val="0"/>
      <w:marBottom w:val="0"/>
      <w:divBdr>
        <w:top w:val="none" w:sz="0" w:space="0" w:color="auto"/>
        <w:left w:val="none" w:sz="0" w:space="0" w:color="auto"/>
        <w:bottom w:val="none" w:sz="0" w:space="0" w:color="auto"/>
        <w:right w:val="none" w:sz="0" w:space="0" w:color="auto"/>
      </w:divBdr>
    </w:div>
    <w:div w:id="195388000">
      <w:bodyDiv w:val="1"/>
      <w:marLeft w:val="0"/>
      <w:marRight w:val="0"/>
      <w:marTop w:val="0"/>
      <w:marBottom w:val="0"/>
      <w:divBdr>
        <w:top w:val="none" w:sz="0" w:space="0" w:color="auto"/>
        <w:left w:val="none" w:sz="0" w:space="0" w:color="auto"/>
        <w:bottom w:val="none" w:sz="0" w:space="0" w:color="auto"/>
        <w:right w:val="none" w:sz="0" w:space="0" w:color="auto"/>
      </w:divBdr>
    </w:div>
    <w:div w:id="196431697">
      <w:bodyDiv w:val="1"/>
      <w:marLeft w:val="0"/>
      <w:marRight w:val="0"/>
      <w:marTop w:val="0"/>
      <w:marBottom w:val="0"/>
      <w:divBdr>
        <w:top w:val="none" w:sz="0" w:space="0" w:color="auto"/>
        <w:left w:val="none" w:sz="0" w:space="0" w:color="auto"/>
        <w:bottom w:val="none" w:sz="0" w:space="0" w:color="auto"/>
        <w:right w:val="none" w:sz="0" w:space="0" w:color="auto"/>
      </w:divBdr>
    </w:div>
    <w:div w:id="202906070">
      <w:bodyDiv w:val="1"/>
      <w:marLeft w:val="0"/>
      <w:marRight w:val="0"/>
      <w:marTop w:val="0"/>
      <w:marBottom w:val="0"/>
      <w:divBdr>
        <w:top w:val="none" w:sz="0" w:space="0" w:color="auto"/>
        <w:left w:val="none" w:sz="0" w:space="0" w:color="auto"/>
        <w:bottom w:val="none" w:sz="0" w:space="0" w:color="auto"/>
        <w:right w:val="none" w:sz="0" w:space="0" w:color="auto"/>
      </w:divBdr>
    </w:div>
    <w:div w:id="207688285">
      <w:bodyDiv w:val="1"/>
      <w:marLeft w:val="0"/>
      <w:marRight w:val="0"/>
      <w:marTop w:val="0"/>
      <w:marBottom w:val="0"/>
      <w:divBdr>
        <w:top w:val="none" w:sz="0" w:space="0" w:color="auto"/>
        <w:left w:val="none" w:sz="0" w:space="0" w:color="auto"/>
        <w:bottom w:val="none" w:sz="0" w:space="0" w:color="auto"/>
        <w:right w:val="none" w:sz="0" w:space="0" w:color="auto"/>
      </w:divBdr>
    </w:div>
    <w:div w:id="212935950">
      <w:bodyDiv w:val="1"/>
      <w:marLeft w:val="0"/>
      <w:marRight w:val="0"/>
      <w:marTop w:val="0"/>
      <w:marBottom w:val="0"/>
      <w:divBdr>
        <w:top w:val="none" w:sz="0" w:space="0" w:color="auto"/>
        <w:left w:val="none" w:sz="0" w:space="0" w:color="auto"/>
        <w:bottom w:val="none" w:sz="0" w:space="0" w:color="auto"/>
        <w:right w:val="none" w:sz="0" w:space="0" w:color="auto"/>
      </w:divBdr>
    </w:div>
    <w:div w:id="215317086">
      <w:bodyDiv w:val="1"/>
      <w:marLeft w:val="0"/>
      <w:marRight w:val="0"/>
      <w:marTop w:val="0"/>
      <w:marBottom w:val="0"/>
      <w:divBdr>
        <w:top w:val="none" w:sz="0" w:space="0" w:color="auto"/>
        <w:left w:val="none" w:sz="0" w:space="0" w:color="auto"/>
        <w:bottom w:val="none" w:sz="0" w:space="0" w:color="auto"/>
        <w:right w:val="none" w:sz="0" w:space="0" w:color="auto"/>
      </w:divBdr>
    </w:div>
    <w:div w:id="215437164">
      <w:bodyDiv w:val="1"/>
      <w:marLeft w:val="0"/>
      <w:marRight w:val="0"/>
      <w:marTop w:val="0"/>
      <w:marBottom w:val="0"/>
      <w:divBdr>
        <w:top w:val="none" w:sz="0" w:space="0" w:color="auto"/>
        <w:left w:val="none" w:sz="0" w:space="0" w:color="auto"/>
        <w:bottom w:val="none" w:sz="0" w:space="0" w:color="auto"/>
        <w:right w:val="none" w:sz="0" w:space="0" w:color="auto"/>
      </w:divBdr>
    </w:div>
    <w:div w:id="215627247">
      <w:bodyDiv w:val="1"/>
      <w:marLeft w:val="0"/>
      <w:marRight w:val="0"/>
      <w:marTop w:val="0"/>
      <w:marBottom w:val="0"/>
      <w:divBdr>
        <w:top w:val="none" w:sz="0" w:space="0" w:color="auto"/>
        <w:left w:val="none" w:sz="0" w:space="0" w:color="auto"/>
        <w:bottom w:val="none" w:sz="0" w:space="0" w:color="auto"/>
        <w:right w:val="none" w:sz="0" w:space="0" w:color="auto"/>
      </w:divBdr>
    </w:div>
    <w:div w:id="226771857">
      <w:bodyDiv w:val="1"/>
      <w:marLeft w:val="0"/>
      <w:marRight w:val="0"/>
      <w:marTop w:val="0"/>
      <w:marBottom w:val="0"/>
      <w:divBdr>
        <w:top w:val="none" w:sz="0" w:space="0" w:color="auto"/>
        <w:left w:val="none" w:sz="0" w:space="0" w:color="auto"/>
        <w:bottom w:val="none" w:sz="0" w:space="0" w:color="auto"/>
        <w:right w:val="none" w:sz="0" w:space="0" w:color="auto"/>
      </w:divBdr>
      <w:divsChild>
        <w:div w:id="1147405019">
          <w:marLeft w:val="0"/>
          <w:marRight w:val="0"/>
          <w:marTop w:val="0"/>
          <w:marBottom w:val="0"/>
          <w:divBdr>
            <w:top w:val="none" w:sz="0" w:space="0" w:color="auto"/>
            <w:left w:val="none" w:sz="0" w:space="0" w:color="auto"/>
            <w:bottom w:val="none" w:sz="0" w:space="0" w:color="auto"/>
            <w:right w:val="none" w:sz="0" w:space="0" w:color="auto"/>
          </w:divBdr>
          <w:divsChild>
            <w:div w:id="1949117348">
              <w:marLeft w:val="0"/>
              <w:marRight w:val="0"/>
              <w:marTop w:val="0"/>
              <w:marBottom w:val="0"/>
              <w:divBdr>
                <w:top w:val="none" w:sz="0" w:space="0" w:color="auto"/>
                <w:left w:val="none" w:sz="0" w:space="0" w:color="auto"/>
                <w:bottom w:val="none" w:sz="0" w:space="0" w:color="auto"/>
                <w:right w:val="none" w:sz="0" w:space="0" w:color="auto"/>
              </w:divBdr>
              <w:divsChild>
                <w:div w:id="6434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476050">
      <w:bodyDiv w:val="1"/>
      <w:marLeft w:val="0"/>
      <w:marRight w:val="0"/>
      <w:marTop w:val="0"/>
      <w:marBottom w:val="0"/>
      <w:divBdr>
        <w:top w:val="none" w:sz="0" w:space="0" w:color="auto"/>
        <w:left w:val="none" w:sz="0" w:space="0" w:color="auto"/>
        <w:bottom w:val="none" w:sz="0" w:space="0" w:color="auto"/>
        <w:right w:val="none" w:sz="0" w:space="0" w:color="auto"/>
      </w:divBdr>
      <w:divsChild>
        <w:div w:id="1603882256">
          <w:marLeft w:val="0"/>
          <w:marRight w:val="0"/>
          <w:marTop w:val="0"/>
          <w:marBottom w:val="0"/>
          <w:divBdr>
            <w:top w:val="none" w:sz="0" w:space="0" w:color="auto"/>
            <w:left w:val="none" w:sz="0" w:space="0" w:color="auto"/>
            <w:bottom w:val="none" w:sz="0" w:space="0" w:color="auto"/>
            <w:right w:val="none" w:sz="0" w:space="0" w:color="auto"/>
          </w:divBdr>
          <w:divsChild>
            <w:div w:id="1529677710">
              <w:marLeft w:val="0"/>
              <w:marRight w:val="0"/>
              <w:marTop w:val="0"/>
              <w:marBottom w:val="0"/>
              <w:divBdr>
                <w:top w:val="none" w:sz="0" w:space="0" w:color="auto"/>
                <w:left w:val="none" w:sz="0" w:space="0" w:color="auto"/>
                <w:bottom w:val="none" w:sz="0" w:space="0" w:color="auto"/>
                <w:right w:val="none" w:sz="0" w:space="0" w:color="auto"/>
              </w:divBdr>
              <w:divsChild>
                <w:div w:id="6947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78177">
      <w:bodyDiv w:val="1"/>
      <w:marLeft w:val="0"/>
      <w:marRight w:val="0"/>
      <w:marTop w:val="0"/>
      <w:marBottom w:val="0"/>
      <w:divBdr>
        <w:top w:val="none" w:sz="0" w:space="0" w:color="auto"/>
        <w:left w:val="none" w:sz="0" w:space="0" w:color="auto"/>
        <w:bottom w:val="none" w:sz="0" w:space="0" w:color="auto"/>
        <w:right w:val="none" w:sz="0" w:space="0" w:color="auto"/>
      </w:divBdr>
      <w:divsChild>
        <w:div w:id="1617590963">
          <w:marLeft w:val="0"/>
          <w:marRight w:val="0"/>
          <w:marTop w:val="0"/>
          <w:marBottom w:val="0"/>
          <w:divBdr>
            <w:top w:val="none" w:sz="0" w:space="0" w:color="auto"/>
            <w:left w:val="none" w:sz="0" w:space="0" w:color="auto"/>
            <w:bottom w:val="none" w:sz="0" w:space="0" w:color="auto"/>
            <w:right w:val="none" w:sz="0" w:space="0" w:color="auto"/>
          </w:divBdr>
        </w:div>
        <w:div w:id="1102337895">
          <w:marLeft w:val="0"/>
          <w:marRight w:val="0"/>
          <w:marTop w:val="0"/>
          <w:marBottom w:val="0"/>
          <w:divBdr>
            <w:top w:val="none" w:sz="0" w:space="0" w:color="auto"/>
            <w:left w:val="none" w:sz="0" w:space="0" w:color="auto"/>
            <w:bottom w:val="none" w:sz="0" w:space="0" w:color="auto"/>
            <w:right w:val="none" w:sz="0" w:space="0" w:color="auto"/>
          </w:divBdr>
        </w:div>
        <w:div w:id="880360562">
          <w:marLeft w:val="0"/>
          <w:marRight w:val="0"/>
          <w:marTop w:val="0"/>
          <w:marBottom w:val="0"/>
          <w:divBdr>
            <w:top w:val="none" w:sz="0" w:space="0" w:color="auto"/>
            <w:left w:val="none" w:sz="0" w:space="0" w:color="auto"/>
            <w:bottom w:val="none" w:sz="0" w:space="0" w:color="auto"/>
            <w:right w:val="none" w:sz="0" w:space="0" w:color="auto"/>
          </w:divBdr>
        </w:div>
      </w:divsChild>
    </w:div>
    <w:div w:id="234436414">
      <w:bodyDiv w:val="1"/>
      <w:marLeft w:val="0"/>
      <w:marRight w:val="0"/>
      <w:marTop w:val="0"/>
      <w:marBottom w:val="0"/>
      <w:divBdr>
        <w:top w:val="none" w:sz="0" w:space="0" w:color="auto"/>
        <w:left w:val="none" w:sz="0" w:space="0" w:color="auto"/>
        <w:bottom w:val="none" w:sz="0" w:space="0" w:color="auto"/>
        <w:right w:val="none" w:sz="0" w:space="0" w:color="auto"/>
      </w:divBdr>
      <w:divsChild>
        <w:div w:id="1974090022">
          <w:marLeft w:val="0"/>
          <w:marRight w:val="0"/>
          <w:marTop w:val="0"/>
          <w:marBottom w:val="0"/>
          <w:divBdr>
            <w:top w:val="none" w:sz="0" w:space="0" w:color="auto"/>
            <w:left w:val="none" w:sz="0" w:space="0" w:color="auto"/>
            <w:bottom w:val="none" w:sz="0" w:space="0" w:color="auto"/>
            <w:right w:val="none" w:sz="0" w:space="0" w:color="auto"/>
          </w:divBdr>
          <w:divsChild>
            <w:div w:id="1338650510">
              <w:marLeft w:val="0"/>
              <w:marRight w:val="0"/>
              <w:marTop w:val="0"/>
              <w:marBottom w:val="0"/>
              <w:divBdr>
                <w:top w:val="none" w:sz="0" w:space="0" w:color="auto"/>
                <w:left w:val="none" w:sz="0" w:space="0" w:color="auto"/>
                <w:bottom w:val="none" w:sz="0" w:space="0" w:color="auto"/>
                <w:right w:val="none" w:sz="0" w:space="0" w:color="auto"/>
              </w:divBdr>
              <w:divsChild>
                <w:div w:id="9854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4237">
      <w:bodyDiv w:val="1"/>
      <w:marLeft w:val="0"/>
      <w:marRight w:val="0"/>
      <w:marTop w:val="0"/>
      <w:marBottom w:val="0"/>
      <w:divBdr>
        <w:top w:val="none" w:sz="0" w:space="0" w:color="auto"/>
        <w:left w:val="none" w:sz="0" w:space="0" w:color="auto"/>
        <w:bottom w:val="none" w:sz="0" w:space="0" w:color="auto"/>
        <w:right w:val="none" w:sz="0" w:space="0" w:color="auto"/>
      </w:divBdr>
    </w:div>
    <w:div w:id="240725709">
      <w:bodyDiv w:val="1"/>
      <w:marLeft w:val="0"/>
      <w:marRight w:val="0"/>
      <w:marTop w:val="0"/>
      <w:marBottom w:val="0"/>
      <w:divBdr>
        <w:top w:val="none" w:sz="0" w:space="0" w:color="auto"/>
        <w:left w:val="none" w:sz="0" w:space="0" w:color="auto"/>
        <w:bottom w:val="none" w:sz="0" w:space="0" w:color="auto"/>
        <w:right w:val="none" w:sz="0" w:space="0" w:color="auto"/>
      </w:divBdr>
      <w:divsChild>
        <w:div w:id="770661419">
          <w:marLeft w:val="0"/>
          <w:marRight w:val="0"/>
          <w:marTop w:val="0"/>
          <w:marBottom w:val="0"/>
          <w:divBdr>
            <w:top w:val="none" w:sz="0" w:space="0" w:color="auto"/>
            <w:left w:val="none" w:sz="0" w:space="0" w:color="auto"/>
            <w:bottom w:val="none" w:sz="0" w:space="0" w:color="auto"/>
            <w:right w:val="none" w:sz="0" w:space="0" w:color="auto"/>
          </w:divBdr>
          <w:divsChild>
            <w:div w:id="521555828">
              <w:marLeft w:val="0"/>
              <w:marRight w:val="0"/>
              <w:marTop w:val="0"/>
              <w:marBottom w:val="0"/>
              <w:divBdr>
                <w:top w:val="none" w:sz="0" w:space="0" w:color="auto"/>
                <w:left w:val="none" w:sz="0" w:space="0" w:color="auto"/>
                <w:bottom w:val="none" w:sz="0" w:space="0" w:color="auto"/>
                <w:right w:val="none" w:sz="0" w:space="0" w:color="auto"/>
              </w:divBdr>
              <w:divsChild>
                <w:div w:id="71902198">
                  <w:marLeft w:val="0"/>
                  <w:marRight w:val="0"/>
                  <w:marTop w:val="0"/>
                  <w:marBottom w:val="0"/>
                  <w:divBdr>
                    <w:top w:val="none" w:sz="0" w:space="0" w:color="auto"/>
                    <w:left w:val="none" w:sz="0" w:space="0" w:color="auto"/>
                    <w:bottom w:val="none" w:sz="0" w:space="0" w:color="auto"/>
                    <w:right w:val="none" w:sz="0" w:space="0" w:color="auto"/>
                  </w:divBdr>
                  <w:divsChild>
                    <w:div w:id="1460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16293">
      <w:bodyDiv w:val="1"/>
      <w:marLeft w:val="0"/>
      <w:marRight w:val="0"/>
      <w:marTop w:val="0"/>
      <w:marBottom w:val="0"/>
      <w:divBdr>
        <w:top w:val="none" w:sz="0" w:space="0" w:color="auto"/>
        <w:left w:val="none" w:sz="0" w:space="0" w:color="auto"/>
        <w:bottom w:val="none" w:sz="0" w:space="0" w:color="auto"/>
        <w:right w:val="none" w:sz="0" w:space="0" w:color="auto"/>
      </w:divBdr>
    </w:div>
    <w:div w:id="243033708">
      <w:bodyDiv w:val="1"/>
      <w:marLeft w:val="0"/>
      <w:marRight w:val="0"/>
      <w:marTop w:val="0"/>
      <w:marBottom w:val="0"/>
      <w:divBdr>
        <w:top w:val="none" w:sz="0" w:space="0" w:color="auto"/>
        <w:left w:val="none" w:sz="0" w:space="0" w:color="auto"/>
        <w:bottom w:val="none" w:sz="0" w:space="0" w:color="auto"/>
        <w:right w:val="none" w:sz="0" w:space="0" w:color="auto"/>
      </w:divBdr>
      <w:divsChild>
        <w:div w:id="1815096370">
          <w:marLeft w:val="0"/>
          <w:marRight w:val="0"/>
          <w:marTop w:val="0"/>
          <w:marBottom w:val="0"/>
          <w:divBdr>
            <w:top w:val="none" w:sz="0" w:space="0" w:color="auto"/>
            <w:left w:val="none" w:sz="0" w:space="0" w:color="auto"/>
            <w:bottom w:val="none" w:sz="0" w:space="0" w:color="auto"/>
            <w:right w:val="none" w:sz="0" w:space="0" w:color="auto"/>
          </w:divBdr>
          <w:divsChild>
            <w:div w:id="476802909">
              <w:marLeft w:val="0"/>
              <w:marRight w:val="0"/>
              <w:marTop w:val="0"/>
              <w:marBottom w:val="0"/>
              <w:divBdr>
                <w:top w:val="none" w:sz="0" w:space="0" w:color="auto"/>
                <w:left w:val="none" w:sz="0" w:space="0" w:color="auto"/>
                <w:bottom w:val="none" w:sz="0" w:space="0" w:color="auto"/>
                <w:right w:val="none" w:sz="0" w:space="0" w:color="auto"/>
              </w:divBdr>
              <w:divsChild>
                <w:div w:id="10311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90671">
      <w:bodyDiv w:val="1"/>
      <w:marLeft w:val="0"/>
      <w:marRight w:val="0"/>
      <w:marTop w:val="0"/>
      <w:marBottom w:val="0"/>
      <w:divBdr>
        <w:top w:val="none" w:sz="0" w:space="0" w:color="auto"/>
        <w:left w:val="none" w:sz="0" w:space="0" w:color="auto"/>
        <w:bottom w:val="none" w:sz="0" w:space="0" w:color="auto"/>
        <w:right w:val="none" w:sz="0" w:space="0" w:color="auto"/>
      </w:divBdr>
    </w:div>
    <w:div w:id="245044237">
      <w:bodyDiv w:val="1"/>
      <w:marLeft w:val="0"/>
      <w:marRight w:val="0"/>
      <w:marTop w:val="0"/>
      <w:marBottom w:val="0"/>
      <w:divBdr>
        <w:top w:val="none" w:sz="0" w:space="0" w:color="auto"/>
        <w:left w:val="none" w:sz="0" w:space="0" w:color="auto"/>
        <w:bottom w:val="none" w:sz="0" w:space="0" w:color="auto"/>
        <w:right w:val="none" w:sz="0" w:space="0" w:color="auto"/>
      </w:divBdr>
    </w:div>
    <w:div w:id="252931966">
      <w:bodyDiv w:val="1"/>
      <w:marLeft w:val="0"/>
      <w:marRight w:val="0"/>
      <w:marTop w:val="0"/>
      <w:marBottom w:val="0"/>
      <w:divBdr>
        <w:top w:val="none" w:sz="0" w:space="0" w:color="auto"/>
        <w:left w:val="none" w:sz="0" w:space="0" w:color="auto"/>
        <w:bottom w:val="none" w:sz="0" w:space="0" w:color="auto"/>
        <w:right w:val="none" w:sz="0" w:space="0" w:color="auto"/>
      </w:divBdr>
    </w:div>
    <w:div w:id="253053929">
      <w:bodyDiv w:val="1"/>
      <w:marLeft w:val="0"/>
      <w:marRight w:val="0"/>
      <w:marTop w:val="0"/>
      <w:marBottom w:val="0"/>
      <w:divBdr>
        <w:top w:val="none" w:sz="0" w:space="0" w:color="auto"/>
        <w:left w:val="none" w:sz="0" w:space="0" w:color="auto"/>
        <w:bottom w:val="none" w:sz="0" w:space="0" w:color="auto"/>
        <w:right w:val="none" w:sz="0" w:space="0" w:color="auto"/>
      </w:divBdr>
    </w:div>
    <w:div w:id="253251157">
      <w:bodyDiv w:val="1"/>
      <w:marLeft w:val="0"/>
      <w:marRight w:val="0"/>
      <w:marTop w:val="0"/>
      <w:marBottom w:val="0"/>
      <w:divBdr>
        <w:top w:val="none" w:sz="0" w:space="0" w:color="auto"/>
        <w:left w:val="none" w:sz="0" w:space="0" w:color="auto"/>
        <w:bottom w:val="none" w:sz="0" w:space="0" w:color="auto"/>
        <w:right w:val="none" w:sz="0" w:space="0" w:color="auto"/>
      </w:divBdr>
    </w:div>
    <w:div w:id="253631618">
      <w:bodyDiv w:val="1"/>
      <w:marLeft w:val="0"/>
      <w:marRight w:val="0"/>
      <w:marTop w:val="0"/>
      <w:marBottom w:val="0"/>
      <w:divBdr>
        <w:top w:val="none" w:sz="0" w:space="0" w:color="auto"/>
        <w:left w:val="none" w:sz="0" w:space="0" w:color="auto"/>
        <w:bottom w:val="none" w:sz="0" w:space="0" w:color="auto"/>
        <w:right w:val="none" w:sz="0" w:space="0" w:color="auto"/>
      </w:divBdr>
    </w:div>
    <w:div w:id="254368040">
      <w:bodyDiv w:val="1"/>
      <w:marLeft w:val="0"/>
      <w:marRight w:val="0"/>
      <w:marTop w:val="0"/>
      <w:marBottom w:val="0"/>
      <w:divBdr>
        <w:top w:val="none" w:sz="0" w:space="0" w:color="auto"/>
        <w:left w:val="none" w:sz="0" w:space="0" w:color="auto"/>
        <w:bottom w:val="none" w:sz="0" w:space="0" w:color="auto"/>
        <w:right w:val="none" w:sz="0" w:space="0" w:color="auto"/>
      </w:divBdr>
    </w:div>
    <w:div w:id="256400873">
      <w:bodyDiv w:val="1"/>
      <w:marLeft w:val="0"/>
      <w:marRight w:val="0"/>
      <w:marTop w:val="0"/>
      <w:marBottom w:val="0"/>
      <w:divBdr>
        <w:top w:val="none" w:sz="0" w:space="0" w:color="auto"/>
        <w:left w:val="none" w:sz="0" w:space="0" w:color="auto"/>
        <w:bottom w:val="none" w:sz="0" w:space="0" w:color="auto"/>
        <w:right w:val="none" w:sz="0" w:space="0" w:color="auto"/>
      </w:divBdr>
    </w:div>
    <w:div w:id="257714733">
      <w:bodyDiv w:val="1"/>
      <w:marLeft w:val="0"/>
      <w:marRight w:val="0"/>
      <w:marTop w:val="0"/>
      <w:marBottom w:val="0"/>
      <w:divBdr>
        <w:top w:val="none" w:sz="0" w:space="0" w:color="auto"/>
        <w:left w:val="none" w:sz="0" w:space="0" w:color="auto"/>
        <w:bottom w:val="none" w:sz="0" w:space="0" w:color="auto"/>
        <w:right w:val="none" w:sz="0" w:space="0" w:color="auto"/>
      </w:divBdr>
    </w:div>
    <w:div w:id="265117970">
      <w:bodyDiv w:val="1"/>
      <w:marLeft w:val="0"/>
      <w:marRight w:val="0"/>
      <w:marTop w:val="0"/>
      <w:marBottom w:val="0"/>
      <w:divBdr>
        <w:top w:val="none" w:sz="0" w:space="0" w:color="auto"/>
        <w:left w:val="none" w:sz="0" w:space="0" w:color="auto"/>
        <w:bottom w:val="none" w:sz="0" w:space="0" w:color="auto"/>
        <w:right w:val="none" w:sz="0" w:space="0" w:color="auto"/>
      </w:divBdr>
    </w:div>
    <w:div w:id="266698155">
      <w:bodyDiv w:val="1"/>
      <w:marLeft w:val="0"/>
      <w:marRight w:val="0"/>
      <w:marTop w:val="0"/>
      <w:marBottom w:val="0"/>
      <w:divBdr>
        <w:top w:val="none" w:sz="0" w:space="0" w:color="auto"/>
        <w:left w:val="none" w:sz="0" w:space="0" w:color="auto"/>
        <w:bottom w:val="none" w:sz="0" w:space="0" w:color="auto"/>
        <w:right w:val="none" w:sz="0" w:space="0" w:color="auto"/>
      </w:divBdr>
      <w:divsChild>
        <w:div w:id="1542355173">
          <w:marLeft w:val="0"/>
          <w:marRight w:val="0"/>
          <w:marTop w:val="0"/>
          <w:marBottom w:val="0"/>
          <w:divBdr>
            <w:top w:val="none" w:sz="0" w:space="0" w:color="auto"/>
            <w:left w:val="none" w:sz="0" w:space="0" w:color="auto"/>
            <w:bottom w:val="none" w:sz="0" w:space="0" w:color="auto"/>
            <w:right w:val="none" w:sz="0" w:space="0" w:color="auto"/>
          </w:divBdr>
          <w:divsChild>
            <w:div w:id="1749689923">
              <w:marLeft w:val="0"/>
              <w:marRight w:val="0"/>
              <w:marTop w:val="0"/>
              <w:marBottom w:val="0"/>
              <w:divBdr>
                <w:top w:val="none" w:sz="0" w:space="0" w:color="auto"/>
                <w:left w:val="none" w:sz="0" w:space="0" w:color="auto"/>
                <w:bottom w:val="none" w:sz="0" w:space="0" w:color="auto"/>
                <w:right w:val="none" w:sz="0" w:space="0" w:color="auto"/>
              </w:divBdr>
              <w:divsChild>
                <w:div w:id="3013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29392">
      <w:bodyDiv w:val="1"/>
      <w:marLeft w:val="0"/>
      <w:marRight w:val="0"/>
      <w:marTop w:val="0"/>
      <w:marBottom w:val="0"/>
      <w:divBdr>
        <w:top w:val="none" w:sz="0" w:space="0" w:color="auto"/>
        <w:left w:val="none" w:sz="0" w:space="0" w:color="auto"/>
        <w:bottom w:val="none" w:sz="0" w:space="0" w:color="auto"/>
        <w:right w:val="none" w:sz="0" w:space="0" w:color="auto"/>
      </w:divBdr>
      <w:divsChild>
        <w:div w:id="87747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663079">
      <w:bodyDiv w:val="1"/>
      <w:marLeft w:val="0"/>
      <w:marRight w:val="0"/>
      <w:marTop w:val="0"/>
      <w:marBottom w:val="0"/>
      <w:divBdr>
        <w:top w:val="none" w:sz="0" w:space="0" w:color="auto"/>
        <w:left w:val="none" w:sz="0" w:space="0" w:color="auto"/>
        <w:bottom w:val="none" w:sz="0" w:space="0" w:color="auto"/>
        <w:right w:val="none" w:sz="0" w:space="0" w:color="auto"/>
      </w:divBdr>
      <w:divsChild>
        <w:div w:id="1283072890">
          <w:marLeft w:val="0"/>
          <w:marRight w:val="0"/>
          <w:marTop w:val="0"/>
          <w:marBottom w:val="0"/>
          <w:divBdr>
            <w:top w:val="none" w:sz="0" w:space="0" w:color="auto"/>
            <w:left w:val="none" w:sz="0" w:space="0" w:color="auto"/>
            <w:bottom w:val="none" w:sz="0" w:space="0" w:color="auto"/>
            <w:right w:val="none" w:sz="0" w:space="0" w:color="auto"/>
          </w:divBdr>
          <w:divsChild>
            <w:div w:id="718088137">
              <w:marLeft w:val="0"/>
              <w:marRight w:val="0"/>
              <w:marTop w:val="0"/>
              <w:marBottom w:val="0"/>
              <w:divBdr>
                <w:top w:val="none" w:sz="0" w:space="0" w:color="auto"/>
                <w:left w:val="none" w:sz="0" w:space="0" w:color="auto"/>
                <w:bottom w:val="none" w:sz="0" w:space="0" w:color="auto"/>
                <w:right w:val="none" w:sz="0" w:space="0" w:color="auto"/>
              </w:divBdr>
              <w:divsChild>
                <w:div w:id="579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92770">
      <w:bodyDiv w:val="1"/>
      <w:marLeft w:val="0"/>
      <w:marRight w:val="0"/>
      <w:marTop w:val="0"/>
      <w:marBottom w:val="0"/>
      <w:divBdr>
        <w:top w:val="none" w:sz="0" w:space="0" w:color="auto"/>
        <w:left w:val="none" w:sz="0" w:space="0" w:color="auto"/>
        <w:bottom w:val="none" w:sz="0" w:space="0" w:color="auto"/>
        <w:right w:val="none" w:sz="0" w:space="0" w:color="auto"/>
      </w:divBdr>
    </w:div>
    <w:div w:id="276252734">
      <w:bodyDiv w:val="1"/>
      <w:marLeft w:val="0"/>
      <w:marRight w:val="0"/>
      <w:marTop w:val="0"/>
      <w:marBottom w:val="0"/>
      <w:divBdr>
        <w:top w:val="none" w:sz="0" w:space="0" w:color="auto"/>
        <w:left w:val="none" w:sz="0" w:space="0" w:color="auto"/>
        <w:bottom w:val="none" w:sz="0" w:space="0" w:color="auto"/>
        <w:right w:val="none" w:sz="0" w:space="0" w:color="auto"/>
      </w:divBdr>
      <w:divsChild>
        <w:div w:id="816999142">
          <w:marLeft w:val="0"/>
          <w:marRight w:val="0"/>
          <w:marTop w:val="0"/>
          <w:marBottom w:val="0"/>
          <w:divBdr>
            <w:top w:val="none" w:sz="0" w:space="0" w:color="auto"/>
            <w:left w:val="none" w:sz="0" w:space="0" w:color="auto"/>
            <w:bottom w:val="none" w:sz="0" w:space="0" w:color="auto"/>
            <w:right w:val="none" w:sz="0" w:space="0" w:color="auto"/>
          </w:divBdr>
          <w:divsChild>
            <w:div w:id="139421217">
              <w:marLeft w:val="0"/>
              <w:marRight w:val="0"/>
              <w:marTop w:val="0"/>
              <w:marBottom w:val="0"/>
              <w:divBdr>
                <w:top w:val="none" w:sz="0" w:space="0" w:color="auto"/>
                <w:left w:val="none" w:sz="0" w:space="0" w:color="auto"/>
                <w:bottom w:val="none" w:sz="0" w:space="0" w:color="auto"/>
                <w:right w:val="none" w:sz="0" w:space="0" w:color="auto"/>
              </w:divBdr>
              <w:divsChild>
                <w:div w:id="3774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37452">
      <w:bodyDiv w:val="1"/>
      <w:marLeft w:val="0"/>
      <w:marRight w:val="0"/>
      <w:marTop w:val="0"/>
      <w:marBottom w:val="0"/>
      <w:divBdr>
        <w:top w:val="none" w:sz="0" w:space="0" w:color="auto"/>
        <w:left w:val="none" w:sz="0" w:space="0" w:color="auto"/>
        <w:bottom w:val="none" w:sz="0" w:space="0" w:color="auto"/>
        <w:right w:val="none" w:sz="0" w:space="0" w:color="auto"/>
      </w:divBdr>
    </w:div>
    <w:div w:id="279530485">
      <w:bodyDiv w:val="1"/>
      <w:marLeft w:val="0"/>
      <w:marRight w:val="0"/>
      <w:marTop w:val="0"/>
      <w:marBottom w:val="0"/>
      <w:divBdr>
        <w:top w:val="none" w:sz="0" w:space="0" w:color="auto"/>
        <w:left w:val="none" w:sz="0" w:space="0" w:color="auto"/>
        <w:bottom w:val="none" w:sz="0" w:space="0" w:color="auto"/>
        <w:right w:val="none" w:sz="0" w:space="0" w:color="auto"/>
      </w:divBdr>
    </w:div>
    <w:div w:id="279846510">
      <w:bodyDiv w:val="1"/>
      <w:marLeft w:val="0"/>
      <w:marRight w:val="0"/>
      <w:marTop w:val="0"/>
      <w:marBottom w:val="0"/>
      <w:divBdr>
        <w:top w:val="none" w:sz="0" w:space="0" w:color="auto"/>
        <w:left w:val="none" w:sz="0" w:space="0" w:color="auto"/>
        <w:bottom w:val="none" w:sz="0" w:space="0" w:color="auto"/>
        <w:right w:val="none" w:sz="0" w:space="0" w:color="auto"/>
      </w:divBdr>
      <w:divsChild>
        <w:div w:id="1815565832">
          <w:marLeft w:val="0"/>
          <w:marRight w:val="0"/>
          <w:marTop w:val="0"/>
          <w:marBottom w:val="0"/>
          <w:divBdr>
            <w:top w:val="none" w:sz="0" w:space="0" w:color="auto"/>
            <w:left w:val="none" w:sz="0" w:space="0" w:color="auto"/>
            <w:bottom w:val="none" w:sz="0" w:space="0" w:color="auto"/>
            <w:right w:val="none" w:sz="0" w:space="0" w:color="auto"/>
          </w:divBdr>
        </w:div>
      </w:divsChild>
    </w:div>
    <w:div w:id="281569470">
      <w:bodyDiv w:val="1"/>
      <w:marLeft w:val="0"/>
      <w:marRight w:val="0"/>
      <w:marTop w:val="0"/>
      <w:marBottom w:val="0"/>
      <w:divBdr>
        <w:top w:val="none" w:sz="0" w:space="0" w:color="auto"/>
        <w:left w:val="none" w:sz="0" w:space="0" w:color="auto"/>
        <w:bottom w:val="none" w:sz="0" w:space="0" w:color="auto"/>
        <w:right w:val="none" w:sz="0" w:space="0" w:color="auto"/>
      </w:divBdr>
    </w:div>
    <w:div w:id="282156673">
      <w:bodyDiv w:val="1"/>
      <w:marLeft w:val="0"/>
      <w:marRight w:val="0"/>
      <w:marTop w:val="0"/>
      <w:marBottom w:val="0"/>
      <w:divBdr>
        <w:top w:val="none" w:sz="0" w:space="0" w:color="auto"/>
        <w:left w:val="none" w:sz="0" w:space="0" w:color="auto"/>
        <w:bottom w:val="none" w:sz="0" w:space="0" w:color="auto"/>
        <w:right w:val="none" w:sz="0" w:space="0" w:color="auto"/>
      </w:divBdr>
    </w:div>
    <w:div w:id="2835790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911">
          <w:marLeft w:val="0"/>
          <w:marRight w:val="0"/>
          <w:marTop w:val="0"/>
          <w:marBottom w:val="0"/>
          <w:divBdr>
            <w:top w:val="none" w:sz="0" w:space="0" w:color="auto"/>
            <w:left w:val="none" w:sz="0" w:space="0" w:color="auto"/>
            <w:bottom w:val="none" w:sz="0" w:space="0" w:color="auto"/>
            <w:right w:val="none" w:sz="0" w:space="0" w:color="auto"/>
          </w:divBdr>
          <w:divsChild>
            <w:div w:id="1755274255">
              <w:marLeft w:val="0"/>
              <w:marRight w:val="0"/>
              <w:marTop w:val="0"/>
              <w:marBottom w:val="0"/>
              <w:divBdr>
                <w:top w:val="none" w:sz="0" w:space="0" w:color="auto"/>
                <w:left w:val="none" w:sz="0" w:space="0" w:color="auto"/>
                <w:bottom w:val="none" w:sz="0" w:space="0" w:color="auto"/>
                <w:right w:val="none" w:sz="0" w:space="0" w:color="auto"/>
              </w:divBdr>
              <w:divsChild>
                <w:div w:id="1553496792">
                  <w:marLeft w:val="0"/>
                  <w:marRight w:val="0"/>
                  <w:marTop w:val="0"/>
                  <w:marBottom w:val="0"/>
                  <w:divBdr>
                    <w:top w:val="none" w:sz="0" w:space="0" w:color="auto"/>
                    <w:left w:val="none" w:sz="0" w:space="0" w:color="auto"/>
                    <w:bottom w:val="none" w:sz="0" w:space="0" w:color="auto"/>
                    <w:right w:val="none" w:sz="0" w:space="0" w:color="auto"/>
                  </w:divBdr>
                  <w:divsChild>
                    <w:div w:id="7959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162779">
      <w:bodyDiv w:val="1"/>
      <w:marLeft w:val="0"/>
      <w:marRight w:val="0"/>
      <w:marTop w:val="0"/>
      <w:marBottom w:val="0"/>
      <w:divBdr>
        <w:top w:val="none" w:sz="0" w:space="0" w:color="auto"/>
        <w:left w:val="none" w:sz="0" w:space="0" w:color="auto"/>
        <w:bottom w:val="none" w:sz="0" w:space="0" w:color="auto"/>
        <w:right w:val="none" w:sz="0" w:space="0" w:color="auto"/>
      </w:divBdr>
      <w:divsChild>
        <w:div w:id="2011053794">
          <w:marLeft w:val="0"/>
          <w:marRight w:val="0"/>
          <w:marTop w:val="0"/>
          <w:marBottom w:val="0"/>
          <w:divBdr>
            <w:top w:val="none" w:sz="0" w:space="0" w:color="auto"/>
            <w:left w:val="none" w:sz="0" w:space="0" w:color="auto"/>
            <w:bottom w:val="none" w:sz="0" w:space="0" w:color="auto"/>
            <w:right w:val="none" w:sz="0" w:space="0" w:color="auto"/>
          </w:divBdr>
          <w:divsChild>
            <w:div w:id="1903639773">
              <w:marLeft w:val="0"/>
              <w:marRight w:val="0"/>
              <w:marTop w:val="0"/>
              <w:marBottom w:val="0"/>
              <w:divBdr>
                <w:top w:val="none" w:sz="0" w:space="0" w:color="auto"/>
                <w:left w:val="none" w:sz="0" w:space="0" w:color="auto"/>
                <w:bottom w:val="none" w:sz="0" w:space="0" w:color="auto"/>
                <w:right w:val="none" w:sz="0" w:space="0" w:color="auto"/>
              </w:divBdr>
              <w:divsChild>
                <w:div w:id="13477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18612">
      <w:bodyDiv w:val="1"/>
      <w:marLeft w:val="0"/>
      <w:marRight w:val="0"/>
      <w:marTop w:val="0"/>
      <w:marBottom w:val="0"/>
      <w:divBdr>
        <w:top w:val="none" w:sz="0" w:space="0" w:color="auto"/>
        <w:left w:val="none" w:sz="0" w:space="0" w:color="auto"/>
        <w:bottom w:val="none" w:sz="0" w:space="0" w:color="auto"/>
        <w:right w:val="none" w:sz="0" w:space="0" w:color="auto"/>
      </w:divBdr>
    </w:div>
    <w:div w:id="292368946">
      <w:bodyDiv w:val="1"/>
      <w:marLeft w:val="0"/>
      <w:marRight w:val="0"/>
      <w:marTop w:val="0"/>
      <w:marBottom w:val="0"/>
      <w:divBdr>
        <w:top w:val="none" w:sz="0" w:space="0" w:color="auto"/>
        <w:left w:val="none" w:sz="0" w:space="0" w:color="auto"/>
        <w:bottom w:val="none" w:sz="0" w:space="0" w:color="auto"/>
        <w:right w:val="none" w:sz="0" w:space="0" w:color="auto"/>
      </w:divBdr>
    </w:div>
    <w:div w:id="293023002">
      <w:bodyDiv w:val="1"/>
      <w:marLeft w:val="0"/>
      <w:marRight w:val="0"/>
      <w:marTop w:val="0"/>
      <w:marBottom w:val="0"/>
      <w:divBdr>
        <w:top w:val="none" w:sz="0" w:space="0" w:color="auto"/>
        <w:left w:val="none" w:sz="0" w:space="0" w:color="auto"/>
        <w:bottom w:val="none" w:sz="0" w:space="0" w:color="auto"/>
        <w:right w:val="none" w:sz="0" w:space="0" w:color="auto"/>
      </w:divBdr>
    </w:div>
    <w:div w:id="294221210">
      <w:bodyDiv w:val="1"/>
      <w:marLeft w:val="0"/>
      <w:marRight w:val="0"/>
      <w:marTop w:val="0"/>
      <w:marBottom w:val="0"/>
      <w:divBdr>
        <w:top w:val="none" w:sz="0" w:space="0" w:color="auto"/>
        <w:left w:val="none" w:sz="0" w:space="0" w:color="auto"/>
        <w:bottom w:val="none" w:sz="0" w:space="0" w:color="auto"/>
        <w:right w:val="none" w:sz="0" w:space="0" w:color="auto"/>
      </w:divBdr>
      <w:divsChild>
        <w:div w:id="1843201672">
          <w:marLeft w:val="0"/>
          <w:marRight w:val="0"/>
          <w:marTop w:val="0"/>
          <w:marBottom w:val="0"/>
          <w:divBdr>
            <w:top w:val="none" w:sz="0" w:space="0" w:color="auto"/>
            <w:left w:val="none" w:sz="0" w:space="0" w:color="auto"/>
            <w:bottom w:val="none" w:sz="0" w:space="0" w:color="auto"/>
            <w:right w:val="none" w:sz="0" w:space="0" w:color="auto"/>
          </w:divBdr>
          <w:divsChild>
            <w:div w:id="1398016640">
              <w:marLeft w:val="0"/>
              <w:marRight w:val="0"/>
              <w:marTop w:val="0"/>
              <w:marBottom w:val="0"/>
              <w:divBdr>
                <w:top w:val="none" w:sz="0" w:space="0" w:color="auto"/>
                <w:left w:val="none" w:sz="0" w:space="0" w:color="auto"/>
                <w:bottom w:val="none" w:sz="0" w:space="0" w:color="auto"/>
                <w:right w:val="none" w:sz="0" w:space="0" w:color="auto"/>
              </w:divBdr>
              <w:divsChild>
                <w:div w:id="9777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9878">
      <w:bodyDiv w:val="1"/>
      <w:marLeft w:val="0"/>
      <w:marRight w:val="0"/>
      <w:marTop w:val="0"/>
      <w:marBottom w:val="0"/>
      <w:divBdr>
        <w:top w:val="none" w:sz="0" w:space="0" w:color="auto"/>
        <w:left w:val="none" w:sz="0" w:space="0" w:color="auto"/>
        <w:bottom w:val="none" w:sz="0" w:space="0" w:color="auto"/>
        <w:right w:val="none" w:sz="0" w:space="0" w:color="auto"/>
      </w:divBdr>
    </w:div>
    <w:div w:id="296422307">
      <w:bodyDiv w:val="1"/>
      <w:marLeft w:val="0"/>
      <w:marRight w:val="0"/>
      <w:marTop w:val="0"/>
      <w:marBottom w:val="0"/>
      <w:divBdr>
        <w:top w:val="none" w:sz="0" w:space="0" w:color="auto"/>
        <w:left w:val="none" w:sz="0" w:space="0" w:color="auto"/>
        <w:bottom w:val="none" w:sz="0" w:space="0" w:color="auto"/>
        <w:right w:val="none" w:sz="0" w:space="0" w:color="auto"/>
      </w:divBdr>
    </w:div>
    <w:div w:id="296689022">
      <w:bodyDiv w:val="1"/>
      <w:marLeft w:val="0"/>
      <w:marRight w:val="0"/>
      <w:marTop w:val="0"/>
      <w:marBottom w:val="0"/>
      <w:divBdr>
        <w:top w:val="none" w:sz="0" w:space="0" w:color="auto"/>
        <w:left w:val="none" w:sz="0" w:space="0" w:color="auto"/>
        <w:bottom w:val="none" w:sz="0" w:space="0" w:color="auto"/>
        <w:right w:val="none" w:sz="0" w:space="0" w:color="auto"/>
      </w:divBdr>
    </w:div>
    <w:div w:id="296883078">
      <w:bodyDiv w:val="1"/>
      <w:marLeft w:val="0"/>
      <w:marRight w:val="0"/>
      <w:marTop w:val="0"/>
      <w:marBottom w:val="0"/>
      <w:divBdr>
        <w:top w:val="none" w:sz="0" w:space="0" w:color="auto"/>
        <w:left w:val="none" w:sz="0" w:space="0" w:color="auto"/>
        <w:bottom w:val="none" w:sz="0" w:space="0" w:color="auto"/>
        <w:right w:val="none" w:sz="0" w:space="0" w:color="auto"/>
      </w:divBdr>
    </w:div>
    <w:div w:id="301279007">
      <w:bodyDiv w:val="1"/>
      <w:marLeft w:val="0"/>
      <w:marRight w:val="0"/>
      <w:marTop w:val="0"/>
      <w:marBottom w:val="0"/>
      <w:divBdr>
        <w:top w:val="none" w:sz="0" w:space="0" w:color="auto"/>
        <w:left w:val="none" w:sz="0" w:space="0" w:color="auto"/>
        <w:bottom w:val="none" w:sz="0" w:space="0" w:color="auto"/>
        <w:right w:val="none" w:sz="0" w:space="0" w:color="auto"/>
      </w:divBdr>
      <w:divsChild>
        <w:div w:id="1690371973">
          <w:marLeft w:val="0"/>
          <w:marRight w:val="0"/>
          <w:marTop w:val="0"/>
          <w:marBottom w:val="0"/>
          <w:divBdr>
            <w:top w:val="none" w:sz="0" w:space="0" w:color="auto"/>
            <w:left w:val="none" w:sz="0" w:space="0" w:color="auto"/>
            <w:bottom w:val="none" w:sz="0" w:space="0" w:color="auto"/>
            <w:right w:val="none" w:sz="0" w:space="0" w:color="auto"/>
          </w:divBdr>
          <w:divsChild>
            <w:div w:id="800996315">
              <w:marLeft w:val="0"/>
              <w:marRight w:val="0"/>
              <w:marTop w:val="0"/>
              <w:marBottom w:val="0"/>
              <w:divBdr>
                <w:top w:val="none" w:sz="0" w:space="0" w:color="auto"/>
                <w:left w:val="none" w:sz="0" w:space="0" w:color="auto"/>
                <w:bottom w:val="none" w:sz="0" w:space="0" w:color="auto"/>
                <w:right w:val="none" w:sz="0" w:space="0" w:color="auto"/>
              </w:divBdr>
              <w:divsChild>
                <w:div w:id="1636443427">
                  <w:marLeft w:val="0"/>
                  <w:marRight w:val="0"/>
                  <w:marTop w:val="0"/>
                  <w:marBottom w:val="0"/>
                  <w:divBdr>
                    <w:top w:val="none" w:sz="0" w:space="0" w:color="auto"/>
                    <w:left w:val="none" w:sz="0" w:space="0" w:color="auto"/>
                    <w:bottom w:val="none" w:sz="0" w:space="0" w:color="auto"/>
                    <w:right w:val="none" w:sz="0" w:space="0" w:color="auto"/>
                  </w:divBdr>
                  <w:divsChild>
                    <w:div w:id="16832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12154">
      <w:bodyDiv w:val="1"/>
      <w:marLeft w:val="0"/>
      <w:marRight w:val="0"/>
      <w:marTop w:val="0"/>
      <w:marBottom w:val="0"/>
      <w:divBdr>
        <w:top w:val="none" w:sz="0" w:space="0" w:color="auto"/>
        <w:left w:val="none" w:sz="0" w:space="0" w:color="auto"/>
        <w:bottom w:val="none" w:sz="0" w:space="0" w:color="auto"/>
        <w:right w:val="none" w:sz="0" w:space="0" w:color="auto"/>
      </w:divBdr>
    </w:div>
    <w:div w:id="312606910">
      <w:bodyDiv w:val="1"/>
      <w:marLeft w:val="0"/>
      <w:marRight w:val="0"/>
      <w:marTop w:val="0"/>
      <w:marBottom w:val="0"/>
      <w:divBdr>
        <w:top w:val="none" w:sz="0" w:space="0" w:color="auto"/>
        <w:left w:val="none" w:sz="0" w:space="0" w:color="auto"/>
        <w:bottom w:val="none" w:sz="0" w:space="0" w:color="auto"/>
        <w:right w:val="none" w:sz="0" w:space="0" w:color="auto"/>
      </w:divBdr>
    </w:div>
    <w:div w:id="313460206">
      <w:bodyDiv w:val="1"/>
      <w:marLeft w:val="0"/>
      <w:marRight w:val="0"/>
      <w:marTop w:val="0"/>
      <w:marBottom w:val="0"/>
      <w:divBdr>
        <w:top w:val="none" w:sz="0" w:space="0" w:color="auto"/>
        <w:left w:val="none" w:sz="0" w:space="0" w:color="auto"/>
        <w:bottom w:val="none" w:sz="0" w:space="0" w:color="auto"/>
        <w:right w:val="none" w:sz="0" w:space="0" w:color="auto"/>
      </w:divBdr>
      <w:divsChild>
        <w:div w:id="605843855">
          <w:marLeft w:val="0"/>
          <w:marRight w:val="0"/>
          <w:marTop w:val="0"/>
          <w:marBottom w:val="0"/>
          <w:divBdr>
            <w:top w:val="none" w:sz="0" w:space="0" w:color="auto"/>
            <w:left w:val="none" w:sz="0" w:space="0" w:color="auto"/>
            <w:bottom w:val="none" w:sz="0" w:space="0" w:color="auto"/>
            <w:right w:val="none" w:sz="0" w:space="0" w:color="auto"/>
          </w:divBdr>
          <w:divsChild>
            <w:div w:id="707947158">
              <w:marLeft w:val="0"/>
              <w:marRight w:val="0"/>
              <w:marTop w:val="0"/>
              <w:marBottom w:val="0"/>
              <w:divBdr>
                <w:top w:val="none" w:sz="0" w:space="0" w:color="auto"/>
                <w:left w:val="none" w:sz="0" w:space="0" w:color="auto"/>
                <w:bottom w:val="none" w:sz="0" w:space="0" w:color="auto"/>
                <w:right w:val="none" w:sz="0" w:space="0" w:color="auto"/>
              </w:divBdr>
              <w:divsChild>
                <w:div w:id="15562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97581">
      <w:bodyDiv w:val="1"/>
      <w:marLeft w:val="0"/>
      <w:marRight w:val="0"/>
      <w:marTop w:val="0"/>
      <w:marBottom w:val="0"/>
      <w:divBdr>
        <w:top w:val="none" w:sz="0" w:space="0" w:color="auto"/>
        <w:left w:val="none" w:sz="0" w:space="0" w:color="auto"/>
        <w:bottom w:val="none" w:sz="0" w:space="0" w:color="auto"/>
        <w:right w:val="none" w:sz="0" w:space="0" w:color="auto"/>
      </w:divBdr>
    </w:div>
    <w:div w:id="317878066">
      <w:bodyDiv w:val="1"/>
      <w:marLeft w:val="0"/>
      <w:marRight w:val="0"/>
      <w:marTop w:val="0"/>
      <w:marBottom w:val="0"/>
      <w:divBdr>
        <w:top w:val="none" w:sz="0" w:space="0" w:color="auto"/>
        <w:left w:val="none" w:sz="0" w:space="0" w:color="auto"/>
        <w:bottom w:val="none" w:sz="0" w:space="0" w:color="auto"/>
        <w:right w:val="none" w:sz="0" w:space="0" w:color="auto"/>
      </w:divBdr>
    </w:div>
    <w:div w:id="320044942">
      <w:bodyDiv w:val="1"/>
      <w:marLeft w:val="0"/>
      <w:marRight w:val="0"/>
      <w:marTop w:val="0"/>
      <w:marBottom w:val="0"/>
      <w:divBdr>
        <w:top w:val="none" w:sz="0" w:space="0" w:color="auto"/>
        <w:left w:val="none" w:sz="0" w:space="0" w:color="auto"/>
        <w:bottom w:val="none" w:sz="0" w:space="0" w:color="auto"/>
        <w:right w:val="none" w:sz="0" w:space="0" w:color="auto"/>
      </w:divBdr>
    </w:div>
    <w:div w:id="321203346">
      <w:bodyDiv w:val="1"/>
      <w:marLeft w:val="0"/>
      <w:marRight w:val="0"/>
      <w:marTop w:val="0"/>
      <w:marBottom w:val="0"/>
      <w:divBdr>
        <w:top w:val="none" w:sz="0" w:space="0" w:color="auto"/>
        <w:left w:val="none" w:sz="0" w:space="0" w:color="auto"/>
        <w:bottom w:val="none" w:sz="0" w:space="0" w:color="auto"/>
        <w:right w:val="none" w:sz="0" w:space="0" w:color="auto"/>
      </w:divBdr>
    </w:div>
    <w:div w:id="321853501">
      <w:bodyDiv w:val="1"/>
      <w:marLeft w:val="0"/>
      <w:marRight w:val="0"/>
      <w:marTop w:val="0"/>
      <w:marBottom w:val="0"/>
      <w:divBdr>
        <w:top w:val="none" w:sz="0" w:space="0" w:color="auto"/>
        <w:left w:val="none" w:sz="0" w:space="0" w:color="auto"/>
        <w:bottom w:val="none" w:sz="0" w:space="0" w:color="auto"/>
        <w:right w:val="none" w:sz="0" w:space="0" w:color="auto"/>
      </w:divBdr>
    </w:div>
    <w:div w:id="326447479">
      <w:bodyDiv w:val="1"/>
      <w:marLeft w:val="0"/>
      <w:marRight w:val="0"/>
      <w:marTop w:val="0"/>
      <w:marBottom w:val="0"/>
      <w:divBdr>
        <w:top w:val="none" w:sz="0" w:space="0" w:color="auto"/>
        <w:left w:val="none" w:sz="0" w:space="0" w:color="auto"/>
        <w:bottom w:val="none" w:sz="0" w:space="0" w:color="auto"/>
        <w:right w:val="none" w:sz="0" w:space="0" w:color="auto"/>
      </w:divBdr>
      <w:divsChild>
        <w:div w:id="495615712">
          <w:marLeft w:val="0"/>
          <w:marRight w:val="0"/>
          <w:marTop w:val="0"/>
          <w:marBottom w:val="0"/>
          <w:divBdr>
            <w:top w:val="none" w:sz="0" w:space="0" w:color="auto"/>
            <w:left w:val="none" w:sz="0" w:space="0" w:color="auto"/>
            <w:bottom w:val="none" w:sz="0" w:space="0" w:color="auto"/>
            <w:right w:val="none" w:sz="0" w:space="0" w:color="auto"/>
          </w:divBdr>
          <w:divsChild>
            <w:div w:id="890532065">
              <w:marLeft w:val="0"/>
              <w:marRight w:val="0"/>
              <w:marTop w:val="0"/>
              <w:marBottom w:val="0"/>
              <w:divBdr>
                <w:top w:val="none" w:sz="0" w:space="0" w:color="auto"/>
                <w:left w:val="none" w:sz="0" w:space="0" w:color="auto"/>
                <w:bottom w:val="none" w:sz="0" w:space="0" w:color="auto"/>
                <w:right w:val="none" w:sz="0" w:space="0" w:color="auto"/>
              </w:divBdr>
              <w:divsChild>
                <w:div w:id="13518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9748">
      <w:bodyDiv w:val="1"/>
      <w:marLeft w:val="0"/>
      <w:marRight w:val="0"/>
      <w:marTop w:val="0"/>
      <w:marBottom w:val="0"/>
      <w:divBdr>
        <w:top w:val="none" w:sz="0" w:space="0" w:color="auto"/>
        <w:left w:val="none" w:sz="0" w:space="0" w:color="auto"/>
        <w:bottom w:val="none" w:sz="0" w:space="0" w:color="auto"/>
        <w:right w:val="none" w:sz="0" w:space="0" w:color="auto"/>
      </w:divBdr>
    </w:div>
    <w:div w:id="333724498">
      <w:bodyDiv w:val="1"/>
      <w:marLeft w:val="0"/>
      <w:marRight w:val="0"/>
      <w:marTop w:val="0"/>
      <w:marBottom w:val="0"/>
      <w:divBdr>
        <w:top w:val="none" w:sz="0" w:space="0" w:color="auto"/>
        <w:left w:val="none" w:sz="0" w:space="0" w:color="auto"/>
        <w:bottom w:val="none" w:sz="0" w:space="0" w:color="auto"/>
        <w:right w:val="none" w:sz="0" w:space="0" w:color="auto"/>
      </w:divBdr>
    </w:div>
    <w:div w:id="335771333">
      <w:bodyDiv w:val="1"/>
      <w:marLeft w:val="0"/>
      <w:marRight w:val="0"/>
      <w:marTop w:val="0"/>
      <w:marBottom w:val="0"/>
      <w:divBdr>
        <w:top w:val="none" w:sz="0" w:space="0" w:color="auto"/>
        <w:left w:val="none" w:sz="0" w:space="0" w:color="auto"/>
        <w:bottom w:val="none" w:sz="0" w:space="0" w:color="auto"/>
        <w:right w:val="none" w:sz="0" w:space="0" w:color="auto"/>
      </w:divBdr>
    </w:div>
    <w:div w:id="336269247">
      <w:bodyDiv w:val="1"/>
      <w:marLeft w:val="0"/>
      <w:marRight w:val="0"/>
      <w:marTop w:val="0"/>
      <w:marBottom w:val="0"/>
      <w:divBdr>
        <w:top w:val="none" w:sz="0" w:space="0" w:color="auto"/>
        <w:left w:val="none" w:sz="0" w:space="0" w:color="auto"/>
        <w:bottom w:val="none" w:sz="0" w:space="0" w:color="auto"/>
        <w:right w:val="none" w:sz="0" w:space="0" w:color="auto"/>
      </w:divBdr>
      <w:divsChild>
        <w:div w:id="1324238880">
          <w:marLeft w:val="0"/>
          <w:marRight w:val="0"/>
          <w:marTop w:val="0"/>
          <w:marBottom w:val="0"/>
          <w:divBdr>
            <w:top w:val="none" w:sz="0" w:space="0" w:color="auto"/>
            <w:left w:val="none" w:sz="0" w:space="0" w:color="auto"/>
            <w:bottom w:val="none" w:sz="0" w:space="0" w:color="auto"/>
            <w:right w:val="none" w:sz="0" w:space="0" w:color="auto"/>
          </w:divBdr>
          <w:divsChild>
            <w:div w:id="308483813">
              <w:marLeft w:val="0"/>
              <w:marRight w:val="0"/>
              <w:marTop w:val="0"/>
              <w:marBottom w:val="0"/>
              <w:divBdr>
                <w:top w:val="none" w:sz="0" w:space="0" w:color="auto"/>
                <w:left w:val="none" w:sz="0" w:space="0" w:color="auto"/>
                <w:bottom w:val="none" w:sz="0" w:space="0" w:color="auto"/>
                <w:right w:val="none" w:sz="0" w:space="0" w:color="auto"/>
              </w:divBdr>
              <w:divsChild>
                <w:div w:id="111630546">
                  <w:marLeft w:val="0"/>
                  <w:marRight w:val="0"/>
                  <w:marTop w:val="0"/>
                  <w:marBottom w:val="0"/>
                  <w:divBdr>
                    <w:top w:val="none" w:sz="0" w:space="0" w:color="auto"/>
                    <w:left w:val="none" w:sz="0" w:space="0" w:color="auto"/>
                    <w:bottom w:val="none" w:sz="0" w:space="0" w:color="auto"/>
                    <w:right w:val="none" w:sz="0" w:space="0" w:color="auto"/>
                  </w:divBdr>
                  <w:divsChild>
                    <w:div w:id="3444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47293">
      <w:bodyDiv w:val="1"/>
      <w:marLeft w:val="0"/>
      <w:marRight w:val="0"/>
      <w:marTop w:val="0"/>
      <w:marBottom w:val="0"/>
      <w:divBdr>
        <w:top w:val="none" w:sz="0" w:space="0" w:color="auto"/>
        <w:left w:val="none" w:sz="0" w:space="0" w:color="auto"/>
        <w:bottom w:val="none" w:sz="0" w:space="0" w:color="auto"/>
        <w:right w:val="none" w:sz="0" w:space="0" w:color="auto"/>
      </w:divBdr>
    </w:div>
    <w:div w:id="341203103">
      <w:bodyDiv w:val="1"/>
      <w:marLeft w:val="0"/>
      <w:marRight w:val="0"/>
      <w:marTop w:val="0"/>
      <w:marBottom w:val="0"/>
      <w:divBdr>
        <w:top w:val="none" w:sz="0" w:space="0" w:color="auto"/>
        <w:left w:val="none" w:sz="0" w:space="0" w:color="auto"/>
        <w:bottom w:val="none" w:sz="0" w:space="0" w:color="auto"/>
        <w:right w:val="none" w:sz="0" w:space="0" w:color="auto"/>
      </w:divBdr>
      <w:divsChild>
        <w:div w:id="955985994">
          <w:marLeft w:val="0"/>
          <w:marRight w:val="0"/>
          <w:marTop w:val="0"/>
          <w:marBottom w:val="0"/>
          <w:divBdr>
            <w:top w:val="none" w:sz="0" w:space="0" w:color="auto"/>
            <w:left w:val="none" w:sz="0" w:space="0" w:color="auto"/>
            <w:bottom w:val="none" w:sz="0" w:space="0" w:color="auto"/>
            <w:right w:val="none" w:sz="0" w:space="0" w:color="auto"/>
          </w:divBdr>
          <w:divsChild>
            <w:div w:id="1102531247">
              <w:marLeft w:val="0"/>
              <w:marRight w:val="0"/>
              <w:marTop w:val="0"/>
              <w:marBottom w:val="0"/>
              <w:divBdr>
                <w:top w:val="none" w:sz="0" w:space="0" w:color="auto"/>
                <w:left w:val="none" w:sz="0" w:space="0" w:color="auto"/>
                <w:bottom w:val="none" w:sz="0" w:space="0" w:color="auto"/>
                <w:right w:val="none" w:sz="0" w:space="0" w:color="auto"/>
              </w:divBdr>
              <w:divsChild>
                <w:div w:id="106464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3004">
      <w:bodyDiv w:val="1"/>
      <w:marLeft w:val="0"/>
      <w:marRight w:val="0"/>
      <w:marTop w:val="0"/>
      <w:marBottom w:val="0"/>
      <w:divBdr>
        <w:top w:val="none" w:sz="0" w:space="0" w:color="auto"/>
        <w:left w:val="none" w:sz="0" w:space="0" w:color="auto"/>
        <w:bottom w:val="none" w:sz="0" w:space="0" w:color="auto"/>
        <w:right w:val="none" w:sz="0" w:space="0" w:color="auto"/>
      </w:divBdr>
    </w:div>
    <w:div w:id="341512189">
      <w:bodyDiv w:val="1"/>
      <w:marLeft w:val="0"/>
      <w:marRight w:val="0"/>
      <w:marTop w:val="0"/>
      <w:marBottom w:val="0"/>
      <w:divBdr>
        <w:top w:val="none" w:sz="0" w:space="0" w:color="auto"/>
        <w:left w:val="none" w:sz="0" w:space="0" w:color="auto"/>
        <w:bottom w:val="none" w:sz="0" w:space="0" w:color="auto"/>
        <w:right w:val="none" w:sz="0" w:space="0" w:color="auto"/>
      </w:divBdr>
      <w:divsChild>
        <w:div w:id="1161896369">
          <w:marLeft w:val="0"/>
          <w:marRight w:val="0"/>
          <w:marTop w:val="0"/>
          <w:marBottom w:val="0"/>
          <w:divBdr>
            <w:top w:val="none" w:sz="0" w:space="0" w:color="auto"/>
            <w:left w:val="none" w:sz="0" w:space="0" w:color="auto"/>
            <w:bottom w:val="none" w:sz="0" w:space="0" w:color="auto"/>
            <w:right w:val="none" w:sz="0" w:space="0" w:color="auto"/>
          </w:divBdr>
          <w:divsChild>
            <w:div w:id="1217738808">
              <w:marLeft w:val="0"/>
              <w:marRight w:val="0"/>
              <w:marTop w:val="0"/>
              <w:marBottom w:val="0"/>
              <w:divBdr>
                <w:top w:val="none" w:sz="0" w:space="0" w:color="auto"/>
                <w:left w:val="none" w:sz="0" w:space="0" w:color="auto"/>
                <w:bottom w:val="none" w:sz="0" w:space="0" w:color="auto"/>
                <w:right w:val="none" w:sz="0" w:space="0" w:color="auto"/>
              </w:divBdr>
              <w:divsChild>
                <w:div w:id="622998263">
                  <w:marLeft w:val="0"/>
                  <w:marRight w:val="0"/>
                  <w:marTop w:val="0"/>
                  <w:marBottom w:val="0"/>
                  <w:divBdr>
                    <w:top w:val="none" w:sz="0" w:space="0" w:color="auto"/>
                    <w:left w:val="none" w:sz="0" w:space="0" w:color="auto"/>
                    <w:bottom w:val="none" w:sz="0" w:space="0" w:color="auto"/>
                    <w:right w:val="none" w:sz="0" w:space="0" w:color="auto"/>
                  </w:divBdr>
                  <w:divsChild>
                    <w:div w:id="430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99897">
      <w:bodyDiv w:val="1"/>
      <w:marLeft w:val="0"/>
      <w:marRight w:val="0"/>
      <w:marTop w:val="0"/>
      <w:marBottom w:val="0"/>
      <w:divBdr>
        <w:top w:val="none" w:sz="0" w:space="0" w:color="auto"/>
        <w:left w:val="none" w:sz="0" w:space="0" w:color="auto"/>
        <w:bottom w:val="none" w:sz="0" w:space="0" w:color="auto"/>
        <w:right w:val="none" w:sz="0" w:space="0" w:color="auto"/>
      </w:divBdr>
    </w:div>
    <w:div w:id="344788074">
      <w:bodyDiv w:val="1"/>
      <w:marLeft w:val="0"/>
      <w:marRight w:val="0"/>
      <w:marTop w:val="0"/>
      <w:marBottom w:val="0"/>
      <w:divBdr>
        <w:top w:val="none" w:sz="0" w:space="0" w:color="auto"/>
        <w:left w:val="none" w:sz="0" w:space="0" w:color="auto"/>
        <w:bottom w:val="none" w:sz="0" w:space="0" w:color="auto"/>
        <w:right w:val="none" w:sz="0" w:space="0" w:color="auto"/>
      </w:divBdr>
      <w:divsChild>
        <w:div w:id="1047411128">
          <w:marLeft w:val="0"/>
          <w:marRight w:val="0"/>
          <w:marTop w:val="0"/>
          <w:marBottom w:val="0"/>
          <w:divBdr>
            <w:top w:val="none" w:sz="0" w:space="0" w:color="auto"/>
            <w:left w:val="none" w:sz="0" w:space="0" w:color="auto"/>
            <w:bottom w:val="none" w:sz="0" w:space="0" w:color="auto"/>
            <w:right w:val="none" w:sz="0" w:space="0" w:color="auto"/>
          </w:divBdr>
          <w:divsChild>
            <w:div w:id="761029133">
              <w:marLeft w:val="0"/>
              <w:marRight w:val="0"/>
              <w:marTop w:val="0"/>
              <w:marBottom w:val="0"/>
              <w:divBdr>
                <w:top w:val="none" w:sz="0" w:space="0" w:color="auto"/>
                <w:left w:val="none" w:sz="0" w:space="0" w:color="auto"/>
                <w:bottom w:val="none" w:sz="0" w:space="0" w:color="auto"/>
                <w:right w:val="none" w:sz="0" w:space="0" w:color="auto"/>
              </w:divBdr>
              <w:divsChild>
                <w:div w:id="2051613853">
                  <w:marLeft w:val="0"/>
                  <w:marRight w:val="0"/>
                  <w:marTop w:val="0"/>
                  <w:marBottom w:val="0"/>
                  <w:divBdr>
                    <w:top w:val="none" w:sz="0" w:space="0" w:color="auto"/>
                    <w:left w:val="none" w:sz="0" w:space="0" w:color="auto"/>
                    <w:bottom w:val="none" w:sz="0" w:space="0" w:color="auto"/>
                    <w:right w:val="none" w:sz="0" w:space="0" w:color="auto"/>
                  </w:divBdr>
                  <w:divsChild>
                    <w:div w:id="854463352">
                      <w:marLeft w:val="0"/>
                      <w:marRight w:val="0"/>
                      <w:marTop w:val="0"/>
                      <w:marBottom w:val="0"/>
                      <w:divBdr>
                        <w:top w:val="none" w:sz="0" w:space="0" w:color="auto"/>
                        <w:left w:val="none" w:sz="0" w:space="0" w:color="auto"/>
                        <w:bottom w:val="none" w:sz="0" w:space="0" w:color="auto"/>
                        <w:right w:val="none" w:sz="0" w:space="0" w:color="auto"/>
                      </w:divBdr>
                      <w:divsChild>
                        <w:div w:id="435561339">
                          <w:marLeft w:val="0"/>
                          <w:marRight w:val="0"/>
                          <w:marTop w:val="60"/>
                          <w:marBottom w:val="300"/>
                          <w:divBdr>
                            <w:top w:val="none" w:sz="0" w:space="0" w:color="auto"/>
                            <w:left w:val="none" w:sz="0" w:space="0" w:color="auto"/>
                            <w:bottom w:val="none" w:sz="0" w:space="0" w:color="auto"/>
                            <w:right w:val="none" w:sz="0" w:space="0" w:color="auto"/>
                          </w:divBdr>
                          <w:divsChild>
                            <w:div w:id="1149714187">
                              <w:marLeft w:val="0"/>
                              <w:marRight w:val="0"/>
                              <w:marTop w:val="0"/>
                              <w:marBottom w:val="0"/>
                              <w:divBdr>
                                <w:top w:val="none" w:sz="0" w:space="0" w:color="auto"/>
                                <w:left w:val="none" w:sz="0" w:space="0" w:color="auto"/>
                                <w:bottom w:val="none" w:sz="0" w:space="0" w:color="auto"/>
                                <w:right w:val="none" w:sz="0" w:space="0" w:color="auto"/>
                              </w:divBdr>
                              <w:divsChild>
                                <w:div w:id="648025214">
                                  <w:marLeft w:val="0"/>
                                  <w:marRight w:val="0"/>
                                  <w:marTop w:val="0"/>
                                  <w:marBottom w:val="0"/>
                                  <w:divBdr>
                                    <w:top w:val="none" w:sz="0" w:space="0" w:color="auto"/>
                                    <w:left w:val="none" w:sz="0" w:space="0" w:color="auto"/>
                                    <w:bottom w:val="none" w:sz="0" w:space="0" w:color="auto"/>
                                    <w:right w:val="none" w:sz="0" w:space="0" w:color="auto"/>
                                  </w:divBdr>
                                  <w:divsChild>
                                    <w:div w:id="210003626">
                                      <w:marLeft w:val="0"/>
                                      <w:marRight w:val="0"/>
                                      <w:marTop w:val="0"/>
                                      <w:marBottom w:val="0"/>
                                      <w:divBdr>
                                        <w:top w:val="none" w:sz="0" w:space="0" w:color="auto"/>
                                        <w:left w:val="none" w:sz="0" w:space="0" w:color="auto"/>
                                        <w:bottom w:val="none" w:sz="0" w:space="0" w:color="auto"/>
                                        <w:right w:val="none" w:sz="0" w:space="0" w:color="auto"/>
                                      </w:divBdr>
                                      <w:divsChild>
                                        <w:div w:id="1815634484">
                                          <w:marLeft w:val="0"/>
                                          <w:marRight w:val="0"/>
                                          <w:marTop w:val="0"/>
                                          <w:marBottom w:val="0"/>
                                          <w:divBdr>
                                            <w:top w:val="none" w:sz="0" w:space="0" w:color="auto"/>
                                            <w:left w:val="none" w:sz="0" w:space="0" w:color="auto"/>
                                            <w:bottom w:val="none" w:sz="0" w:space="0" w:color="auto"/>
                                            <w:right w:val="none" w:sz="0" w:space="0" w:color="auto"/>
                                          </w:divBdr>
                                          <w:divsChild>
                                            <w:div w:id="1469587104">
                                              <w:marLeft w:val="0"/>
                                              <w:marRight w:val="0"/>
                                              <w:marTop w:val="0"/>
                                              <w:marBottom w:val="0"/>
                                              <w:divBdr>
                                                <w:top w:val="none" w:sz="0" w:space="0" w:color="auto"/>
                                                <w:left w:val="none" w:sz="0" w:space="0" w:color="auto"/>
                                                <w:bottom w:val="none" w:sz="0" w:space="0" w:color="auto"/>
                                                <w:right w:val="none" w:sz="0" w:space="0" w:color="auto"/>
                                              </w:divBdr>
                                              <w:divsChild>
                                                <w:div w:id="863133198">
                                                  <w:marLeft w:val="0"/>
                                                  <w:marRight w:val="0"/>
                                                  <w:marTop w:val="0"/>
                                                  <w:marBottom w:val="0"/>
                                                  <w:divBdr>
                                                    <w:top w:val="none" w:sz="0" w:space="0" w:color="auto"/>
                                                    <w:left w:val="none" w:sz="0" w:space="0" w:color="auto"/>
                                                    <w:bottom w:val="none" w:sz="0" w:space="0" w:color="auto"/>
                                                    <w:right w:val="none" w:sz="0" w:space="0" w:color="auto"/>
                                                  </w:divBdr>
                                                  <w:divsChild>
                                                    <w:div w:id="13807445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714703">
          <w:marLeft w:val="0"/>
          <w:marRight w:val="0"/>
          <w:marTop w:val="0"/>
          <w:marBottom w:val="0"/>
          <w:divBdr>
            <w:top w:val="none" w:sz="0" w:space="0" w:color="auto"/>
            <w:left w:val="none" w:sz="0" w:space="0" w:color="auto"/>
            <w:bottom w:val="none" w:sz="0" w:space="0" w:color="auto"/>
            <w:right w:val="none" w:sz="0" w:space="0" w:color="auto"/>
          </w:divBdr>
          <w:divsChild>
            <w:div w:id="451825583">
              <w:marLeft w:val="0"/>
              <w:marRight w:val="0"/>
              <w:marTop w:val="0"/>
              <w:marBottom w:val="0"/>
              <w:divBdr>
                <w:top w:val="none" w:sz="0" w:space="0" w:color="auto"/>
                <w:left w:val="none" w:sz="0" w:space="0" w:color="auto"/>
                <w:bottom w:val="none" w:sz="0" w:space="0" w:color="auto"/>
                <w:right w:val="none" w:sz="0" w:space="0" w:color="auto"/>
              </w:divBdr>
              <w:divsChild>
                <w:div w:id="722101302">
                  <w:marLeft w:val="0"/>
                  <w:marRight w:val="0"/>
                  <w:marTop w:val="0"/>
                  <w:marBottom w:val="0"/>
                  <w:divBdr>
                    <w:top w:val="none" w:sz="0" w:space="0" w:color="auto"/>
                    <w:left w:val="none" w:sz="0" w:space="0" w:color="auto"/>
                    <w:bottom w:val="none" w:sz="0" w:space="0" w:color="auto"/>
                    <w:right w:val="none" w:sz="0" w:space="0" w:color="auto"/>
                  </w:divBdr>
                  <w:divsChild>
                    <w:div w:id="1252590143">
                      <w:marLeft w:val="0"/>
                      <w:marRight w:val="0"/>
                      <w:marTop w:val="0"/>
                      <w:marBottom w:val="0"/>
                      <w:divBdr>
                        <w:top w:val="none" w:sz="0" w:space="0" w:color="auto"/>
                        <w:left w:val="none" w:sz="0" w:space="0" w:color="auto"/>
                        <w:bottom w:val="none" w:sz="0" w:space="0" w:color="auto"/>
                        <w:right w:val="none" w:sz="0" w:space="0" w:color="auto"/>
                      </w:divBdr>
                      <w:divsChild>
                        <w:div w:id="1141733843">
                          <w:marLeft w:val="0"/>
                          <w:marRight w:val="0"/>
                          <w:marTop w:val="0"/>
                          <w:marBottom w:val="0"/>
                          <w:divBdr>
                            <w:top w:val="none" w:sz="0" w:space="0" w:color="auto"/>
                            <w:left w:val="none" w:sz="0" w:space="0" w:color="auto"/>
                            <w:bottom w:val="none" w:sz="0" w:space="0" w:color="auto"/>
                            <w:right w:val="none" w:sz="0" w:space="0" w:color="auto"/>
                          </w:divBdr>
                          <w:divsChild>
                            <w:div w:id="1298419142">
                              <w:marLeft w:val="0"/>
                              <w:marRight w:val="0"/>
                              <w:marTop w:val="0"/>
                              <w:marBottom w:val="0"/>
                              <w:divBdr>
                                <w:top w:val="none" w:sz="0" w:space="0" w:color="auto"/>
                                <w:left w:val="none" w:sz="0" w:space="0" w:color="auto"/>
                                <w:bottom w:val="none" w:sz="0" w:space="0" w:color="auto"/>
                                <w:right w:val="none" w:sz="0" w:space="0" w:color="auto"/>
                              </w:divBdr>
                              <w:divsChild>
                                <w:div w:id="694966590">
                                  <w:marLeft w:val="0"/>
                                  <w:marRight w:val="0"/>
                                  <w:marTop w:val="0"/>
                                  <w:marBottom w:val="0"/>
                                  <w:divBdr>
                                    <w:top w:val="none" w:sz="0" w:space="0" w:color="auto"/>
                                    <w:left w:val="none" w:sz="0" w:space="0" w:color="auto"/>
                                    <w:bottom w:val="none" w:sz="0" w:space="0" w:color="auto"/>
                                    <w:right w:val="none" w:sz="0" w:space="0" w:color="auto"/>
                                  </w:divBdr>
                                  <w:divsChild>
                                    <w:div w:id="803350382">
                                      <w:marLeft w:val="0"/>
                                      <w:marRight w:val="0"/>
                                      <w:marTop w:val="0"/>
                                      <w:marBottom w:val="0"/>
                                      <w:divBdr>
                                        <w:top w:val="none" w:sz="0" w:space="0" w:color="auto"/>
                                        <w:left w:val="none" w:sz="0" w:space="0" w:color="auto"/>
                                        <w:bottom w:val="none" w:sz="0" w:space="0" w:color="auto"/>
                                        <w:right w:val="none" w:sz="0" w:space="0" w:color="auto"/>
                                      </w:divBdr>
                                      <w:divsChild>
                                        <w:div w:id="933975681">
                                          <w:marLeft w:val="0"/>
                                          <w:marRight w:val="0"/>
                                          <w:marTop w:val="0"/>
                                          <w:marBottom w:val="0"/>
                                          <w:divBdr>
                                            <w:top w:val="none" w:sz="0" w:space="0" w:color="auto"/>
                                            <w:left w:val="none" w:sz="0" w:space="0" w:color="auto"/>
                                            <w:bottom w:val="none" w:sz="0" w:space="0" w:color="auto"/>
                                            <w:right w:val="none" w:sz="0" w:space="0" w:color="auto"/>
                                          </w:divBdr>
                                          <w:divsChild>
                                            <w:div w:id="861548939">
                                              <w:marLeft w:val="0"/>
                                              <w:marRight w:val="0"/>
                                              <w:marTop w:val="0"/>
                                              <w:marBottom w:val="0"/>
                                              <w:divBdr>
                                                <w:top w:val="none" w:sz="0" w:space="0" w:color="auto"/>
                                                <w:left w:val="none" w:sz="0" w:space="0" w:color="auto"/>
                                                <w:bottom w:val="none" w:sz="0" w:space="0" w:color="auto"/>
                                                <w:right w:val="none" w:sz="0" w:space="0" w:color="auto"/>
                                              </w:divBdr>
                                              <w:divsChild>
                                                <w:div w:id="1280336264">
                                                  <w:marLeft w:val="0"/>
                                                  <w:marRight w:val="0"/>
                                                  <w:marTop w:val="0"/>
                                                  <w:marBottom w:val="0"/>
                                                  <w:divBdr>
                                                    <w:top w:val="none" w:sz="0" w:space="0" w:color="auto"/>
                                                    <w:left w:val="none" w:sz="0" w:space="0" w:color="auto"/>
                                                    <w:bottom w:val="none" w:sz="0" w:space="0" w:color="auto"/>
                                                    <w:right w:val="none" w:sz="0" w:space="0" w:color="auto"/>
                                                  </w:divBdr>
                                                  <w:divsChild>
                                                    <w:div w:id="333651688">
                                                      <w:marLeft w:val="0"/>
                                                      <w:marRight w:val="0"/>
                                                      <w:marTop w:val="0"/>
                                                      <w:marBottom w:val="0"/>
                                                      <w:divBdr>
                                                        <w:top w:val="none" w:sz="0" w:space="0" w:color="auto"/>
                                                        <w:left w:val="none" w:sz="0" w:space="0" w:color="auto"/>
                                                        <w:bottom w:val="none" w:sz="0" w:space="0" w:color="auto"/>
                                                        <w:right w:val="none" w:sz="0" w:space="0" w:color="auto"/>
                                                      </w:divBdr>
                                                      <w:divsChild>
                                                        <w:div w:id="98108790">
                                                          <w:marLeft w:val="0"/>
                                                          <w:marRight w:val="0"/>
                                                          <w:marTop w:val="0"/>
                                                          <w:marBottom w:val="0"/>
                                                          <w:divBdr>
                                                            <w:top w:val="none" w:sz="0" w:space="0" w:color="auto"/>
                                                            <w:left w:val="none" w:sz="0" w:space="0" w:color="auto"/>
                                                            <w:bottom w:val="none" w:sz="0" w:space="0" w:color="auto"/>
                                                            <w:right w:val="none" w:sz="0" w:space="0" w:color="auto"/>
                                                          </w:divBdr>
                                                          <w:divsChild>
                                                            <w:div w:id="1725062374">
                                                              <w:marLeft w:val="0"/>
                                                              <w:marRight w:val="0"/>
                                                              <w:marTop w:val="0"/>
                                                              <w:marBottom w:val="0"/>
                                                              <w:divBdr>
                                                                <w:top w:val="none" w:sz="0" w:space="0" w:color="auto"/>
                                                                <w:left w:val="none" w:sz="0" w:space="0" w:color="auto"/>
                                                                <w:bottom w:val="none" w:sz="0" w:space="0" w:color="auto"/>
                                                                <w:right w:val="none" w:sz="0" w:space="0" w:color="auto"/>
                                                              </w:divBdr>
                                                              <w:divsChild>
                                                                <w:div w:id="942110974">
                                                                  <w:marLeft w:val="0"/>
                                                                  <w:marRight w:val="0"/>
                                                                  <w:marTop w:val="0"/>
                                                                  <w:marBottom w:val="0"/>
                                                                  <w:divBdr>
                                                                    <w:top w:val="none" w:sz="0" w:space="0" w:color="auto"/>
                                                                    <w:left w:val="none" w:sz="0" w:space="0" w:color="auto"/>
                                                                    <w:bottom w:val="none" w:sz="0" w:space="0" w:color="auto"/>
                                                                    <w:right w:val="none" w:sz="0" w:space="0" w:color="auto"/>
                                                                  </w:divBdr>
                                                                  <w:divsChild>
                                                                    <w:div w:id="1077554951">
                                                                      <w:marLeft w:val="0"/>
                                                                      <w:marRight w:val="0"/>
                                                                      <w:marTop w:val="0"/>
                                                                      <w:marBottom w:val="0"/>
                                                                      <w:divBdr>
                                                                        <w:top w:val="none" w:sz="0" w:space="0" w:color="auto"/>
                                                                        <w:left w:val="none" w:sz="0" w:space="0" w:color="auto"/>
                                                                        <w:bottom w:val="none" w:sz="0" w:space="0" w:color="auto"/>
                                                                        <w:right w:val="none" w:sz="0" w:space="0" w:color="auto"/>
                                                                      </w:divBdr>
                                                                      <w:divsChild>
                                                                        <w:div w:id="920715693">
                                                                          <w:marLeft w:val="0"/>
                                                                          <w:marRight w:val="0"/>
                                                                          <w:marTop w:val="0"/>
                                                                          <w:marBottom w:val="0"/>
                                                                          <w:divBdr>
                                                                            <w:top w:val="none" w:sz="0" w:space="0" w:color="auto"/>
                                                                            <w:left w:val="none" w:sz="0" w:space="0" w:color="auto"/>
                                                                            <w:bottom w:val="none" w:sz="0" w:space="0" w:color="auto"/>
                                                                            <w:right w:val="none" w:sz="0" w:space="0" w:color="auto"/>
                                                                          </w:divBdr>
                                                                          <w:divsChild>
                                                                            <w:div w:id="2112700375">
                                                                              <w:marLeft w:val="0"/>
                                                                              <w:marRight w:val="0"/>
                                                                              <w:marTop w:val="0"/>
                                                                              <w:marBottom w:val="0"/>
                                                                              <w:divBdr>
                                                                                <w:top w:val="none" w:sz="0" w:space="0" w:color="auto"/>
                                                                                <w:left w:val="none" w:sz="0" w:space="0" w:color="auto"/>
                                                                                <w:bottom w:val="none" w:sz="0" w:space="0" w:color="auto"/>
                                                                                <w:right w:val="none" w:sz="0" w:space="0" w:color="auto"/>
                                                                              </w:divBdr>
                                                                              <w:divsChild>
                                                                                <w:div w:id="1714964398">
                                                                                  <w:marLeft w:val="0"/>
                                                                                  <w:marRight w:val="0"/>
                                                                                  <w:marTop w:val="0"/>
                                                                                  <w:marBottom w:val="0"/>
                                                                                  <w:divBdr>
                                                                                    <w:top w:val="none" w:sz="0" w:space="0" w:color="auto"/>
                                                                                    <w:left w:val="none" w:sz="0" w:space="0" w:color="auto"/>
                                                                                    <w:bottom w:val="none" w:sz="0" w:space="0" w:color="auto"/>
                                                                                    <w:right w:val="none" w:sz="0" w:space="0" w:color="auto"/>
                                                                                  </w:divBdr>
                                                                                  <w:divsChild>
                                                                                    <w:div w:id="1444885600">
                                                                                      <w:marLeft w:val="0"/>
                                                                                      <w:marRight w:val="0"/>
                                                                                      <w:marTop w:val="0"/>
                                                                                      <w:marBottom w:val="0"/>
                                                                                      <w:divBdr>
                                                                                        <w:top w:val="none" w:sz="0" w:space="0" w:color="auto"/>
                                                                                        <w:left w:val="none" w:sz="0" w:space="0" w:color="auto"/>
                                                                                        <w:bottom w:val="none" w:sz="0" w:space="0" w:color="auto"/>
                                                                                        <w:right w:val="none" w:sz="0" w:space="0" w:color="auto"/>
                                                                                      </w:divBdr>
                                                                                      <w:divsChild>
                                                                                        <w:div w:id="259918264">
                                                                                          <w:marLeft w:val="0"/>
                                                                                          <w:marRight w:val="0"/>
                                                                                          <w:marTop w:val="0"/>
                                                                                          <w:marBottom w:val="0"/>
                                                                                          <w:divBdr>
                                                                                            <w:top w:val="none" w:sz="0" w:space="0" w:color="auto"/>
                                                                                            <w:left w:val="none" w:sz="0" w:space="0" w:color="auto"/>
                                                                                            <w:bottom w:val="none" w:sz="0" w:space="0" w:color="auto"/>
                                                                                            <w:right w:val="none" w:sz="0" w:space="0" w:color="auto"/>
                                                                                          </w:divBdr>
                                                                                          <w:divsChild>
                                                                                            <w:div w:id="228274967">
                                                                                              <w:marLeft w:val="0"/>
                                                                                              <w:marRight w:val="0"/>
                                                                                              <w:marTop w:val="0"/>
                                                                                              <w:marBottom w:val="0"/>
                                                                                              <w:divBdr>
                                                                                                <w:top w:val="none" w:sz="0" w:space="0" w:color="auto"/>
                                                                                                <w:left w:val="none" w:sz="0" w:space="0" w:color="auto"/>
                                                                                                <w:bottom w:val="none" w:sz="0" w:space="0" w:color="auto"/>
                                                                                                <w:right w:val="none" w:sz="0" w:space="0" w:color="auto"/>
                                                                                              </w:divBdr>
                                                                                              <w:divsChild>
                                                                                                <w:div w:id="2048528359">
                                                                                                  <w:marLeft w:val="0"/>
                                                                                                  <w:marRight w:val="0"/>
                                                                                                  <w:marTop w:val="0"/>
                                                                                                  <w:marBottom w:val="0"/>
                                                                                                  <w:divBdr>
                                                                                                    <w:top w:val="none" w:sz="0" w:space="0" w:color="auto"/>
                                                                                                    <w:left w:val="none" w:sz="0" w:space="0" w:color="auto"/>
                                                                                                    <w:bottom w:val="none" w:sz="0" w:space="0" w:color="auto"/>
                                                                                                    <w:right w:val="none" w:sz="0" w:space="0" w:color="auto"/>
                                                                                                  </w:divBdr>
                                                                                                  <w:divsChild>
                                                                                                    <w:div w:id="1690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329442">
      <w:bodyDiv w:val="1"/>
      <w:marLeft w:val="0"/>
      <w:marRight w:val="0"/>
      <w:marTop w:val="0"/>
      <w:marBottom w:val="0"/>
      <w:divBdr>
        <w:top w:val="none" w:sz="0" w:space="0" w:color="auto"/>
        <w:left w:val="none" w:sz="0" w:space="0" w:color="auto"/>
        <w:bottom w:val="none" w:sz="0" w:space="0" w:color="auto"/>
        <w:right w:val="none" w:sz="0" w:space="0" w:color="auto"/>
      </w:divBdr>
      <w:divsChild>
        <w:div w:id="403376029">
          <w:marLeft w:val="0"/>
          <w:marRight w:val="0"/>
          <w:marTop w:val="0"/>
          <w:marBottom w:val="0"/>
          <w:divBdr>
            <w:top w:val="none" w:sz="0" w:space="0" w:color="auto"/>
            <w:left w:val="none" w:sz="0" w:space="0" w:color="auto"/>
            <w:bottom w:val="none" w:sz="0" w:space="0" w:color="auto"/>
            <w:right w:val="none" w:sz="0" w:space="0" w:color="auto"/>
          </w:divBdr>
          <w:divsChild>
            <w:div w:id="25834927">
              <w:marLeft w:val="0"/>
              <w:marRight w:val="0"/>
              <w:marTop w:val="0"/>
              <w:marBottom w:val="0"/>
              <w:divBdr>
                <w:top w:val="none" w:sz="0" w:space="0" w:color="auto"/>
                <w:left w:val="none" w:sz="0" w:space="0" w:color="auto"/>
                <w:bottom w:val="none" w:sz="0" w:space="0" w:color="auto"/>
                <w:right w:val="none" w:sz="0" w:space="0" w:color="auto"/>
              </w:divBdr>
              <w:divsChild>
                <w:div w:id="18371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61161">
      <w:bodyDiv w:val="1"/>
      <w:marLeft w:val="0"/>
      <w:marRight w:val="0"/>
      <w:marTop w:val="0"/>
      <w:marBottom w:val="0"/>
      <w:divBdr>
        <w:top w:val="none" w:sz="0" w:space="0" w:color="auto"/>
        <w:left w:val="none" w:sz="0" w:space="0" w:color="auto"/>
        <w:bottom w:val="none" w:sz="0" w:space="0" w:color="auto"/>
        <w:right w:val="none" w:sz="0" w:space="0" w:color="auto"/>
      </w:divBdr>
    </w:div>
    <w:div w:id="347484956">
      <w:bodyDiv w:val="1"/>
      <w:marLeft w:val="0"/>
      <w:marRight w:val="0"/>
      <w:marTop w:val="0"/>
      <w:marBottom w:val="0"/>
      <w:divBdr>
        <w:top w:val="none" w:sz="0" w:space="0" w:color="auto"/>
        <w:left w:val="none" w:sz="0" w:space="0" w:color="auto"/>
        <w:bottom w:val="none" w:sz="0" w:space="0" w:color="auto"/>
        <w:right w:val="none" w:sz="0" w:space="0" w:color="auto"/>
      </w:divBdr>
      <w:divsChild>
        <w:div w:id="280964230">
          <w:marLeft w:val="0"/>
          <w:marRight w:val="0"/>
          <w:marTop w:val="0"/>
          <w:marBottom w:val="0"/>
          <w:divBdr>
            <w:top w:val="none" w:sz="0" w:space="0" w:color="auto"/>
            <w:left w:val="none" w:sz="0" w:space="0" w:color="auto"/>
            <w:bottom w:val="none" w:sz="0" w:space="0" w:color="auto"/>
            <w:right w:val="none" w:sz="0" w:space="0" w:color="auto"/>
          </w:divBdr>
          <w:divsChild>
            <w:div w:id="183248142">
              <w:marLeft w:val="0"/>
              <w:marRight w:val="0"/>
              <w:marTop w:val="0"/>
              <w:marBottom w:val="0"/>
              <w:divBdr>
                <w:top w:val="none" w:sz="0" w:space="0" w:color="auto"/>
                <w:left w:val="none" w:sz="0" w:space="0" w:color="auto"/>
                <w:bottom w:val="none" w:sz="0" w:space="0" w:color="auto"/>
                <w:right w:val="none" w:sz="0" w:space="0" w:color="auto"/>
              </w:divBdr>
              <w:divsChild>
                <w:div w:id="13046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7661">
      <w:bodyDiv w:val="1"/>
      <w:marLeft w:val="0"/>
      <w:marRight w:val="0"/>
      <w:marTop w:val="0"/>
      <w:marBottom w:val="0"/>
      <w:divBdr>
        <w:top w:val="none" w:sz="0" w:space="0" w:color="auto"/>
        <w:left w:val="none" w:sz="0" w:space="0" w:color="auto"/>
        <w:bottom w:val="none" w:sz="0" w:space="0" w:color="auto"/>
        <w:right w:val="none" w:sz="0" w:space="0" w:color="auto"/>
      </w:divBdr>
      <w:divsChild>
        <w:div w:id="2053721914">
          <w:marLeft w:val="0"/>
          <w:marRight w:val="0"/>
          <w:marTop w:val="0"/>
          <w:marBottom w:val="0"/>
          <w:divBdr>
            <w:top w:val="none" w:sz="0" w:space="0" w:color="auto"/>
            <w:left w:val="none" w:sz="0" w:space="0" w:color="auto"/>
            <w:bottom w:val="none" w:sz="0" w:space="0" w:color="auto"/>
            <w:right w:val="none" w:sz="0" w:space="0" w:color="auto"/>
          </w:divBdr>
          <w:divsChild>
            <w:div w:id="550307733">
              <w:marLeft w:val="0"/>
              <w:marRight w:val="0"/>
              <w:marTop w:val="0"/>
              <w:marBottom w:val="0"/>
              <w:divBdr>
                <w:top w:val="none" w:sz="0" w:space="0" w:color="auto"/>
                <w:left w:val="none" w:sz="0" w:space="0" w:color="auto"/>
                <w:bottom w:val="none" w:sz="0" w:space="0" w:color="auto"/>
                <w:right w:val="none" w:sz="0" w:space="0" w:color="auto"/>
              </w:divBdr>
              <w:divsChild>
                <w:div w:id="8523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7909">
      <w:bodyDiv w:val="1"/>
      <w:marLeft w:val="0"/>
      <w:marRight w:val="0"/>
      <w:marTop w:val="0"/>
      <w:marBottom w:val="0"/>
      <w:divBdr>
        <w:top w:val="none" w:sz="0" w:space="0" w:color="auto"/>
        <w:left w:val="none" w:sz="0" w:space="0" w:color="auto"/>
        <w:bottom w:val="none" w:sz="0" w:space="0" w:color="auto"/>
        <w:right w:val="none" w:sz="0" w:space="0" w:color="auto"/>
      </w:divBdr>
    </w:div>
    <w:div w:id="358438811">
      <w:bodyDiv w:val="1"/>
      <w:marLeft w:val="0"/>
      <w:marRight w:val="0"/>
      <w:marTop w:val="0"/>
      <w:marBottom w:val="0"/>
      <w:divBdr>
        <w:top w:val="none" w:sz="0" w:space="0" w:color="auto"/>
        <w:left w:val="none" w:sz="0" w:space="0" w:color="auto"/>
        <w:bottom w:val="none" w:sz="0" w:space="0" w:color="auto"/>
        <w:right w:val="none" w:sz="0" w:space="0" w:color="auto"/>
      </w:divBdr>
    </w:div>
    <w:div w:id="362286734">
      <w:bodyDiv w:val="1"/>
      <w:marLeft w:val="0"/>
      <w:marRight w:val="0"/>
      <w:marTop w:val="0"/>
      <w:marBottom w:val="0"/>
      <w:divBdr>
        <w:top w:val="none" w:sz="0" w:space="0" w:color="auto"/>
        <w:left w:val="none" w:sz="0" w:space="0" w:color="auto"/>
        <w:bottom w:val="none" w:sz="0" w:space="0" w:color="auto"/>
        <w:right w:val="none" w:sz="0" w:space="0" w:color="auto"/>
      </w:divBdr>
      <w:divsChild>
        <w:div w:id="702436265">
          <w:marLeft w:val="0"/>
          <w:marRight w:val="0"/>
          <w:marTop w:val="0"/>
          <w:marBottom w:val="0"/>
          <w:divBdr>
            <w:top w:val="none" w:sz="0" w:space="0" w:color="auto"/>
            <w:left w:val="none" w:sz="0" w:space="0" w:color="auto"/>
            <w:bottom w:val="none" w:sz="0" w:space="0" w:color="auto"/>
            <w:right w:val="none" w:sz="0" w:space="0" w:color="auto"/>
          </w:divBdr>
          <w:divsChild>
            <w:div w:id="1274365481">
              <w:marLeft w:val="0"/>
              <w:marRight w:val="0"/>
              <w:marTop w:val="0"/>
              <w:marBottom w:val="0"/>
              <w:divBdr>
                <w:top w:val="none" w:sz="0" w:space="0" w:color="auto"/>
                <w:left w:val="none" w:sz="0" w:space="0" w:color="auto"/>
                <w:bottom w:val="none" w:sz="0" w:space="0" w:color="auto"/>
                <w:right w:val="none" w:sz="0" w:space="0" w:color="auto"/>
              </w:divBdr>
              <w:divsChild>
                <w:div w:id="1664164208">
                  <w:marLeft w:val="0"/>
                  <w:marRight w:val="0"/>
                  <w:marTop w:val="0"/>
                  <w:marBottom w:val="0"/>
                  <w:divBdr>
                    <w:top w:val="none" w:sz="0" w:space="0" w:color="auto"/>
                    <w:left w:val="none" w:sz="0" w:space="0" w:color="auto"/>
                    <w:bottom w:val="none" w:sz="0" w:space="0" w:color="auto"/>
                    <w:right w:val="none" w:sz="0" w:space="0" w:color="auto"/>
                  </w:divBdr>
                  <w:divsChild>
                    <w:div w:id="5622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292130">
      <w:bodyDiv w:val="1"/>
      <w:marLeft w:val="0"/>
      <w:marRight w:val="0"/>
      <w:marTop w:val="0"/>
      <w:marBottom w:val="0"/>
      <w:divBdr>
        <w:top w:val="none" w:sz="0" w:space="0" w:color="auto"/>
        <w:left w:val="none" w:sz="0" w:space="0" w:color="auto"/>
        <w:bottom w:val="none" w:sz="0" w:space="0" w:color="auto"/>
        <w:right w:val="none" w:sz="0" w:space="0" w:color="auto"/>
      </w:divBdr>
      <w:divsChild>
        <w:div w:id="1151291143">
          <w:marLeft w:val="0"/>
          <w:marRight w:val="0"/>
          <w:marTop w:val="0"/>
          <w:marBottom w:val="0"/>
          <w:divBdr>
            <w:top w:val="none" w:sz="0" w:space="0" w:color="auto"/>
            <w:left w:val="none" w:sz="0" w:space="0" w:color="auto"/>
            <w:bottom w:val="none" w:sz="0" w:space="0" w:color="auto"/>
            <w:right w:val="none" w:sz="0" w:space="0" w:color="auto"/>
          </w:divBdr>
        </w:div>
        <w:div w:id="1549298559">
          <w:marLeft w:val="0"/>
          <w:marRight w:val="0"/>
          <w:marTop w:val="0"/>
          <w:marBottom w:val="0"/>
          <w:divBdr>
            <w:top w:val="none" w:sz="0" w:space="0" w:color="auto"/>
            <w:left w:val="none" w:sz="0" w:space="0" w:color="auto"/>
            <w:bottom w:val="none" w:sz="0" w:space="0" w:color="auto"/>
            <w:right w:val="none" w:sz="0" w:space="0" w:color="auto"/>
          </w:divBdr>
        </w:div>
      </w:divsChild>
    </w:div>
    <w:div w:id="362747558">
      <w:bodyDiv w:val="1"/>
      <w:marLeft w:val="0"/>
      <w:marRight w:val="0"/>
      <w:marTop w:val="0"/>
      <w:marBottom w:val="0"/>
      <w:divBdr>
        <w:top w:val="none" w:sz="0" w:space="0" w:color="auto"/>
        <w:left w:val="none" w:sz="0" w:space="0" w:color="auto"/>
        <w:bottom w:val="none" w:sz="0" w:space="0" w:color="auto"/>
        <w:right w:val="none" w:sz="0" w:space="0" w:color="auto"/>
      </w:divBdr>
      <w:divsChild>
        <w:div w:id="417990372">
          <w:marLeft w:val="0"/>
          <w:marRight w:val="0"/>
          <w:marTop w:val="0"/>
          <w:marBottom w:val="0"/>
          <w:divBdr>
            <w:top w:val="none" w:sz="0" w:space="0" w:color="auto"/>
            <w:left w:val="none" w:sz="0" w:space="0" w:color="auto"/>
            <w:bottom w:val="none" w:sz="0" w:space="0" w:color="auto"/>
            <w:right w:val="none" w:sz="0" w:space="0" w:color="auto"/>
          </w:divBdr>
        </w:div>
        <w:div w:id="1969388146">
          <w:marLeft w:val="0"/>
          <w:marRight w:val="0"/>
          <w:marTop w:val="0"/>
          <w:marBottom w:val="0"/>
          <w:divBdr>
            <w:top w:val="none" w:sz="0" w:space="0" w:color="auto"/>
            <w:left w:val="none" w:sz="0" w:space="0" w:color="auto"/>
            <w:bottom w:val="none" w:sz="0" w:space="0" w:color="auto"/>
            <w:right w:val="none" w:sz="0" w:space="0" w:color="auto"/>
          </w:divBdr>
        </w:div>
      </w:divsChild>
    </w:div>
    <w:div w:id="363289600">
      <w:bodyDiv w:val="1"/>
      <w:marLeft w:val="0"/>
      <w:marRight w:val="0"/>
      <w:marTop w:val="0"/>
      <w:marBottom w:val="0"/>
      <w:divBdr>
        <w:top w:val="none" w:sz="0" w:space="0" w:color="auto"/>
        <w:left w:val="none" w:sz="0" w:space="0" w:color="auto"/>
        <w:bottom w:val="none" w:sz="0" w:space="0" w:color="auto"/>
        <w:right w:val="none" w:sz="0" w:space="0" w:color="auto"/>
      </w:divBdr>
      <w:divsChild>
        <w:div w:id="1306664536">
          <w:marLeft w:val="0"/>
          <w:marRight w:val="0"/>
          <w:marTop w:val="0"/>
          <w:marBottom w:val="0"/>
          <w:divBdr>
            <w:top w:val="none" w:sz="0" w:space="0" w:color="auto"/>
            <w:left w:val="none" w:sz="0" w:space="0" w:color="auto"/>
            <w:bottom w:val="none" w:sz="0" w:space="0" w:color="auto"/>
            <w:right w:val="none" w:sz="0" w:space="0" w:color="auto"/>
          </w:divBdr>
          <w:divsChild>
            <w:div w:id="824470464">
              <w:marLeft w:val="0"/>
              <w:marRight w:val="0"/>
              <w:marTop w:val="0"/>
              <w:marBottom w:val="0"/>
              <w:divBdr>
                <w:top w:val="none" w:sz="0" w:space="0" w:color="auto"/>
                <w:left w:val="none" w:sz="0" w:space="0" w:color="auto"/>
                <w:bottom w:val="none" w:sz="0" w:space="0" w:color="auto"/>
                <w:right w:val="none" w:sz="0" w:space="0" w:color="auto"/>
              </w:divBdr>
              <w:divsChild>
                <w:div w:id="361710945">
                  <w:marLeft w:val="0"/>
                  <w:marRight w:val="0"/>
                  <w:marTop w:val="0"/>
                  <w:marBottom w:val="0"/>
                  <w:divBdr>
                    <w:top w:val="none" w:sz="0" w:space="0" w:color="auto"/>
                    <w:left w:val="none" w:sz="0" w:space="0" w:color="auto"/>
                    <w:bottom w:val="none" w:sz="0" w:space="0" w:color="auto"/>
                    <w:right w:val="none" w:sz="0" w:space="0" w:color="auto"/>
                  </w:divBdr>
                  <w:divsChild>
                    <w:div w:id="3849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4393">
      <w:bodyDiv w:val="1"/>
      <w:marLeft w:val="0"/>
      <w:marRight w:val="0"/>
      <w:marTop w:val="0"/>
      <w:marBottom w:val="0"/>
      <w:divBdr>
        <w:top w:val="none" w:sz="0" w:space="0" w:color="auto"/>
        <w:left w:val="none" w:sz="0" w:space="0" w:color="auto"/>
        <w:bottom w:val="none" w:sz="0" w:space="0" w:color="auto"/>
        <w:right w:val="none" w:sz="0" w:space="0" w:color="auto"/>
      </w:divBdr>
      <w:divsChild>
        <w:div w:id="154928416">
          <w:marLeft w:val="0"/>
          <w:marRight w:val="0"/>
          <w:marTop w:val="0"/>
          <w:marBottom w:val="0"/>
          <w:divBdr>
            <w:top w:val="none" w:sz="0" w:space="0" w:color="auto"/>
            <w:left w:val="none" w:sz="0" w:space="0" w:color="auto"/>
            <w:bottom w:val="none" w:sz="0" w:space="0" w:color="auto"/>
            <w:right w:val="none" w:sz="0" w:space="0" w:color="auto"/>
          </w:divBdr>
          <w:divsChild>
            <w:div w:id="810901738">
              <w:marLeft w:val="0"/>
              <w:marRight w:val="0"/>
              <w:marTop w:val="0"/>
              <w:marBottom w:val="0"/>
              <w:divBdr>
                <w:top w:val="none" w:sz="0" w:space="0" w:color="auto"/>
                <w:left w:val="none" w:sz="0" w:space="0" w:color="auto"/>
                <w:bottom w:val="none" w:sz="0" w:space="0" w:color="auto"/>
                <w:right w:val="none" w:sz="0" w:space="0" w:color="auto"/>
              </w:divBdr>
              <w:divsChild>
                <w:div w:id="12944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08391">
      <w:bodyDiv w:val="1"/>
      <w:marLeft w:val="0"/>
      <w:marRight w:val="0"/>
      <w:marTop w:val="0"/>
      <w:marBottom w:val="0"/>
      <w:divBdr>
        <w:top w:val="none" w:sz="0" w:space="0" w:color="auto"/>
        <w:left w:val="none" w:sz="0" w:space="0" w:color="auto"/>
        <w:bottom w:val="none" w:sz="0" w:space="0" w:color="auto"/>
        <w:right w:val="none" w:sz="0" w:space="0" w:color="auto"/>
      </w:divBdr>
    </w:div>
    <w:div w:id="370807514">
      <w:bodyDiv w:val="1"/>
      <w:marLeft w:val="0"/>
      <w:marRight w:val="0"/>
      <w:marTop w:val="0"/>
      <w:marBottom w:val="0"/>
      <w:divBdr>
        <w:top w:val="none" w:sz="0" w:space="0" w:color="auto"/>
        <w:left w:val="none" w:sz="0" w:space="0" w:color="auto"/>
        <w:bottom w:val="none" w:sz="0" w:space="0" w:color="auto"/>
        <w:right w:val="none" w:sz="0" w:space="0" w:color="auto"/>
      </w:divBdr>
      <w:divsChild>
        <w:div w:id="649138188">
          <w:marLeft w:val="0"/>
          <w:marRight w:val="0"/>
          <w:marTop w:val="0"/>
          <w:marBottom w:val="0"/>
          <w:divBdr>
            <w:top w:val="none" w:sz="0" w:space="0" w:color="auto"/>
            <w:left w:val="none" w:sz="0" w:space="0" w:color="auto"/>
            <w:bottom w:val="none" w:sz="0" w:space="0" w:color="auto"/>
            <w:right w:val="none" w:sz="0" w:space="0" w:color="auto"/>
          </w:divBdr>
          <w:divsChild>
            <w:div w:id="180515929">
              <w:marLeft w:val="0"/>
              <w:marRight w:val="0"/>
              <w:marTop w:val="0"/>
              <w:marBottom w:val="0"/>
              <w:divBdr>
                <w:top w:val="none" w:sz="0" w:space="0" w:color="auto"/>
                <w:left w:val="none" w:sz="0" w:space="0" w:color="auto"/>
                <w:bottom w:val="none" w:sz="0" w:space="0" w:color="auto"/>
                <w:right w:val="none" w:sz="0" w:space="0" w:color="auto"/>
              </w:divBdr>
              <w:divsChild>
                <w:div w:id="2329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98844">
      <w:bodyDiv w:val="1"/>
      <w:marLeft w:val="0"/>
      <w:marRight w:val="0"/>
      <w:marTop w:val="0"/>
      <w:marBottom w:val="0"/>
      <w:divBdr>
        <w:top w:val="none" w:sz="0" w:space="0" w:color="auto"/>
        <w:left w:val="none" w:sz="0" w:space="0" w:color="auto"/>
        <w:bottom w:val="none" w:sz="0" w:space="0" w:color="auto"/>
        <w:right w:val="none" w:sz="0" w:space="0" w:color="auto"/>
      </w:divBdr>
    </w:div>
    <w:div w:id="373120582">
      <w:bodyDiv w:val="1"/>
      <w:marLeft w:val="0"/>
      <w:marRight w:val="0"/>
      <w:marTop w:val="0"/>
      <w:marBottom w:val="0"/>
      <w:divBdr>
        <w:top w:val="none" w:sz="0" w:space="0" w:color="auto"/>
        <w:left w:val="none" w:sz="0" w:space="0" w:color="auto"/>
        <w:bottom w:val="none" w:sz="0" w:space="0" w:color="auto"/>
        <w:right w:val="none" w:sz="0" w:space="0" w:color="auto"/>
      </w:divBdr>
      <w:divsChild>
        <w:div w:id="1241135058">
          <w:marLeft w:val="0"/>
          <w:marRight w:val="0"/>
          <w:marTop w:val="0"/>
          <w:marBottom w:val="0"/>
          <w:divBdr>
            <w:top w:val="none" w:sz="0" w:space="0" w:color="auto"/>
            <w:left w:val="none" w:sz="0" w:space="0" w:color="auto"/>
            <w:bottom w:val="none" w:sz="0" w:space="0" w:color="auto"/>
            <w:right w:val="none" w:sz="0" w:space="0" w:color="auto"/>
          </w:divBdr>
          <w:divsChild>
            <w:div w:id="1760253506">
              <w:marLeft w:val="0"/>
              <w:marRight w:val="0"/>
              <w:marTop w:val="0"/>
              <w:marBottom w:val="0"/>
              <w:divBdr>
                <w:top w:val="none" w:sz="0" w:space="0" w:color="auto"/>
                <w:left w:val="none" w:sz="0" w:space="0" w:color="auto"/>
                <w:bottom w:val="none" w:sz="0" w:space="0" w:color="auto"/>
                <w:right w:val="none" w:sz="0" w:space="0" w:color="auto"/>
              </w:divBdr>
              <w:divsChild>
                <w:div w:id="1828400768">
                  <w:marLeft w:val="0"/>
                  <w:marRight w:val="0"/>
                  <w:marTop w:val="0"/>
                  <w:marBottom w:val="0"/>
                  <w:divBdr>
                    <w:top w:val="none" w:sz="0" w:space="0" w:color="auto"/>
                    <w:left w:val="none" w:sz="0" w:space="0" w:color="auto"/>
                    <w:bottom w:val="none" w:sz="0" w:space="0" w:color="auto"/>
                    <w:right w:val="none" w:sz="0" w:space="0" w:color="auto"/>
                  </w:divBdr>
                  <w:divsChild>
                    <w:div w:id="9351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745010">
      <w:bodyDiv w:val="1"/>
      <w:marLeft w:val="0"/>
      <w:marRight w:val="0"/>
      <w:marTop w:val="0"/>
      <w:marBottom w:val="0"/>
      <w:divBdr>
        <w:top w:val="none" w:sz="0" w:space="0" w:color="auto"/>
        <w:left w:val="none" w:sz="0" w:space="0" w:color="auto"/>
        <w:bottom w:val="none" w:sz="0" w:space="0" w:color="auto"/>
        <w:right w:val="none" w:sz="0" w:space="0" w:color="auto"/>
      </w:divBdr>
      <w:divsChild>
        <w:div w:id="1897163667">
          <w:marLeft w:val="0"/>
          <w:marRight w:val="0"/>
          <w:marTop w:val="0"/>
          <w:marBottom w:val="0"/>
          <w:divBdr>
            <w:top w:val="none" w:sz="0" w:space="0" w:color="auto"/>
            <w:left w:val="none" w:sz="0" w:space="0" w:color="auto"/>
            <w:bottom w:val="none" w:sz="0" w:space="0" w:color="auto"/>
            <w:right w:val="none" w:sz="0" w:space="0" w:color="auto"/>
          </w:divBdr>
          <w:divsChild>
            <w:div w:id="15985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3229">
      <w:bodyDiv w:val="1"/>
      <w:marLeft w:val="0"/>
      <w:marRight w:val="0"/>
      <w:marTop w:val="0"/>
      <w:marBottom w:val="0"/>
      <w:divBdr>
        <w:top w:val="none" w:sz="0" w:space="0" w:color="auto"/>
        <w:left w:val="none" w:sz="0" w:space="0" w:color="auto"/>
        <w:bottom w:val="none" w:sz="0" w:space="0" w:color="auto"/>
        <w:right w:val="none" w:sz="0" w:space="0" w:color="auto"/>
      </w:divBdr>
      <w:divsChild>
        <w:div w:id="814762817">
          <w:marLeft w:val="0"/>
          <w:marRight w:val="0"/>
          <w:marTop w:val="0"/>
          <w:marBottom w:val="0"/>
          <w:divBdr>
            <w:top w:val="none" w:sz="0" w:space="0" w:color="auto"/>
            <w:left w:val="none" w:sz="0" w:space="0" w:color="auto"/>
            <w:bottom w:val="none" w:sz="0" w:space="0" w:color="auto"/>
            <w:right w:val="none" w:sz="0" w:space="0" w:color="auto"/>
          </w:divBdr>
          <w:divsChild>
            <w:div w:id="925848980">
              <w:marLeft w:val="0"/>
              <w:marRight w:val="0"/>
              <w:marTop w:val="0"/>
              <w:marBottom w:val="0"/>
              <w:divBdr>
                <w:top w:val="none" w:sz="0" w:space="0" w:color="auto"/>
                <w:left w:val="none" w:sz="0" w:space="0" w:color="auto"/>
                <w:bottom w:val="none" w:sz="0" w:space="0" w:color="auto"/>
                <w:right w:val="none" w:sz="0" w:space="0" w:color="auto"/>
              </w:divBdr>
              <w:divsChild>
                <w:div w:id="100610453">
                  <w:marLeft w:val="0"/>
                  <w:marRight w:val="0"/>
                  <w:marTop w:val="0"/>
                  <w:marBottom w:val="0"/>
                  <w:divBdr>
                    <w:top w:val="none" w:sz="0" w:space="0" w:color="auto"/>
                    <w:left w:val="none" w:sz="0" w:space="0" w:color="auto"/>
                    <w:bottom w:val="none" w:sz="0" w:space="0" w:color="auto"/>
                    <w:right w:val="none" w:sz="0" w:space="0" w:color="auto"/>
                  </w:divBdr>
                  <w:divsChild>
                    <w:div w:id="9174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517052">
      <w:bodyDiv w:val="1"/>
      <w:marLeft w:val="0"/>
      <w:marRight w:val="0"/>
      <w:marTop w:val="0"/>
      <w:marBottom w:val="0"/>
      <w:divBdr>
        <w:top w:val="none" w:sz="0" w:space="0" w:color="auto"/>
        <w:left w:val="none" w:sz="0" w:space="0" w:color="auto"/>
        <w:bottom w:val="none" w:sz="0" w:space="0" w:color="auto"/>
        <w:right w:val="none" w:sz="0" w:space="0" w:color="auto"/>
      </w:divBdr>
      <w:divsChild>
        <w:div w:id="1483354593">
          <w:marLeft w:val="0"/>
          <w:marRight w:val="0"/>
          <w:marTop w:val="0"/>
          <w:marBottom w:val="0"/>
          <w:divBdr>
            <w:top w:val="none" w:sz="0" w:space="0" w:color="auto"/>
            <w:left w:val="none" w:sz="0" w:space="0" w:color="auto"/>
            <w:bottom w:val="none" w:sz="0" w:space="0" w:color="auto"/>
            <w:right w:val="none" w:sz="0" w:space="0" w:color="auto"/>
          </w:divBdr>
          <w:divsChild>
            <w:div w:id="2881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8933">
      <w:bodyDiv w:val="1"/>
      <w:marLeft w:val="0"/>
      <w:marRight w:val="0"/>
      <w:marTop w:val="0"/>
      <w:marBottom w:val="0"/>
      <w:divBdr>
        <w:top w:val="none" w:sz="0" w:space="0" w:color="auto"/>
        <w:left w:val="none" w:sz="0" w:space="0" w:color="auto"/>
        <w:bottom w:val="none" w:sz="0" w:space="0" w:color="auto"/>
        <w:right w:val="none" w:sz="0" w:space="0" w:color="auto"/>
      </w:divBdr>
      <w:divsChild>
        <w:div w:id="640581298">
          <w:marLeft w:val="0"/>
          <w:marRight w:val="0"/>
          <w:marTop w:val="0"/>
          <w:marBottom w:val="0"/>
          <w:divBdr>
            <w:top w:val="none" w:sz="0" w:space="0" w:color="auto"/>
            <w:left w:val="none" w:sz="0" w:space="0" w:color="auto"/>
            <w:bottom w:val="none" w:sz="0" w:space="0" w:color="auto"/>
            <w:right w:val="none" w:sz="0" w:space="0" w:color="auto"/>
          </w:divBdr>
          <w:divsChild>
            <w:div w:id="977957493">
              <w:marLeft w:val="0"/>
              <w:marRight w:val="0"/>
              <w:marTop w:val="0"/>
              <w:marBottom w:val="0"/>
              <w:divBdr>
                <w:top w:val="none" w:sz="0" w:space="0" w:color="auto"/>
                <w:left w:val="none" w:sz="0" w:space="0" w:color="auto"/>
                <w:bottom w:val="none" w:sz="0" w:space="0" w:color="auto"/>
                <w:right w:val="none" w:sz="0" w:space="0" w:color="auto"/>
              </w:divBdr>
              <w:divsChild>
                <w:div w:id="10079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76810">
      <w:bodyDiv w:val="1"/>
      <w:marLeft w:val="0"/>
      <w:marRight w:val="0"/>
      <w:marTop w:val="0"/>
      <w:marBottom w:val="0"/>
      <w:divBdr>
        <w:top w:val="none" w:sz="0" w:space="0" w:color="auto"/>
        <w:left w:val="none" w:sz="0" w:space="0" w:color="auto"/>
        <w:bottom w:val="none" w:sz="0" w:space="0" w:color="auto"/>
        <w:right w:val="none" w:sz="0" w:space="0" w:color="auto"/>
      </w:divBdr>
      <w:divsChild>
        <w:div w:id="1570849297">
          <w:marLeft w:val="0"/>
          <w:marRight w:val="0"/>
          <w:marTop w:val="0"/>
          <w:marBottom w:val="0"/>
          <w:divBdr>
            <w:top w:val="none" w:sz="0" w:space="0" w:color="auto"/>
            <w:left w:val="none" w:sz="0" w:space="0" w:color="auto"/>
            <w:bottom w:val="none" w:sz="0" w:space="0" w:color="auto"/>
            <w:right w:val="none" w:sz="0" w:space="0" w:color="auto"/>
          </w:divBdr>
          <w:divsChild>
            <w:div w:id="447939670">
              <w:marLeft w:val="0"/>
              <w:marRight w:val="0"/>
              <w:marTop w:val="0"/>
              <w:marBottom w:val="0"/>
              <w:divBdr>
                <w:top w:val="none" w:sz="0" w:space="0" w:color="auto"/>
                <w:left w:val="none" w:sz="0" w:space="0" w:color="auto"/>
                <w:bottom w:val="none" w:sz="0" w:space="0" w:color="auto"/>
                <w:right w:val="none" w:sz="0" w:space="0" w:color="auto"/>
              </w:divBdr>
              <w:divsChild>
                <w:div w:id="6018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960300">
      <w:bodyDiv w:val="1"/>
      <w:marLeft w:val="0"/>
      <w:marRight w:val="0"/>
      <w:marTop w:val="0"/>
      <w:marBottom w:val="0"/>
      <w:divBdr>
        <w:top w:val="none" w:sz="0" w:space="0" w:color="auto"/>
        <w:left w:val="none" w:sz="0" w:space="0" w:color="auto"/>
        <w:bottom w:val="none" w:sz="0" w:space="0" w:color="auto"/>
        <w:right w:val="none" w:sz="0" w:space="0" w:color="auto"/>
      </w:divBdr>
    </w:div>
    <w:div w:id="392387576">
      <w:bodyDiv w:val="1"/>
      <w:marLeft w:val="0"/>
      <w:marRight w:val="0"/>
      <w:marTop w:val="0"/>
      <w:marBottom w:val="0"/>
      <w:divBdr>
        <w:top w:val="none" w:sz="0" w:space="0" w:color="auto"/>
        <w:left w:val="none" w:sz="0" w:space="0" w:color="auto"/>
        <w:bottom w:val="none" w:sz="0" w:space="0" w:color="auto"/>
        <w:right w:val="none" w:sz="0" w:space="0" w:color="auto"/>
      </w:divBdr>
    </w:div>
    <w:div w:id="392507472">
      <w:bodyDiv w:val="1"/>
      <w:marLeft w:val="0"/>
      <w:marRight w:val="0"/>
      <w:marTop w:val="0"/>
      <w:marBottom w:val="0"/>
      <w:divBdr>
        <w:top w:val="none" w:sz="0" w:space="0" w:color="auto"/>
        <w:left w:val="none" w:sz="0" w:space="0" w:color="auto"/>
        <w:bottom w:val="none" w:sz="0" w:space="0" w:color="auto"/>
        <w:right w:val="none" w:sz="0" w:space="0" w:color="auto"/>
      </w:divBdr>
    </w:div>
    <w:div w:id="397246155">
      <w:bodyDiv w:val="1"/>
      <w:marLeft w:val="0"/>
      <w:marRight w:val="0"/>
      <w:marTop w:val="0"/>
      <w:marBottom w:val="0"/>
      <w:divBdr>
        <w:top w:val="none" w:sz="0" w:space="0" w:color="auto"/>
        <w:left w:val="none" w:sz="0" w:space="0" w:color="auto"/>
        <w:bottom w:val="none" w:sz="0" w:space="0" w:color="auto"/>
        <w:right w:val="none" w:sz="0" w:space="0" w:color="auto"/>
      </w:divBdr>
    </w:div>
    <w:div w:id="398483442">
      <w:bodyDiv w:val="1"/>
      <w:marLeft w:val="0"/>
      <w:marRight w:val="0"/>
      <w:marTop w:val="0"/>
      <w:marBottom w:val="0"/>
      <w:divBdr>
        <w:top w:val="none" w:sz="0" w:space="0" w:color="auto"/>
        <w:left w:val="none" w:sz="0" w:space="0" w:color="auto"/>
        <w:bottom w:val="none" w:sz="0" w:space="0" w:color="auto"/>
        <w:right w:val="none" w:sz="0" w:space="0" w:color="auto"/>
      </w:divBdr>
      <w:divsChild>
        <w:div w:id="1272783462">
          <w:marLeft w:val="0"/>
          <w:marRight w:val="0"/>
          <w:marTop w:val="0"/>
          <w:marBottom w:val="0"/>
          <w:divBdr>
            <w:top w:val="none" w:sz="0" w:space="0" w:color="auto"/>
            <w:left w:val="none" w:sz="0" w:space="0" w:color="auto"/>
            <w:bottom w:val="none" w:sz="0" w:space="0" w:color="auto"/>
            <w:right w:val="none" w:sz="0" w:space="0" w:color="auto"/>
          </w:divBdr>
          <w:divsChild>
            <w:div w:id="995576482">
              <w:marLeft w:val="0"/>
              <w:marRight w:val="0"/>
              <w:marTop w:val="0"/>
              <w:marBottom w:val="0"/>
              <w:divBdr>
                <w:top w:val="none" w:sz="0" w:space="0" w:color="auto"/>
                <w:left w:val="none" w:sz="0" w:space="0" w:color="auto"/>
                <w:bottom w:val="none" w:sz="0" w:space="0" w:color="auto"/>
                <w:right w:val="none" w:sz="0" w:space="0" w:color="auto"/>
              </w:divBdr>
            </w:div>
          </w:divsChild>
        </w:div>
        <w:div w:id="1955792533">
          <w:marLeft w:val="0"/>
          <w:marRight w:val="0"/>
          <w:marTop w:val="0"/>
          <w:marBottom w:val="0"/>
          <w:divBdr>
            <w:top w:val="none" w:sz="0" w:space="0" w:color="auto"/>
            <w:left w:val="none" w:sz="0" w:space="0" w:color="auto"/>
            <w:bottom w:val="none" w:sz="0" w:space="0" w:color="auto"/>
            <w:right w:val="none" w:sz="0" w:space="0" w:color="auto"/>
          </w:divBdr>
          <w:divsChild>
            <w:div w:id="12137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2427">
      <w:bodyDiv w:val="1"/>
      <w:marLeft w:val="0"/>
      <w:marRight w:val="0"/>
      <w:marTop w:val="0"/>
      <w:marBottom w:val="0"/>
      <w:divBdr>
        <w:top w:val="none" w:sz="0" w:space="0" w:color="auto"/>
        <w:left w:val="none" w:sz="0" w:space="0" w:color="auto"/>
        <w:bottom w:val="none" w:sz="0" w:space="0" w:color="auto"/>
        <w:right w:val="none" w:sz="0" w:space="0" w:color="auto"/>
      </w:divBdr>
    </w:div>
    <w:div w:id="400829385">
      <w:bodyDiv w:val="1"/>
      <w:marLeft w:val="0"/>
      <w:marRight w:val="0"/>
      <w:marTop w:val="0"/>
      <w:marBottom w:val="0"/>
      <w:divBdr>
        <w:top w:val="none" w:sz="0" w:space="0" w:color="auto"/>
        <w:left w:val="none" w:sz="0" w:space="0" w:color="auto"/>
        <w:bottom w:val="none" w:sz="0" w:space="0" w:color="auto"/>
        <w:right w:val="none" w:sz="0" w:space="0" w:color="auto"/>
      </w:divBdr>
      <w:divsChild>
        <w:div w:id="1624844235">
          <w:marLeft w:val="0"/>
          <w:marRight w:val="0"/>
          <w:marTop w:val="0"/>
          <w:marBottom w:val="0"/>
          <w:divBdr>
            <w:top w:val="none" w:sz="0" w:space="0" w:color="auto"/>
            <w:left w:val="none" w:sz="0" w:space="0" w:color="auto"/>
            <w:bottom w:val="none" w:sz="0" w:space="0" w:color="auto"/>
            <w:right w:val="none" w:sz="0" w:space="0" w:color="auto"/>
          </w:divBdr>
          <w:divsChild>
            <w:div w:id="1390609371">
              <w:marLeft w:val="0"/>
              <w:marRight w:val="0"/>
              <w:marTop w:val="0"/>
              <w:marBottom w:val="0"/>
              <w:divBdr>
                <w:top w:val="none" w:sz="0" w:space="0" w:color="auto"/>
                <w:left w:val="none" w:sz="0" w:space="0" w:color="auto"/>
                <w:bottom w:val="none" w:sz="0" w:space="0" w:color="auto"/>
                <w:right w:val="none" w:sz="0" w:space="0" w:color="auto"/>
              </w:divBdr>
              <w:divsChild>
                <w:div w:id="1168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10918">
      <w:bodyDiv w:val="1"/>
      <w:marLeft w:val="0"/>
      <w:marRight w:val="0"/>
      <w:marTop w:val="0"/>
      <w:marBottom w:val="0"/>
      <w:divBdr>
        <w:top w:val="none" w:sz="0" w:space="0" w:color="auto"/>
        <w:left w:val="none" w:sz="0" w:space="0" w:color="auto"/>
        <w:bottom w:val="none" w:sz="0" w:space="0" w:color="auto"/>
        <w:right w:val="none" w:sz="0" w:space="0" w:color="auto"/>
      </w:divBdr>
    </w:div>
    <w:div w:id="406417240">
      <w:bodyDiv w:val="1"/>
      <w:marLeft w:val="0"/>
      <w:marRight w:val="0"/>
      <w:marTop w:val="0"/>
      <w:marBottom w:val="0"/>
      <w:divBdr>
        <w:top w:val="none" w:sz="0" w:space="0" w:color="auto"/>
        <w:left w:val="none" w:sz="0" w:space="0" w:color="auto"/>
        <w:bottom w:val="none" w:sz="0" w:space="0" w:color="auto"/>
        <w:right w:val="none" w:sz="0" w:space="0" w:color="auto"/>
      </w:divBdr>
    </w:div>
    <w:div w:id="407458873">
      <w:bodyDiv w:val="1"/>
      <w:marLeft w:val="0"/>
      <w:marRight w:val="0"/>
      <w:marTop w:val="0"/>
      <w:marBottom w:val="0"/>
      <w:divBdr>
        <w:top w:val="none" w:sz="0" w:space="0" w:color="auto"/>
        <w:left w:val="none" w:sz="0" w:space="0" w:color="auto"/>
        <w:bottom w:val="none" w:sz="0" w:space="0" w:color="auto"/>
        <w:right w:val="none" w:sz="0" w:space="0" w:color="auto"/>
      </w:divBdr>
    </w:div>
    <w:div w:id="408305760">
      <w:bodyDiv w:val="1"/>
      <w:marLeft w:val="0"/>
      <w:marRight w:val="0"/>
      <w:marTop w:val="0"/>
      <w:marBottom w:val="0"/>
      <w:divBdr>
        <w:top w:val="none" w:sz="0" w:space="0" w:color="auto"/>
        <w:left w:val="none" w:sz="0" w:space="0" w:color="auto"/>
        <w:bottom w:val="none" w:sz="0" w:space="0" w:color="auto"/>
        <w:right w:val="none" w:sz="0" w:space="0" w:color="auto"/>
      </w:divBdr>
    </w:div>
    <w:div w:id="413867033">
      <w:bodyDiv w:val="1"/>
      <w:marLeft w:val="0"/>
      <w:marRight w:val="0"/>
      <w:marTop w:val="0"/>
      <w:marBottom w:val="0"/>
      <w:divBdr>
        <w:top w:val="none" w:sz="0" w:space="0" w:color="auto"/>
        <w:left w:val="none" w:sz="0" w:space="0" w:color="auto"/>
        <w:bottom w:val="none" w:sz="0" w:space="0" w:color="auto"/>
        <w:right w:val="none" w:sz="0" w:space="0" w:color="auto"/>
      </w:divBdr>
      <w:divsChild>
        <w:div w:id="2096900273">
          <w:marLeft w:val="0"/>
          <w:marRight w:val="0"/>
          <w:marTop w:val="0"/>
          <w:marBottom w:val="0"/>
          <w:divBdr>
            <w:top w:val="none" w:sz="0" w:space="0" w:color="auto"/>
            <w:left w:val="none" w:sz="0" w:space="0" w:color="auto"/>
            <w:bottom w:val="none" w:sz="0" w:space="0" w:color="auto"/>
            <w:right w:val="none" w:sz="0" w:space="0" w:color="auto"/>
          </w:divBdr>
          <w:divsChild>
            <w:div w:id="62022456">
              <w:marLeft w:val="0"/>
              <w:marRight w:val="0"/>
              <w:marTop w:val="0"/>
              <w:marBottom w:val="0"/>
              <w:divBdr>
                <w:top w:val="none" w:sz="0" w:space="0" w:color="auto"/>
                <w:left w:val="none" w:sz="0" w:space="0" w:color="auto"/>
                <w:bottom w:val="none" w:sz="0" w:space="0" w:color="auto"/>
                <w:right w:val="none" w:sz="0" w:space="0" w:color="auto"/>
              </w:divBdr>
              <w:divsChild>
                <w:div w:id="15396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2084">
      <w:bodyDiv w:val="1"/>
      <w:marLeft w:val="0"/>
      <w:marRight w:val="0"/>
      <w:marTop w:val="0"/>
      <w:marBottom w:val="0"/>
      <w:divBdr>
        <w:top w:val="none" w:sz="0" w:space="0" w:color="auto"/>
        <w:left w:val="none" w:sz="0" w:space="0" w:color="auto"/>
        <w:bottom w:val="none" w:sz="0" w:space="0" w:color="auto"/>
        <w:right w:val="none" w:sz="0" w:space="0" w:color="auto"/>
      </w:divBdr>
    </w:div>
    <w:div w:id="417874924">
      <w:bodyDiv w:val="1"/>
      <w:marLeft w:val="0"/>
      <w:marRight w:val="0"/>
      <w:marTop w:val="0"/>
      <w:marBottom w:val="0"/>
      <w:divBdr>
        <w:top w:val="none" w:sz="0" w:space="0" w:color="auto"/>
        <w:left w:val="none" w:sz="0" w:space="0" w:color="auto"/>
        <w:bottom w:val="none" w:sz="0" w:space="0" w:color="auto"/>
        <w:right w:val="none" w:sz="0" w:space="0" w:color="auto"/>
      </w:divBdr>
      <w:divsChild>
        <w:div w:id="1486972942">
          <w:marLeft w:val="0"/>
          <w:marRight w:val="0"/>
          <w:marTop w:val="0"/>
          <w:marBottom w:val="0"/>
          <w:divBdr>
            <w:top w:val="none" w:sz="0" w:space="0" w:color="auto"/>
            <w:left w:val="none" w:sz="0" w:space="0" w:color="auto"/>
            <w:bottom w:val="none" w:sz="0" w:space="0" w:color="auto"/>
            <w:right w:val="none" w:sz="0" w:space="0" w:color="auto"/>
          </w:divBdr>
          <w:divsChild>
            <w:div w:id="970281992">
              <w:marLeft w:val="0"/>
              <w:marRight w:val="0"/>
              <w:marTop w:val="0"/>
              <w:marBottom w:val="0"/>
              <w:divBdr>
                <w:top w:val="none" w:sz="0" w:space="0" w:color="auto"/>
                <w:left w:val="none" w:sz="0" w:space="0" w:color="auto"/>
                <w:bottom w:val="none" w:sz="0" w:space="0" w:color="auto"/>
                <w:right w:val="none" w:sz="0" w:space="0" w:color="auto"/>
              </w:divBdr>
              <w:divsChild>
                <w:div w:id="10239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0313">
      <w:bodyDiv w:val="1"/>
      <w:marLeft w:val="0"/>
      <w:marRight w:val="0"/>
      <w:marTop w:val="0"/>
      <w:marBottom w:val="0"/>
      <w:divBdr>
        <w:top w:val="none" w:sz="0" w:space="0" w:color="auto"/>
        <w:left w:val="none" w:sz="0" w:space="0" w:color="auto"/>
        <w:bottom w:val="none" w:sz="0" w:space="0" w:color="auto"/>
        <w:right w:val="none" w:sz="0" w:space="0" w:color="auto"/>
      </w:divBdr>
    </w:div>
    <w:div w:id="420415846">
      <w:bodyDiv w:val="1"/>
      <w:marLeft w:val="0"/>
      <w:marRight w:val="0"/>
      <w:marTop w:val="0"/>
      <w:marBottom w:val="0"/>
      <w:divBdr>
        <w:top w:val="none" w:sz="0" w:space="0" w:color="auto"/>
        <w:left w:val="none" w:sz="0" w:space="0" w:color="auto"/>
        <w:bottom w:val="none" w:sz="0" w:space="0" w:color="auto"/>
        <w:right w:val="none" w:sz="0" w:space="0" w:color="auto"/>
      </w:divBdr>
      <w:divsChild>
        <w:div w:id="1424646408">
          <w:marLeft w:val="0"/>
          <w:marRight w:val="0"/>
          <w:marTop w:val="0"/>
          <w:marBottom w:val="0"/>
          <w:divBdr>
            <w:top w:val="none" w:sz="0" w:space="0" w:color="auto"/>
            <w:left w:val="none" w:sz="0" w:space="0" w:color="auto"/>
            <w:bottom w:val="none" w:sz="0" w:space="0" w:color="auto"/>
            <w:right w:val="none" w:sz="0" w:space="0" w:color="auto"/>
          </w:divBdr>
          <w:divsChild>
            <w:div w:id="761028126">
              <w:marLeft w:val="0"/>
              <w:marRight w:val="0"/>
              <w:marTop w:val="0"/>
              <w:marBottom w:val="0"/>
              <w:divBdr>
                <w:top w:val="none" w:sz="0" w:space="0" w:color="auto"/>
                <w:left w:val="none" w:sz="0" w:space="0" w:color="auto"/>
                <w:bottom w:val="none" w:sz="0" w:space="0" w:color="auto"/>
                <w:right w:val="none" w:sz="0" w:space="0" w:color="auto"/>
              </w:divBdr>
              <w:divsChild>
                <w:div w:id="16951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7332">
      <w:bodyDiv w:val="1"/>
      <w:marLeft w:val="0"/>
      <w:marRight w:val="0"/>
      <w:marTop w:val="0"/>
      <w:marBottom w:val="0"/>
      <w:divBdr>
        <w:top w:val="none" w:sz="0" w:space="0" w:color="auto"/>
        <w:left w:val="none" w:sz="0" w:space="0" w:color="auto"/>
        <w:bottom w:val="none" w:sz="0" w:space="0" w:color="auto"/>
        <w:right w:val="none" w:sz="0" w:space="0" w:color="auto"/>
      </w:divBdr>
    </w:div>
    <w:div w:id="430513762">
      <w:bodyDiv w:val="1"/>
      <w:marLeft w:val="0"/>
      <w:marRight w:val="0"/>
      <w:marTop w:val="0"/>
      <w:marBottom w:val="0"/>
      <w:divBdr>
        <w:top w:val="none" w:sz="0" w:space="0" w:color="auto"/>
        <w:left w:val="none" w:sz="0" w:space="0" w:color="auto"/>
        <w:bottom w:val="none" w:sz="0" w:space="0" w:color="auto"/>
        <w:right w:val="none" w:sz="0" w:space="0" w:color="auto"/>
      </w:divBdr>
    </w:div>
    <w:div w:id="433015972">
      <w:bodyDiv w:val="1"/>
      <w:marLeft w:val="0"/>
      <w:marRight w:val="0"/>
      <w:marTop w:val="0"/>
      <w:marBottom w:val="0"/>
      <w:divBdr>
        <w:top w:val="none" w:sz="0" w:space="0" w:color="auto"/>
        <w:left w:val="none" w:sz="0" w:space="0" w:color="auto"/>
        <w:bottom w:val="none" w:sz="0" w:space="0" w:color="auto"/>
        <w:right w:val="none" w:sz="0" w:space="0" w:color="auto"/>
      </w:divBdr>
      <w:divsChild>
        <w:div w:id="1429420767">
          <w:marLeft w:val="0"/>
          <w:marRight w:val="0"/>
          <w:marTop w:val="0"/>
          <w:marBottom w:val="0"/>
          <w:divBdr>
            <w:top w:val="none" w:sz="0" w:space="0" w:color="auto"/>
            <w:left w:val="none" w:sz="0" w:space="0" w:color="auto"/>
            <w:bottom w:val="none" w:sz="0" w:space="0" w:color="auto"/>
            <w:right w:val="none" w:sz="0" w:space="0" w:color="auto"/>
          </w:divBdr>
          <w:divsChild>
            <w:div w:id="1304390646">
              <w:marLeft w:val="0"/>
              <w:marRight w:val="0"/>
              <w:marTop w:val="0"/>
              <w:marBottom w:val="0"/>
              <w:divBdr>
                <w:top w:val="none" w:sz="0" w:space="0" w:color="auto"/>
                <w:left w:val="none" w:sz="0" w:space="0" w:color="auto"/>
                <w:bottom w:val="none" w:sz="0" w:space="0" w:color="auto"/>
                <w:right w:val="none" w:sz="0" w:space="0" w:color="auto"/>
              </w:divBdr>
              <w:divsChild>
                <w:div w:id="20568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450618">
      <w:bodyDiv w:val="1"/>
      <w:marLeft w:val="0"/>
      <w:marRight w:val="0"/>
      <w:marTop w:val="0"/>
      <w:marBottom w:val="0"/>
      <w:divBdr>
        <w:top w:val="none" w:sz="0" w:space="0" w:color="auto"/>
        <w:left w:val="none" w:sz="0" w:space="0" w:color="auto"/>
        <w:bottom w:val="none" w:sz="0" w:space="0" w:color="auto"/>
        <w:right w:val="none" w:sz="0" w:space="0" w:color="auto"/>
      </w:divBdr>
    </w:div>
    <w:div w:id="443887430">
      <w:bodyDiv w:val="1"/>
      <w:marLeft w:val="0"/>
      <w:marRight w:val="0"/>
      <w:marTop w:val="0"/>
      <w:marBottom w:val="0"/>
      <w:divBdr>
        <w:top w:val="none" w:sz="0" w:space="0" w:color="auto"/>
        <w:left w:val="none" w:sz="0" w:space="0" w:color="auto"/>
        <w:bottom w:val="none" w:sz="0" w:space="0" w:color="auto"/>
        <w:right w:val="none" w:sz="0" w:space="0" w:color="auto"/>
      </w:divBdr>
    </w:div>
    <w:div w:id="448742005">
      <w:bodyDiv w:val="1"/>
      <w:marLeft w:val="0"/>
      <w:marRight w:val="0"/>
      <w:marTop w:val="0"/>
      <w:marBottom w:val="0"/>
      <w:divBdr>
        <w:top w:val="none" w:sz="0" w:space="0" w:color="auto"/>
        <w:left w:val="none" w:sz="0" w:space="0" w:color="auto"/>
        <w:bottom w:val="none" w:sz="0" w:space="0" w:color="auto"/>
        <w:right w:val="none" w:sz="0" w:space="0" w:color="auto"/>
      </w:divBdr>
      <w:divsChild>
        <w:div w:id="1288387809">
          <w:marLeft w:val="0"/>
          <w:marRight w:val="0"/>
          <w:marTop w:val="0"/>
          <w:marBottom w:val="0"/>
          <w:divBdr>
            <w:top w:val="none" w:sz="0" w:space="0" w:color="auto"/>
            <w:left w:val="none" w:sz="0" w:space="0" w:color="auto"/>
            <w:bottom w:val="none" w:sz="0" w:space="0" w:color="auto"/>
            <w:right w:val="none" w:sz="0" w:space="0" w:color="auto"/>
          </w:divBdr>
          <w:divsChild>
            <w:div w:id="570701977">
              <w:marLeft w:val="0"/>
              <w:marRight w:val="0"/>
              <w:marTop w:val="0"/>
              <w:marBottom w:val="0"/>
              <w:divBdr>
                <w:top w:val="none" w:sz="0" w:space="0" w:color="auto"/>
                <w:left w:val="none" w:sz="0" w:space="0" w:color="auto"/>
                <w:bottom w:val="none" w:sz="0" w:space="0" w:color="auto"/>
                <w:right w:val="none" w:sz="0" w:space="0" w:color="auto"/>
              </w:divBdr>
              <w:divsChild>
                <w:div w:id="7240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78761">
      <w:bodyDiv w:val="1"/>
      <w:marLeft w:val="0"/>
      <w:marRight w:val="0"/>
      <w:marTop w:val="0"/>
      <w:marBottom w:val="0"/>
      <w:divBdr>
        <w:top w:val="none" w:sz="0" w:space="0" w:color="auto"/>
        <w:left w:val="none" w:sz="0" w:space="0" w:color="auto"/>
        <w:bottom w:val="none" w:sz="0" w:space="0" w:color="auto"/>
        <w:right w:val="none" w:sz="0" w:space="0" w:color="auto"/>
      </w:divBdr>
    </w:div>
    <w:div w:id="457338560">
      <w:bodyDiv w:val="1"/>
      <w:marLeft w:val="0"/>
      <w:marRight w:val="0"/>
      <w:marTop w:val="0"/>
      <w:marBottom w:val="0"/>
      <w:divBdr>
        <w:top w:val="none" w:sz="0" w:space="0" w:color="auto"/>
        <w:left w:val="none" w:sz="0" w:space="0" w:color="auto"/>
        <w:bottom w:val="none" w:sz="0" w:space="0" w:color="auto"/>
        <w:right w:val="none" w:sz="0" w:space="0" w:color="auto"/>
      </w:divBdr>
    </w:div>
    <w:div w:id="461272504">
      <w:bodyDiv w:val="1"/>
      <w:marLeft w:val="0"/>
      <w:marRight w:val="0"/>
      <w:marTop w:val="0"/>
      <w:marBottom w:val="0"/>
      <w:divBdr>
        <w:top w:val="none" w:sz="0" w:space="0" w:color="auto"/>
        <w:left w:val="none" w:sz="0" w:space="0" w:color="auto"/>
        <w:bottom w:val="none" w:sz="0" w:space="0" w:color="auto"/>
        <w:right w:val="none" w:sz="0" w:space="0" w:color="auto"/>
      </w:divBdr>
      <w:divsChild>
        <w:div w:id="2024700180">
          <w:marLeft w:val="0"/>
          <w:marRight w:val="0"/>
          <w:marTop w:val="0"/>
          <w:marBottom w:val="0"/>
          <w:divBdr>
            <w:top w:val="none" w:sz="0" w:space="0" w:color="auto"/>
            <w:left w:val="none" w:sz="0" w:space="0" w:color="auto"/>
            <w:bottom w:val="none" w:sz="0" w:space="0" w:color="auto"/>
            <w:right w:val="none" w:sz="0" w:space="0" w:color="auto"/>
          </w:divBdr>
          <w:divsChild>
            <w:div w:id="799034079">
              <w:marLeft w:val="0"/>
              <w:marRight w:val="0"/>
              <w:marTop w:val="0"/>
              <w:marBottom w:val="0"/>
              <w:divBdr>
                <w:top w:val="none" w:sz="0" w:space="0" w:color="auto"/>
                <w:left w:val="none" w:sz="0" w:space="0" w:color="auto"/>
                <w:bottom w:val="none" w:sz="0" w:space="0" w:color="auto"/>
                <w:right w:val="none" w:sz="0" w:space="0" w:color="auto"/>
              </w:divBdr>
              <w:divsChild>
                <w:div w:id="928153520">
                  <w:marLeft w:val="0"/>
                  <w:marRight w:val="0"/>
                  <w:marTop w:val="0"/>
                  <w:marBottom w:val="0"/>
                  <w:divBdr>
                    <w:top w:val="none" w:sz="0" w:space="0" w:color="auto"/>
                    <w:left w:val="none" w:sz="0" w:space="0" w:color="auto"/>
                    <w:bottom w:val="none" w:sz="0" w:space="0" w:color="auto"/>
                    <w:right w:val="none" w:sz="0" w:space="0" w:color="auto"/>
                  </w:divBdr>
                  <w:divsChild>
                    <w:div w:id="13960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37013">
      <w:bodyDiv w:val="1"/>
      <w:marLeft w:val="0"/>
      <w:marRight w:val="0"/>
      <w:marTop w:val="0"/>
      <w:marBottom w:val="0"/>
      <w:divBdr>
        <w:top w:val="none" w:sz="0" w:space="0" w:color="auto"/>
        <w:left w:val="none" w:sz="0" w:space="0" w:color="auto"/>
        <w:bottom w:val="none" w:sz="0" w:space="0" w:color="auto"/>
        <w:right w:val="none" w:sz="0" w:space="0" w:color="auto"/>
      </w:divBdr>
      <w:divsChild>
        <w:div w:id="658533975">
          <w:marLeft w:val="0"/>
          <w:marRight w:val="0"/>
          <w:marTop w:val="0"/>
          <w:marBottom w:val="0"/>
          <w:divBdr>
            <w:top w:val="none" w:sz="0" w:space="0" w:color="auto"/>
            <w:left w:val="none" w:sz="0" w:space="0" w:color="auto"/>
            <w:bottom w:val="none" w:sz="0" w:space="0" w:color="auto"/>
            <w:right w:val="none" w:sz="0" w:space="0" w:color="auto"/>
          </w:divBdr>
          <w:divsChild>
            <w:div w:id="642586573">
              <w:marLeft w:val="0"/>
              <w:marRight w:val="0"/>
              <w:marTop w:val="0"/>
              <w:marBottom w:val="0"/>
              <w:divBdr>
                <w:top w:val="none" w:sz="0" w:space="0" w:color="auto"/>
                <w:left w:val="none" w:sz="0" w:space="0" w:color="auto"/>
                <w:bottom w:val="none" w:sz="0" w:space="0" w:color="auto"/>
                <w:right w:val="none" w:sz="0" w:space="0" w:color="auto"/>
              </w:divBdr>
              <w:divsChild>
                <w:div w:id="740758994">
                  <w:marLeft w:val="0"/>
                  <w:marRight w:val="0"/>
                  <w:marTop w:val="0"/>
                  <w:marBottom w:val="0"/>
                  <w:divBdr>
                    <w:top w:val="none" w:sz="0" w:space="0" w:color="auto"/>
                    <w:left w:val="none" w:sz="0" w:space="0" w:color="auto"/>
                    <w:bottom w:val="none" w:sz="0" w:space="0" w:color="auto"/>
                    <w:right w:val="none" w:sz="0" w:space="0" w:color="auto"/>
                  </w:divBdr>
                  <w:divsChild>
                    <w:div w:id="12082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738372">
      <w:bodyDiv w:val="1"/>
      <w:marLeft w:val="0"/>
      <w:marRight w:val="0"/>
      <w:marTop w:val="0"/>
      <w:marBottom w:val="0"/>
      <w:divBdr>
        <w:top w:val="none" w:sz="0" w:space="0" w:color="auto"/>
        <w:left w:val="none" w:sz="0" w:space="0" w:color="auto"/>
        <w:bottom w:val="none" w:sz="0" w:space="0" w:color="auto"/>
        <w:right w:val="none" w:sz="0" w:space="0" w:color="auto"/>
      </w:divBdr>
      <w:divsChild>
        <w:div w:id="39744190">
          <w:marLeft w:val="0"/>
          <w:marRight w:val="0"/>
          <w:marTop w:val="0"/>
          <w:marBottom w:val="0"/>
          <w:divBdr>
            <w:top w:val="none" w:sz="0" w:space="0" w:color="auto"/>
            <w:left w:val="none" w:sz="0" w:space="0" w:color="auto"/>
            <w:bottom w:val="none" w:sz="0" w:space="0" w:color="auto"/>
            <w:right w:val="none" w:sz="0" w:space="0" w:color="auto"/>
          </w:divBdr>
          <w:divsChild>
            <w:div w:id="1329754023">
              <w:marLeft w:val="0"/>
              <w:marRight w:val="0"/>
              <w:marTop w:val="0"/>
              <w:marBottom w:val="0"/>
              <w:divBdr>
                <w:top w:val="none" w:sz="0" w:space="0" w:color="auto"/>
                <w:left w:val="none" w:sz="0" w:space="0" w:color="auto"/>
                <w:bottom w:val="none" w:sz="0" w:space="0" w:color="auto"/>
                <w:right w:val="none" w:sz="0" w:space="0" w:color="auto"/>
              </w:divBdr>
              <w:divsChild>
                <w:div w:id="2030137984">
                  <w:marLeft w:val="0"/>
                  <w:marRight w:val="0"/>
                  <w:marTop w:val="0"/>
                  <w:marBottom w:val="0"/>
                  <w:divBdr>
                    <w:top w:val="none" w:sz="0" w:space="0" w:color="auto"/>
                    <w:left w:val="none" w:sz="0" w:space="0" w:color="auto"/>
                    <w:bottom w:val="none" w:sz="0" w:space="0" w:color="auto"/>
                    <w:right w:val="none" w:sz="0" w:space="0" w:color="auto"/>
                  </w:divBdr>
                  <w:divsChild>
                    <w:div w:id="13327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660515">
      <w:bodyDiv w:val="1"/>
      <w:marLeft w:val="0"/>
      <w:marRight w:val="0"/>
      <w:marTop w:val="0"/>
      <w:marBottom w:val="0"/>
      <w:divBdr>
        <w:top w:val="none" w:sz="0" w:space="0" w:color="auto"/>
        <w:left w:val="none" w:sz="0" w:space="0" w:color="auto"/>
        <w:bottom w:val="none" w:sz="0" w:space="0" w:color="auto"/>
        <w:right w:val="none" w:sz="0" w:space="0" w:color="auto"/>
      </w:divBdr>
    </w:div>
    <w:div w:id="475610647">
      <w:bodyDiv w:val="1"/>
      <w:marLeft w:val="0"/>
      <w:marRight w:val="0"/>
      <w:marTop w:val="0"/>
      <w:marBottom w:val="0"/>
      <w:divBdr>
        <w:top w:val="none" w:sz="0" w:space="0" w:color="auto"/>
        <w:left w:val="none" w:sz="0" w:space="0" w:color="auto"/>
        <w:bottom w:val="none" w:sz="0" w:space="0" w:color="auto"/>
        <w:right w:val="none" w:sz="0" w:space="0" w:color="auto"/>
      </w:divBdr>
    </w:div>
    <w:div w:id="476725574">
      <w:bodyDiv w:val="1"/>
      <w:marLeft w:val="0"/>
      <w:marRight w:val="0"/>
      <w:marTop w:val="0"/>
      <w:marBottom w:val="0"/>
      <w:divBdr>
        <w:top w:val="none" w:sz="0" w:space="0" w:color="auto"/>
        <w:left w:val="none" w:sz="0" w:space="0" w:color="auto"/>
        <w:bottom w:val="none" w:sz="0" w:space="0" w:color="auto"/>
        <w:right w:val="none" w:sz="0" w:space="0" w:color="auto"/>
      </w:divBdr>
    </w:div>
    <w:div w:id="477460902">
      <w:bodyDiv w:val="1"/>
      <w:marLeft w:val="0"/>
      <w:marRight w:val="0"/>
      <w:marTop w:val="0"/>
      <w:marBottom w:val="0"/>
      <w:divBdr>
        <w:top w:val="none" w:sz="0" w:space="0" w:color="auto"/>
        <w:left w:val="none" w:sz="0" w:space="0" w:color="auto"/>
        <w:bottom w:val="none" w:sz="0" w:space="0" w:color="auto"/>
        <w:right w:val="none" w:sz="0" w:space="0" w:color="auto"/>
      </w:divBdr>
      <w:divsChild>
        <w:div w:id="1189754417">
          <w:marLeft w:val="0"/>
          <w:marRight w:val="0"/>
          <w:marTop w:val="0"/>
          <w:marBottom w:val="0"/>
          <w:divBdr>
            <w:top w:val="none" w:sz="0" w:space="0" w:color="auto"/>
            <w:left w:val="none" w:sz="0" w:space="0" w:color="auto"/>
            <w:bottom w:val="none" w:sz="0" w:space="0" w:color="auto"/>
            <w:right w:val="none" w:sz="0" w:space="0" w:color="auto"/>
          </w:divBdr>
          <w:divsChild>
            <w:div w:id="1137261477">
              <w:marLeft w:val="0"/>
              <w:marRight w:val="0"/>
              <w:marTop w:val="0"/>
              <w:marBottom w:val="0"/>
              <w:divBdr>
                <w:top w:val="none" w:sz="0" w:space="0" w:color="auto"/>
                <w:left w:val="none" w:sz="0" w:space="0" w:color="auto"/>
                <w:bottom w:val="none" w:sz="0" w:space="0" w:color="auto"/>
                <w:right w:val="none" w:sz="0" w:space="0" w:color="auto"/>
              </w:divBdr>
              <w:divsChild>
                <w:div w:id="17463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08682">
      <w:bodyDiv w:val="1"/>
      <w:marLeft w:val="0"/>
      <w:marRight w:val="0"/>
      <w:marTop w:val="0"/>
      <w:marBottom w:val="0"/>
      <w:divBdr>
        <w:top w:val="none" w:sz="0" w:space="0" w:color="auto"/>
        <w:left w:val="none" w:sz="0" w:space="0" w:color="auto"/>
        <w:bottom w:val="none" w:sz="0" w:space="0" w:color="auto"/>
        <w:right w:val="none" w:sz="0" w:space="0" w:color="auto"/>
      </w:divBdr>
    </w:div>
    <w:div w:id="481390497">
      <w:bodyDiv w:val="1"/>
      <w:marLeft w:val="0"/>
      <w:marRight w:val="0"/>
      <w:marTop w:val="0"/>
      <w:marBottom w:val="0"/>
      <w:divBdr>
        <w:top w:val="none" w:sz="0" w:space="0" w:color="auto"/>
        <w:left w:val="none" w:sz="0" w:space="0" w:color="auto"/>
        <w:bottom w:val="none" w:sz="0" w:space="0" w:color="auto"/>
        <w:right w:val="none" w:sz="0" w:space="0" w:color="auto"/>
      </w:divBdr>
    </w:div>
    <w:div w:id="482477623">
      <w:bodyDiv w:val="1"/>
      <w:marLeft w:val="0"/>
      <w:marRight w:val="0"/>
      <w:marTop w:val="0"/>
      <w:marBottom w:val="0"/>
      <w:divBdr>
        <w:top w:val="none" w:sz="0" w:space="0" w:color="auto"/>
        <w:left w:val="none" w:sz="0" w:space="0" w:color="auto"/>
        <w:bottom w:val="none" w:sz="0" w:space="0" w:color="auto"/>
        <w:right w:val="none" w:sz="0" w:space="0" w:color="auto"/>
      </w:divBdr>
    </w:div>
    <w:div w:id="482628330">
      <w:bodyDiv w:val="1"/>
      <w:marLeft w:val="0"/>
      <w:marRight w:val="0"/>
      <w:marTop w:val="0"/>
      <w:marBottom w:val="0"/>
      <w:divBdr>
        <w:top w:val="none" w:sz="0" w:space="0" w:color="auto"/>
        <w:left w:val="none" w:sz="0" w:space="0" w:color="auto"/>
        <w:bottom w:val="none" w:sz="0" w:space="0" w:color="auto"/>
        <w:right w:val="none" w:sz="0" w:space="0" w:color="auto"/>
      </w:divBdr>
    </w:div>
    <w:div w:id="490297381">
      <w:bodyDiv w:val="1"/>
      <w:marLeft w:val="0"/>
      <w:marRight w:val="0"/>
      <w:marTop w:val="0"/>
      <w:marBottom w:val="0"/>
      <w:divBdr>
        <w:top w:val="none" w:sz="0" w:space="0" w:color="auto"/>
        <w:left w:val="none" w:sz="0" w:space="0" w:color="auto"/>
        <w:bottom w:val="none" w:sz="0" w:space="0" w:color="auto"/>
        <w:right w:val="none" w:sz="0" w:space="0" w:color="auto"/>
      </w:divBdr>
    </w:div>
    <w:div w:id="496769841">
      <w:bodyDiv w:val="1"/>
      <w:marLeft w:val="0"/>
      <w:marRight w:val="0"/>
      <w:marTop w:val="0"/>
      <w:marBottom w:val="0"/>
      <w:divBdr>
        <w:top w:val="none" w:sz="0" w:space="0" w:color="auto"/>
        <w:left w:val="none" w:sz="0" w:space="0" w:color="auto"/>
        <w:bottom w:val="none" w:sz="0" w:space="0" w:color="auto"/>
        <w:right w:val="none" w:sz="0" w:space="0" w:color="auto"/>
      </w:divBdr>
    </w:div>
    <w:div w:id="498230595">
      <w:bodyDiv w:val="1"/>
      <w:marLeft w:val="0"/>
      <w:marRight w:val="0"/>
      <w:marTop w:val="0"/>
      <w:marBottom w:val="0"/>
      <w:divBdr>
        <w:top w:val="none" w:sz="0" w:space="0" w:color="auto"/>
        <w:left w:val="none" w:sz="0" w:space="0" w:color="auto"/>
        <w:bottom w:val="none" w:sz="0" w:space="0" w:color="auto"/>
        <w:right w:val="none" w:sz="0" w:space="0" w:color="auto"/>
      </w:divBdr>
      <w:divsChild>
        <w:div w:id="2132092091">
          <w:marLeft w:val="0"/>
          <w:marRight w:val="0"/>
          <w:marTop w:val="0"/>
          <w:marBottom w:val="0"/>
          <w:divBdr>
            <w:top w:val="none" w:sz="0" w:space="0" w:color="auto"/>
            <w:left w:val="none" w:sz="0" w:space="0" w:color="auto"/>
            <w:bottom w:val="none" w:sz="0" w:space="0" w:color="auto"/>
            <w:right w:val="none" w:sz="0" w:space="0" w:color="auto"/>
          </w:divBdr>
          <w:divsChild>
            <w:div w:id="735519459">
              <w:marLeft w:val="0"/>
              <w:marRight w:val="0"/>
              <w:marTop w:val="0"/>
              <w:marBottom w:val="0"/>
              <w:divBdr>
                <w:top w:val="none" w:sz="0" w:space="0" w:color="auto"/>
                <w:left w:val="none" w:sz="0" w:space="0" w:color="auto"/>
                <w:bottom w:val="none" w:sz="0" w:space="0" w:color="auto"/>
                <w:right w:val="none" w:sz="0" w:space="0" w:color="auto"/>
              </w:divBdr>
              <w:divsChild>
                <w:div w:id="19659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95894">
      <w:bodyDiv w:val="1"/>
      <w:marLeft w:val="0"/>
      <w:marRight w:val="0"/>
      <w:marTop w:val="0"/>
      <w:marBottom w:val="0"/>
      <w:divBdr>
        <w:top w:val="none" w:sz="0" w:space="0" w:color="auto"/>
        <w:left w:val="none" w:sz="0" w:space="0" w:color="auto"/>
        <w:bottom w:val="none" w:sz="0" w:space="0" w:color="auto"/>
        <w:right w:val="none" w:sz="0" w:space="0" w:color="auto"/>
      </w:divBdr>
      <w:divsChild>
        <w:div w:id="749618615">
          <w:marLeft w:val="0"/>
          <w:marRight w:val="0"/>
          <w:marTop w:val="0"/>
          <w:marBottom w:val="0"/>
          <w:divBdr>
            <w:top w:val="none" w:sz="0" w:space="0" w:color="auto"/>
            <w:left w:val="none" w:sz="0" w:space="0" w:color="auto"/>
            <w:bottom w:val="none" w:sz="0" w:space="0" w:color="auto"/>
            <w:right w:val="none" w:sz="0" w:space="0" w:color="auto"/>
          </w:divBdr>
          <w:divsChild>
            <w:div w:id="1690717174">
              <w:marLeft w:val="0"/>
              <w:marRight w:val="0"/>
              <w:marTop w:val="0"/>
              <w:marBottom w:val="0"/>
              <w:divBdr>
                <w:top w:val="none" w:sz="0" w:space="0" w:color="auto"/>
                <w:left w:val="none" w:sz="0" w:space="0" w:color="auto"/>
                <w:bottom w:val="none" w:sz="0" w:space="0" w:color="auto"/>
                <w:right w:val="none" w:sz="0" w:space="0" w:color="auto"/>
              </w:divBdr>
              <w:divsChild>
                <w:div w:id="962081725">
                  <w:marLeft w:val="0"/>
                  <w:marRight w:val="0"/>
                  <w:marTop w:val="0"/>
                  <w:marBottom w:val="0"/>
                  <w:divBdr>
                    <w:top w:val="none" w:sz="0" w:space="0" w:color="auto"/>
                    <w:left w:val="none" w:sz="0" w:space="0" w:color="auto"/>
                    <w:bottom w:val="none" w:sz="0" w:space="0" w:color="auto"/>
                    <w:right w:val="none" w:sz="0" w:space="0" w:color="auto"/>
                  </w:divBdr>
                  <w:divsChild>
                    <w:div w:id="19231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782414">
      <w:bodyDiv w:val="1"/>
      <w:marLeft w:val="0"/>
      <w:marRight w:val="0"/>
      <w:marTop w:val="0"/>
      <w:marBottom w:val="0"/>
      <w:divBdr>
        <w:top w:val="none" w:sz="0" w:space="0" w:color="auto"/>
        <w:left w:val="none" w:sz="0" w:space="0" w:color="auto"/>
        <w:bottom w:val="none" w:sz="0" w:space="0" w:color="auto"/>
        <w:right w:val="none" w:sz="0" w:space="0" w:color="auto"/>
      </w:divBdr>
      <w:divsChild>
        <w:div w:id="613905180">
          <w:marLeft w:val="0"/>
          <w:marRight w:val="0"/>
          <w:marTop w:val="0"/>
          <w:marBottom w:val="0"/>
          <w:divBdr>
            <w:top w:val="none" w:sz="0" w:space="0" w:color="3D3D3D"/>
            <w:left w:val="none" w:sz="0" w:space="0" w:color="3D3D3D"/>
            <w:bottom w:val="none" w:sz="0" w:space="0" w:color="3D3D3D"/>
            <w:right w:val="none" w:sz="0" w:space="0" w:color="3D3D3D"/>
          </w:divBdr>
          <w:divsChild>
            <w:div w:id="2069718875">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505949724">
      <w:bodyDiv w:val="1"/>
      <w:marLeft w:val="0"/>
      <w:marRight w:val="0"/>
      <w:marTop w:val="0"/>
      <w:marBottom w:val="0"/>
      <w:divBdr>
        <w:top w:val="none" w:sz="0" w:space="0" w:color="auto"/>
        <w:left w:val="none" w:sz="0" w:space="0" w:color="auto"/>
        <w:bottom w:val="none" w:sz="0" w:space="0" w:color="auto"/>
        <w:right w:val="none" w:sz="0" w:space="0" w:color="auto"/>
      </w:divBdr>
    </w:div>
    <w:div w:id="512257583">
      <w:bodyDiv w:val="1"/>
      <w:marLeft w:val="0"/>
      <w:marRight w:val="0"/>
      <w:marTop w:val="0"/>
      <w:marBottom w:val="0"/>
      <w:divBdr>
        <w:top w:val="none" w:sz="0" w:space="0" w:color="auto"/>
        <w:left w:val="none" w:sz="0" w:space="0" w:color="auto"/>
        <w:bottom w:val="none" w:sz="0" w:space="0" w:color="auto"/>
        <w:right w:val="none" w:sz="0" w:space="0" w:color="auto"/>
      </w:divBdr>
      <w:divsChild>
        <w:div w:id="935134372">
          <w:marLeft w:val="0"/>
          <w:marRight w:val="0"/>
          <w:marTop w:val="0"/>
          <w:marBottom w:val="0"/>
          <w:divBdr>
            <w:top w:val="none" w:sz="0" w:space="0" w:color="auto"/>
            <w:left w:val="none" w:sz="0" w:space="0" w:color="auto"/>
            <w:bottom w:val="none" w:sz="0" w:space="0" w:color="auto"/>
            <w:right w:val="none" w:sz="0" w:space="0" w:color="auto"/>
          </w:divBdr>
          <w:divsChild>
            <w:div w:id="174006883">
              <w:marLeft w:val="0"/>
              <w:marRight w:val="0"/>
              <w:marTop w:val="0"/>
              <w:marBottom w:val="0"/>
              <w:divBdr>
                <w:top w:val="none" w:sz="0" w:space="0" w:color="auto"/>
                <w:left w:val="none" w:sz="0" w:space="0" w:color="auto"/>
                <w:bottom w:val="none" w:sz="0" w:space="0" w:color="auto"/>
                <w:right w:val="none" w:sz="0" w:space="0" w:color="auto"/>
              </w:divBdr>
              <w:divsChild>
                <w:div w:id="15806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04">
      <w:bodyDiv w:val="1"/>
      <w:marLeft w:val="0"/>
      <w:marRight w:val="0"/>
      <w:marTop w:val="0"/>
      <w:marBottom w:val="0"/>
      <w:divBdr>
        <w:top w:val="none" w:sz="0" w:space="0" w:color="auto"/>
        <w:left w:val="none" w:sz="0" w:space="0" w:color="auto"/>
        <w:bottom w:val="none" w:sz="0" w:space="0" w:color="auto"/>
        <w:right w:val="none" w:sz="0" w:space="0" w:color="auto"/>
      </w:divBdr>
      <w:divsChild>
        <w:div w:id="2011593558">
          <w:marLeft w:val="0"/>
          <w:marRight w:val="0"/>
          <w:marTop w:val="0"/>
          <w:marBottom w:val="0"/>
          <w:divBdr>
            <w:top w:val="none" w:sz="0" w:space="0" w:color="auto"/>
            <w:left w:val="none" w:sz="0" w:space="0" w:color="auto"/>
            <w:bottom w:val="none" w:sz="0" w:space="0" w:color="auto"/>
            <w:right w:val="none" w:sz="0" w:space="0" w:color="auto"/>
          </w:divBdr>
          <w:divsChild>
            <w:div w:id="1403411914">
              <w:marLeft w:val="0"/>
              <w:marRight w:val="0"/>
              <w:marTop w:val="0"/>
              <w:marBottom w:val="0"/>
              <w:divBdr>
                <w:top w:val="none" w:sz="0" w:space="0" w:color="auto"/>
                <w:left w:val="none" w:sz="0" w:space="0" w:color="auto"/>
                <w:bottom w:val="none" w:sz="0" w:space="0" w:color="auto"/>
                <w:right w:val="none" w:sz="0" w:space="0" w:color="auto"/>
              </w:divBdr>
              <w:divsChild>
                <w:div w:id="1500854171">
                  <w:marLeft w:val="0"/>
                  <w:marRight w:val="0"/>
                  <w:marTop w:val="0"/>
                  <w:marBottom w:val="0"/>
                  <w:divBdr>
                    <w:top w:val="none" w:sz="0" w:space="0" w:color="auto"/>
                    <w:left w:val="none" w:sz="0" w:space="0" w:color="auto"/>
                    <w:bottom w:val="none" w:sz="0" w:space="0" w:color="auto"/>
                    <w:right w:val="none" w:sz="0" w:space="0" w:color="auto"/>
                  </w:divBdr>
                </w:div>
              </w:divsChild>
            </w:div>
            <w:div w:id="63335508">
              <w:marLeft w:val="0"/>
              <w:marRight w:val="0"/>
              <w:marTop w:val="0"/>
              <w:marBottom w:val="0"/>
              <w:divBdr>
                <w:top w:val="none" w:sz="0" w:space="0" w:color="auto"/>
                <w:left w:val="none" w:sz="0" w:space="0" w:color="auto"/>
                <w:bottom w:val="none" w:sz="0" w:space="0" w:color="auto"/>
                <w:right w:val="none" w:sz="0" w:space="0" w:color="auto"/>
              </w:divBdr>
              <w:divsChild>
                <w:div w:id="7922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9569">
          <w:marLeft w:val="0"/>
          <w:marRight w:val="0"/>
          <w:marTop w:val="0"/>
          <w:marBottom w:val="0"/>
          <w:divBdr>
            <w:top w:val="none" w:sz="0" w:space="0" w:color="auto"/>
            <w:left w:val="none" w:sz="0" w:space="0" w:color="auto"/>
            <w:bottom w:val="none" w:sz="0" w:space="0" w:color="auto"/>
            <w:right w:val="none" w:sz="0" w:space="0" w:color="auto"/>
          </w:divBdr>
          <w:divsChild>
            <w:div w:id="188223233">
              <w:marLeft w:val="0"/>
              <w:marRight w:val="0"/>
              <w:marTop w:val="0"/>
              <w:marBottom w:val="0"/>
              <w:divBdr>
                <w:top w:val="none" w:sz="0" w:space="0" w:color="auto"/>
                <w:left w:val="none" w:sz="0" w:space="0" w:color="auto"/>
                <w:bottom w:val="none" w:sz="0" w:space="0" w:color="auto"/>
                <w:right w:val="none" w:sz="0" w:space="0" w:color="auto"/>
              </w:divBdr>
              <w:divsChild>
                <w:div w:id="7908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60603">
      <w:bodyDiv w:val="1"/>
      <w:marLeft w:val="0"/>
      <w:marRight w:val="0"/>
      <w:marTop w:val="0"/>
      <w:marBottom w:val="0"/>
      <w:divBdr>
        <w:top w:val="none" w:sz="0" w:space="0" w:color="auto"/>
        <w:left w:val="none" w:sz="0" w:space="0" w:color="auto"/>
        <w:bottom w:val="none" w:sz="0" w:space="0" w:color="auto"/>
        <w:right w:val="none" w:sz="0" w:space="0" w:color="auto"/>
      </w:divBdr>
    </w:div>
    <w:div w:id="520166305">
      <w:bodyDiv w:val="1"/>
      <w:marLeft w:val="0"/>
      <w:marRight w:val="0"/>
      <w:marTop w:val="0"/>
      <w:marBottom w:val="0"/>
      <w:divBdr>
        <w:top w:val="none" w:sz="0" w:space="0" w:color="auto"/>
        <w:left w:val="none" w:sz="0" w:space="0" w:color="auto"/>
        <w:bottom w:val="none" w:sz="0" w:space="0" w:color="auto"/>
        <w:right w:val="none" w:sz="0" w:space="0" w:color="auto"/>
      </w:divBdr>
    </w:div>
    <w:div w:id="521557600">
      <w:bodyDiv w:val="1"/>
      <w:marLeft w:val="0"/>
      <w:marRight w:val="0"/>
      <w:marTop w:val="0"/>
      <w:marBottom w:val="0"/>
      <w:divBdr>
        <w:top w:val="none" w:sz="0" w:space="0" w:color="auto"/>
        <w:left w:val="none" w:sz="0" w:space="0" w:color="auto"/>
        <w:bottom w:val="none" w:sz="0" w:space="0" w:color="auto"/>
        <w:right w:val="none" w:sz="0" w:space="0" w:color="auto"/>
      </w:divBdr>
    </w:div>
    <w:div w:id="524563686">
      <w:bodyDiv w:val="1"/>
      <w:marLeft w:val="0"/>
      <w:marRight w:val="0"/>
      <w:marTop w:val="0"/>
      <w:marBottom w:val="0"/>
      <w:divBdr>
        <w:top w:val="none" w:sz="0" w:space="0" w:color="auto"/>
        <w:left w:val="none" w:sz="0" w:space="0" w:color="auto"/>
        <w:bottom w:val="none" w:sz="0" w:space="0" w:color="auto"/>
        <w:right w:val="none" w:sz="0" w:space="0" w:color="auto"/>
      </w:divBdr>
      <w:divsChild>
        <w:div w:id="1936090592">
          <w:marLeft w:val="0"/>
          <w:marRight w:val="0"/>
          <w:marTop w:val="0"/>
          <w:marBottom w:val="0"/>
          <w:divBdr>
            <w:top w:val="none" w:sz="0" w:space="0" w:color="auto"/>
            <w:left w:val="none" w:sz="0" w:space="0" w:color="auto"/>
            <w:bottom w:val="none" w:sz="0" w:space="0" w:color="auto"/>
            <w:right w:val="none" w:sz="0" w:space="0" w:color="auto"/>
          </w:divBdr>
        </w:div>
        <w:div w:id="1478572617">
          <w:marLeft w:val="0"/>
          <w:marRight w:val="0"/>
          <w:marTop w:val="0"/>
          <w:marBottom w:val="0"/>
          <w:divBdr>
            <w:top w:val="none" w:sz="0" w:space="0" w:color="auto"/>
            <w:left w:val="none" w:sz="0" w:space="0" w:color="auto"/>
            <w:bottom w:val="none" w:sz="0" w:space="0" w:color="auto"/>
            <w:right w:val="none" w:sz="0" w:space="0" w:color="auto"/>
          </w:divBdr>
          <w:divsChild>
            <w:div w:id="318846678">
              <w:marLeft w:val="0"/>
              <w:marRight w:val="0"/>
              <w:marTop w:val="0"/>
              <w:marBottom w:val="150"/>
              <w:divBdr>
                <w:top w:val="none" w:sz="0" w:space="0" w:color="auto"/>
                <w:left w:val="none" w:sz="0" w:space="0" w:color="auto"/>
                <w:bottom w:val="none" w:sz="0" w:space="0" w:color="auto"/>
                <w:right w:val="none" w:sz="0" w:space="0" w:color="auto"/>
              </w:divBdr>
              <w:divsChild>
                <w:div w:id="1992128357">
                  <w:marLeft w:val="0"/>
                  <w:marRight w:val="0"/>
                  <w:marTop w:val="0"/>
                  <w:marBottom w:val="0"/>
                  <w:divBdr>
                    <w:top w:val="none" w:sz="0" w:space="0" w:color="auto"/>
                    <w:left w:val="none" w:sz="0" w:space="0" w:color="auto"/>
                    <w:bottom w:val="none" w:sz="0" w:space="0" w:color="auto"/>
                    <w:right w:val="none" w:sz="0" w:space="0" w:color="auto"/>
                  </w:divBdr>
                  <w:divsChild>
                    <w:div w:id="1251311124">
                      <w:marLeft w:val="0"/>
                      <w:marRight w:val="0"/>
                      <w:marTop w:val="150"/>
                      <w:marBottom w:val="0"/>
                      <w:divBdr>
                        <w:top w:val="none" w:sz="0" w:space="0" w:color="auto"/>
                        <w:left w:val="none" w:sz="0" w:space="0" w:color="auto"/>
                        <w:bottom w:val="none" w:sz="0" w:space="0" w:color="auto"/>
                        <w:right w:val="none" w:sz="0" w:space="0" w:color="auto"/>
                      </w:divBdr>
                      <w:divsChild>
                        <w:div w:id="184019568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16438">
      <w:bodyDiv w:val="1"/>
      <w:marLeft w:val="0"/>
      <w:marRight w:val="0"/>
      <w:marTop w:val="0"/>
      <w:marBottom w:val="0"/>
      <w:divBdr>
        <w:top w:val="none" w:sz="0" w:space="0" w:color="auto"/>
        <w:left w:val="none" w:sz="0" w:space="0" w:color="auto"/>
        <w:bottom w:val="none" w:sz="0" w:space="0" w:color="auto"/>
        <w:right w:val="none" w:sz="0" w:space="0" w:color="auto"/>
      </w:divBdr>
    </w:div>
    <w:div w:id="528224954">
      <w:bodyDiv w:val="1"/>
      <w:marLeft w:val="0"/>
      <w:marRight w:val="0"/>
      <w:marTop w:val="0"/>
      <w:marBottom w:val="0"/>
      <w:divBdr>
        <w:top w:val="none" w:sz="0" w:space="0" w:color="auto"/>
        <w:left w:val="none" w:sz="0" w:space="0" w:color="auto"/>
        <w:bottom w:val="none" w:sz="0" w:space="0" w:color="auto"/>
        <w:right w:val="none" w:sz="0" w:space="0" w:color="auto"/>
      </w:divBdr>
    </w:div>
    <w:div w:id="528564543">
      <w:bodyDiv w:val="1"/>
      <w:marLeft w:val="0"/>
      <w:marRight w:val="0"/>
      <w:marTop w:val="0"/>
      <w:marBottom w:val="0"/>
      <w:divBdr>
        <w:top w:val="none" w:sz="0" w:space="0" w:color="auto"/>
        <w:left w:val="none" w:sz="0" w:space="0" w:color="auto"/>
        <w:bottom w:val="none" w:sz="0" w:space="0" w:color="auto"/>
        <w:right w:val="none" w:sz="0" w:space="0" w:color="auto"/>
      </w:divBdr>
    </w:div>
    <w:div w:id="529874439">
      <w:bodyDiv w:val="1"/>
      <w:marLeft w:val="0"/>
      <w:marRight w:val="0"/>
      <w:marTop w:val="0"/>
      <w:marBottom w:val="0"/>
      <w:divBdr>
        <w:top w:val="none" w:sz="0" w:space="0" w:color="auto"/>
        <w:left w:val="none" w:sz="0" w:space="0" w:color="auto"/>
        <w:bottom w:val="none" w:sz="0" w:space="0" w:color="auto"/>
        <w:right w:val="none" w:sz="0" w:space="0" w:color="auto"/>
      </w:divBdr>
    </w:div>
    <w:div w:id="532617555">
      <w:bodyDiv w:val="1"/>
      <w:marLeft w:val="0"/>
      <w:marRight w:val="0"/>
      <w:marTop w:val="0"/>
      <w:marBottom w:val="0"/>
      <w:divBdr>
        <w:top w:val="none" w:sz="0" w:space="0" w:color="auto"/>
        <w:left w:val="none" w:sz="0" w:space="0" w:color="auto"/>
        <w:bottom w:val="none" w:sz="0" w:space="0" w:color="auto"/>
        <w:right w:val="none" w:sz="0" w:space="0" w:color="auto"/>
      </w:divBdr>
      <w:divsChild>
        <w:div w:id="1174758871">
          <w:marLeft w:val="0"/>
          <w:marRight w:val="0"/>
          <w:marTop w:val="0"/>
          <w:marBottom w:val="0"/>
          <w:divBdr>
            <w:top w:val="none" w:sz="0" w:space="0" w:color="auto"/>
            <w:left w:val="none" w:sz="0" w:space="0" w:color="auto"/>
            <w:bottom w:val="none" w:sz="0" w:space="0" w:color="auto"/>
            <w:right w:val="none" w:sz="0" w:space="0" w:color="auto"/>
          </w:divBdr>
          <w:divsChild>
            <w:div w:id="883567758">
              <w:marLeft w:val="0"/>
              <w:marRight w:val="0"/>
              <w:marTop w:val="0"/>
              <w:marBottom w:val="0"/>
              <w:divBdr>
                <w:top w:val="none" w:sz="0" w:space="0" w:color="auto"/>
                <w:left w:val="none" w:sz="0" w:space="0" w:color="auto"/>
                <w:bottom w:val="none" w:sz="0" w:space="0" w:color="auto"/>
                <w:right w:val="none" w:sz="0" w:space="0" w:color="auto"/>
              </w:divBdr>
              <w:divsChild>
                <w:div w:id="11968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32567">
      <w:bodyDiv w:val="1"/>
      <w:marLeft w:val="0"/>
      <w:marRight w:val="0"/>
      <w:marTop w:val="0"/>
      <w:marBottom w:val="0"/>
      <w:divBdr>
        <w:top w:val="none" w:sz="0" w:space="0" w:color="auto"/>
        <w:left w:val="none" w:sz="0" w:space="0" w:color="auto"/>
        <w:bottom w:val="none" w:sz="0" w:space="0" w:color="auto"/>
        <w:right w:val="none" w:sz="0" w:space="0" w:color="auto"/>
      </w:divBdr>
      <w:divsChild>
        <w:div w:id="975646480">
          <w:marLeft w:val="0"/>
          <w:marRight w:val="0"/>
          <w:marTop w:val="0"/>
          <w:marBottom w:val="0"/>
          <w:divBdr>
            <w:top w:val="none" w:sz="0" w:space="0" w:color="auto"/>
            <w:left w:val="none" w:sz="0" w:space="0" w:color="auto"/>
            <w:bottom w:val="none" w:sz="0" w:space="0" w:color="auto"/>
            <w:right w:val="none" w:sz="0" w:space="0" w:color="auto"/>
          </w:divBdr>
          <w:divsChild>
            <w:div w:id="180583407">
              <w:marLeft w:val="0"/>
              <w:marRight w:val="0"/>
              <w:marTop w:val="0"/>
              <w:marBottom w:val="0"/>
              <w:divBdr>
                <w:top w:val="none" w:sz="0" w:space="0" w:color="auto"/>
                <w:left w:val="none" w:sz="0" w:space="0" w:color="auto"/>
                <w:bottom w:val="none" w:sz="0" w:space="0" w:color="auto"/>
                <w:right w:val="none" w:sz="0" w:space="0" w:color="auto"/>
              </w:divBdr>
              <w:divsChild>
                <w:div w:id="14968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70323">
      <w:bodyDiv w:val="1"/>
      <w:marLeft w:val="0"/>
      <w:marRight w:val="0"/>
      <w:marTop w:val="0"/>
      <w:marBottom w:val="0"/>
      <w:divBdr>
        <w:top w:val="none" w:sz="0" w:space="0" w:color="auto"/>
        <w:left w:val="none" w:sz="0" w:space="0" w:color="auto"/>
        <w:bottom w:val="none" w:sz="0" w:space="0" w:color="auto"/>
        <w:right w:val="none" w:sz="0" w:space="0" w:color="auto"/>
      </w:divBdr>
      <w:divsChild>
        <w:div w:id="1757440038">
          <w:marLeft w:val="0"/>
          <w:marRight w:val="0"/>
          <w:marTop w:val="0"/>
          <w:marBottom w:val="0"/>
          <w:divBdr>
            <w:top w:val="none" w:sz="0" w:space="0" w:color="auto"/>
            <w:left w:val="none" w:sz="0" w:space="0" w:color="auto"/>
            <w:bottom w:val="none" w:sz="0" w:space="0" w:color="auto"/>
            <w:right w:val="none" w:sz="0" w:space="0" w:color="auto"/>
          </w:divBdr>
        </w:div>
      </w:divsChild>
    </w:div>
    <w:div w:id="537671439">
      <w:bodyDiv w:val="1"/>
      <w:marLeft w:val="0"/>
      <w:marRight w:val="0"/>
      <w:marTop w:val="0"/>
      <w:marBottom w:val="0"/>
      <w:divBdr>
        <w:top w:val="none" w:sz="0" w:space="0" w:color="auto"/>
        <w:left w:val="none" w:sz="0" w:space="0" w:color="auto"/>
        <w:bottom w:val="none" w:sz="0" w:space="0" w:color="auto"/>
        <w:right w:val="none" w:sz="0" w:space="0" w:color="auto"/>
      </w:divBdr>
      <w:divsChild>
        <w:div w:id="260921177">
          <w:marLeft w:val="0"/>
          <w:marRight w:val="0"/>
          <w:marTop w:val="0"/>
          <w:marBottom w:val="0"/>
          <w:divBdr>
            <w:top w:val="none" w:sz="0" w:space="0" w:color="auto"/>
            <w:left w:val="none" w:sz="0" w:space="0" w:color="auto"/>
            <w:bottom w:val="none" w:sz="0" w:space="0" w:color="auto"/>
            <w:right w:val="none" w:sz="0" w:space="0" w:color="auto"/>
          </w:divBdr>
          <w:divsChild>
            <w:div w:id="1529099418">
              <w:marLeft w:val="0"/>
              <w:marRight w:val="0"/>
              <w:marTop w:val="0"/>
              <w:marBottom w:val="0"/>
              <w:divBdr>
                <w:top w:val="none" w:sz="0" w:space="0" w:color="auto"/>
                <w:left w:val="none" w:sz="0" w:space="0" w:color="auto"/>
                <w:bottom w:val="none" w:sz="0" w:space="0" w:color="auto"/>
                <w:right w:val="none" w:sz="0" w:space="0" w:color="auto"/>
              </w:divBdr>
              <w:divsChild>
                <w:div w:id="8061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6249">
      <w:bodyDiv w:val="1"/>
      <w:marLeft w:val="0"/>
      <w:marRight w:val="0"/>
      <w:marTop w:val="0"/>
      <w:marBottom w:val="0"/>
      <w:divBdr>
        <w:top w:val="none" w:sz="0" w:space="0" w:color="auto"/>
        <w:left w:val="none" w:sz="0" w:space="0" w:color="auto"/>
        <w:bottom w:val="none" w:sz="0" w:space="0" w:color="auto"/>
        <w:right w:val="none" w:sz="0" w:space="0" w:color="auto"/>
      </w:divBdr>
    </w:div>
    <w:div w:id="539365357">
      <w:bodyDiv w:val="1"/>
      <w:marLeft w:val="0"/>
      <w:marRight w:val="0"/>
      <w:marTop w:val="0"/>
      <w:marBottom w:val="0"/>
      <w:divBdr>
        <w:top w:val="none" w:sz="0" w:space="0" w:color="auto"/>
        <w:left w:val="none" w:sz="0" w:space="0" w:color="auto"/>
        <w:bottom w:val="none" w:sz="0" w:space="0" w:color="auto"/>
        <w:right w:val="none" w:sz="0" w:space="0" w:color="auto"/>
      </w:divBdr>
      <w:divsChild>
        <w:div w:id="2068337620">
          <w:marLeft w:val="0"/>
          <w:marRight w:val="0"/>
          <w:marTop w:val="0"/>
          <w:marBottom w:val="0"/>
          <w:divBdr>
            <w:top w:val="none" w:sz="0" w:space="0" w:color="auto"/>
            <w:left w:val="none" w:sz="0" w:space="0" w:color="auto"/>
            <w:bottom w:val="none" w:sz="0" w:space="0" w:color="auto"/>
            <w:right w:val="none" w:sz="0" w:space="0" w:color="auto"/>
          </w:divBdr>
          <w:divsChild>
            <w:div w:id="351272966">
              <w:marLeft w:val="0"/>
              <w:marRight w:val="0"/>
              <w:marTop w:val="0"/>
              <w:marBottom w:val="0"/>
              <w:divBdr>
                <w:top w:val="none" w:sz="0" w:space="0" w:color="auto"/>
                <w:left w:val="none" w:sz="0" w:space="0" w:color="auto"/>
                <w:bottom w:val="none" w:sz="0" w:space="0" w:color="auto"/>
                <w:right w:val="none" w:sz="0" w:space="0" w:color="auto"/>
              </w:divBdr>
              <w:divsChild>
                <w:div w:id="1575356739">
                  <w:marLeft w:val="0"/>
                  <w:marRight w:val="0"/>
                  <w:marTop w:val="0"/>
                  <w:marBottom w:val="0"/>
                  <w:divBdr>
                    <w:top w:val="none" w:sz="0" w:space="0" w:color="auto"/>
                    <w:left w:val="none" w:sz="0" w:space="0" w:color="auto"/>
                    <w:bottom w:val="none" w:sz="0" w:space="0" w:color="auto"/>
                    <w:right w:val="none" w:sz="0" w:space="0" w:color="auto"/>
                  </w:divBdr>
                </w:div>
                <w:div w:id="1445349339">
                  <w:marLeft w:val="0"/>
                  <w:marRight w:val="0"/>
                  <w:marTop w:val="0"/>
                  <w:marBottom w:val="0"/>
                  <w:divBdr>
                    <w:top w:val="none" w:sz="0" w:space="0" w:color="auto"/>
                    <w:left w:val="none" w:sz="0" w:space="0" w:color="auto"/>
                    <w:bottom w:val="none" w:sz="0" w:space="0" w:color="auto"/>
                    <w:right w:val="none" w:sz="0" w:space="0" w:color="auto"/>
                  </w:divBdr>
                </w:div>
                <w:div w:id="9980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3785">
          <w:marLeft w:val="0"/>
          <w:marRight w:val="0"/>
          <w:marTop w:val="0"/>
          <w:marBottom w:val="0"/>
          <w:divBdr>
            <w:top w:val="none" w:sz="0" w:space="0" w:color="auto"/>
            <w:left w:val="none" w:sz="0" w:space="0" w:color="auto"/>
            <w:bottom w:val="none" w:sz="0" w:space="0" w:color="auto"/>
            <w:right w:val="none" w:sz="0" w:space="0" w:color="auto"/>
          </w:divBdr>
          <w:divsChild>
            <w:div w:id="2007391770">
              <w:marLeft w:val="0"/>
              <w:marRight w:val="0"/>
              <w:marTop w:val="0"/>
              <w:marBottom w:val="0"/>
              <w:divBdr>
                <w:top w:val="none" w:sz="0" w:space="0" w:color="auto"/>
                <w:left w:val="none" w:sz="0" w:space="0" w:color="auto"/>
                <w:bottom w:val="none" w:sz="0" w:space="0" w:color="auto"/>
                <w:right w:val="none" w:sz="0" w:space="0" w:color="auto"/>
              </w:divBdr>
              <w:divsChild>
                <w:div w:id="3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66488">
      <w:bodyDiv w:val="1"/>
      <w:marLeft w:val="0"/>
      <w:marRight w:val="0"/>
      <w:marTop w:val="0"/>
      <w:marBottom w:val="0"/>
      <w:divBdr>
        <w:top w:val="none" w:sz="0" w:space="0" w:color="auto"/>
        <w:left w:val="none" w:sz="0" w:space="0" w:color="auto"/>
        <w:bottom w:val="none" w:sz="0" w:space="0" w:color="auto"/>
        <w:right w:val="none" w:sz="0" w:space="0" w:color="auto"/>
      </w:divBdr>
    </w:div>
    <w:div w:id="552666444">
      <w:bodyDiv w:val="1"/>
      <w:marLeft w:val="0"/>
      <w:marRight w:val="0"/>
      <w:marTop w:val="0"/>
      <w:marBottom w:val="0"/>
      <w:divBdr>
        <w:top w:val="none" w:sz="0" w:space="0" w:color="auto"/>
        <w:left w:val="none" w:sz="0" w:space="0" w:color="auto"/>
        <w:bottom w:val="none" w:sz="0" w:space="0" w:color="auto"/>
        <w:right w:val="none" w:sz="0" w:space="0" w:color="auto"/>
      </w:divBdr>
      <w:divsChild>
        <w:div w:id="1951887592">
          <w:marLeft w:val="0"/>
          <w:marRight w:val="0"/>
          <w:marTop w:val="0"/>
          <w:marBottom w:val="0"/>
          <w:divBdr>
            <w:top w:val="none" w:sz="0" w:space="0" w:color="auto"/>
            <w:left w:val="none" w:sz="0" w:space="0" w:color="auto"/>
            <w:bottom w:val="none" w:sz="0" w:space="0" w:color="auto"/>
            <w:right w:val="none" w:sz="0" w:space="0" w:color="auto"/>
          </w:divBdr>
          <w:divsChild>
            <w:div w:id="472606390">
              <w:marLeft w:val="0"/>
              <w:marRight w:val="0"/>
              <w:marTop w:val="0"/>
              <w:marBottom w:val="0"/>
              <w:divBdr>
                <w:top w:val="none" w:sz="0" w:space="0" w:color="auto"/>
                <w:left w:val="none" w:sz="0" w:space="0" w:color="auto"/>
                <w:bottom w:val="none" w:sz="0" w:space="0" w:color="auto"/>
                <w:right w:val="none" w:sz="0" w:space="0" w:color="auto"/>
              </w:divBdr>
              <w:divsChild>
                <w:div w:id="1384596329">
                  <w:marLeft w:val="0"/>
                  <w:marRight w:val="0"/>
                  <w:marTop w:val="0"/>
                  <w:marBottom w:val="0"/>
                  <w:divBdr>
                    <w:top w:val="none" w:sz="0" w:space="0" w:color="auto"/>
                    <w:left w:val="none" w:sz="0" w:space="0" w:color="auto"/>
                    <w:bottom w:val="none" w:sz="0" w:space="0" w:color="auto"/>
                    <w:right w:val="none" w:sz="0" w:space="0" w:color="auto"/>
                  </w:divBdr>
                  <w:divsChild>
                    <w:div w:id="9481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01636">
      <w:bodyDiv w:val="1"/>
      <w:marLeft w:val="0"/>
      <w:marRight w:val="0"/>
      <w:marTop w:val="0"/>
      <w:marBottom w:val="0"/>
      <w:divBdr>
        <w:top w:val="none" w:sz="0" w:space="0" w:color="auto"/>
        <w:left w:val="none" w:sz="0" w:space="0" w:color="auto"/>
        <w:bottom w:val="none" w:sz="0" w:space="0" w:color="auto"/>
        <w:right w:val="none" w:sz="0" w:space="0" w:color="auto"/>
      </w:divBdr>
      <w:divsChild>
        <w:div w:id="665547962">
          <w:marLeft w:val="0"/>
          <w:marRight w:val="0"/>
          <w:marTop w:val="0"/>
          <w:marBottom w:val="0"/>
          <w:divBdr>
            <w:top w:val="none" w:sz="0" w:space="0" w:color="auto"/>
            <w:left w:val="none" w:sz="0" w:space="0" w:color="auto"/>
            <w:bottom w:val="none" w:sz="0" w:space="0" w:color="auto"/>
            <w:right w:val="none" w:sz="0" w:space="0" w:color="auto"/>
          </w:divBdr>
        </w:div>
      </w:divsChild>
    </w:div>
    <w:div w:id="556284933">
      <w:bodyDiv w:val="1"/>
      <w:marLeft w:val="0"/>
      <w:marRight w:val="0"/>
      <w:marTop w:val="0"/>
      <w:marBottom w:val="0"/>
      <w:divBdr>
        <w:top w:val="none" w:sz="0" w:space="0" w:color="auto"/>
        <w:left w:val="none" w:sz="0" w:space="0" w:color="auto"/>
        <w:bottom w:val="none" w:sz="0" w:space="0" w:color="auto"/>
        <w:right w:val="none" w:sz="0" w:space="0" w:color="auto"/>
      </w:divBdr>
    </w:div>
    <w:div w:id="557471730">
      <w:bodyDiv w:val="1"/>
      <w:marLeft w:val="0"/>
      <w:marRight w:val="0"/>
      <w:marTop w:val="0"/>
      <w:marBottom w:val="0"/>
      <w:divBdr>
        <w:top w:val="none" w:sz="0" w:space="0" w:color="auto"/>
        <w:left w:val="none" w:sz="0" w:space="0" w:color="auto"/>
        <w:bottom w:val="none" w:sz="0" w:space="0" w:color="auto"/>
        <w:right w:val="none" w:sz="0" w:space="0" w:color="auto"/>
      </w:divBdr>
      <w:divsChild>
        <w:div w:id="757756026">
          <w:marLeft w:val="0"/>
          <w:marRight w:val="0"/>
          <w:marTop w:val="0"/>
          <w:marBottom w:val="0"/>
          <w:divBdr>
            <w:top w:val="none" w:sz="0" w:space="0" w:color="auto"/>
            <w:left w:val="none" w:sz="0" w:space="0" w:color="auto"/>
            <w:bottom w:val="none" w:sz="0" w:space="0" w:color="auto"/>
            <w:right w:val="none" w:sz="0" w:space="0" w:color="auto"/>
          </w:divBdr>
          <w:divsChild>
            <w:div w:id="452332362">
              <w:marLeft w:val="0"/>
              <w:marRight w:val="0"/>
              <w:marTop w:val="0"/>
              <w:marBottom w:val="0"/>
              <w:divBdr>
                <w:top w:val="none" w:sz="0" w:space="0" w:color="auto"/>
                <w:left w:val="none" w:sz="0" w:space="0" w:color="auto"/>
                <w:bottom w:val="none" w:sz="0" w:space="0" w:color="auto"/>
                <w:right w:val="none" w:sz="0" w:space="0" w:color="auto"/>
              </w:divBdr>
              <w:divsChild>
                <w:div w:id="3896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19250">
      <w:bodyDiv w:val="1"/>
      <w:marLeft w:val="0"/>
      <w:marRight w:val="0"/>
      <w:marTop w:val="0"/>
      <w:marBottom w:val="0"/>
      <w:divBdr>
        <w:top w:val="none" w:sz="0" w:space="0" w:color="auto"/>
        <w:left w:val="none" w:sz="0" w:space="0" w:color="auto"/>
        <w:bottom w:val="none" w:sz="0" w:space="0" w:color="auto"/>
        <w:right w:val="none" w:sz="0" w:space="0" w:color="auto"/>
      </w:divBdr>
    </w:div>
    <w:div w:id="561061719">
      <w:bodyDiv w:val="1"/>
      <w:marLeft w:val="0"/>
      <w:marRight w:val="0"/>
      <w:marTop w:val="0"/>
      <w:marBottom w:val="0"/>
      <w:divBdr>
        <w:top w:val="none" w:sz="0" w:space="0" w:color="auto"/>
        <w:left w:val="none" w:sz="0" w:space="0" w:color="auto"/>
        <w:bottom w:val="none" w:sz="0" w:space="0" w:color="auto"/>
        <w:right w:val="none" w:sz="0" w:space="0" w:color="auto"/>
      </w:divBdr>
      <w:divsChild>
        <w:div w:id="1533348988">
          <w:marLeft w:val="0"/>
          <w:marRight w:val="0"/>
          <w:marTop w:val="0"/>
          <w:marBottom w:val="0"/>
          <w:divBdr>
            <w:top w:val="none" w:sz="0" w:space="0" w:color="auto"/>
            <w:left w:val="none" w:sz="0" w:space="0" w:color="auto"/>
            <w:bottom w:val="none" w:sz="0" w:space="0" w:color="auto"/>
            <w:right w:val="none" w:sz="0" w:space="0" w:color="auto"/>
          </w:divBdr>
        </w:div>
        <w:div w:id="126094292">
          <w:marLeft w:val="0"/>
          <w:marRight w:val="0"/>
          <w:marTop w:val="0"/>
          <w:marBottom w:val="0"/>
          <w:divBdr>
            <w:top w:val="none" w:sz="0" w:space="0" w:color="auto"/>
            <w:left w:val="none" w:sz="0" w:space="0" w:color="auto"/>
            <w:bottom w:val="none" w:sz="0" w:space="0" w:color="auto"/>
            <w:right w:val="none" w:sz="0" w:space="0" w:color="auto"/>
          </w:divBdr>
        </w:div>
        <w:div w:id="1104888150">
          <w:marLeft w:val="0"/>
          <w:marRight w:val="0"/>
          <w:marTop w:val="0"/>
          <w:marBottom w:val="0"/>
          <w:divBdr>
            <w:top w:val="none" w:sz="0" w:space="0" w:color="auto"/>
            <w:left w:val="none" w:sz="0" w:space="0" w:color="auto"/>
            <w:bottom w:val="none" w:sz="0" w:space="0" w:color="auto"/>
            <w:right w:val="none" w:sz="0" w:space="0" w:color="auto"/>
          </w:divBdr>
        </w:div>
        <w:div w:id="601836920">
          <w:marLeft w:val="0"/>
          <w:marRight w:val="0"/>
          <w:marTop w:val="0"/>
          <w:marBottom w:val="0"/>
          <w:divBdr>
            <w:top w:val="none" w:sz="0" w:space="0" w:color="auto"/>
            <w:left w:val="none" w:sz="0" w:space="0" w:color="auto"/>
            <w:bottom w:val="none" w:sz="0" w:space="0" w:color="auto"/>
            <w:right w:val="none" w:sz="0" w:space="0" w:color="auto"/>
          </w:divBdr>
        </w:div>
      </w:divsChild>
    </w:div>
    <w:div w:id="561595628">
      <w:bodyDiv w:val="1"/>
      <w:marLeft w:val="0"/>
      <w:marRight w:val="0"/>
      <w:marTop w:val="0"/>
      <w:marBottom w:val="0"/>
      <w:divBdr>
        <w:top w:val="none" w:sz="0" w:space="0" w:color="auto"/>
        <w:left w:val="none" w:sz="0" w:space="0" w:color="auto"/>
        <w:bottom w:val="none" w:sz="0" w:space="0" w:color="auto"/>
        <w:right w:val="none" w:sz="0" w:space="0" w:color="auto"/>
      </w:divBdr>
    </w:div>
    <w:div w:id="562789282">
      <w:bodyDiv w:val="1"/>
      <w:marLeft w:val="0"/>
      <w:marRight w:val="0"/>
      <w:marTop w:val="0"/>
      <w:marBottom w:val="0"/>
      <w:divBdr>
        <w:top w:val="none" w:sz="0" w:space="0" w:color="auto"/>
        <w:left w:val="none" w:sz="0" w:space="0" w:color="auto"/>
        <w:bottom w:val="none" w:sz="0" w:space="0" w:color="auto"/>
        <w:right w:val="none" w:sz="0" w:space="0" w:color="auto"/>
      </w:divBdr>
      <w:divsChild>
        <w:div w:id="517543238">
          <w:marLeft w:val="0"/>
          <w:marRight w:val="0"/>
          <w:marTop w:val="0"/>
          <w:marBottom w:val="0"/>
          <w:divBdr>
            <w:top w:val="none" w:sz="0" w:space="0" w:color="auto"/>
            <w:left w:val="none" w:sz="0" w:space="0" w:color="auto"/>
            <w:bottom w:val="none" w:sz="0" w:space="0" w:color="auto"/>
            <w:right w:val="none" w:sz="0" w:space="0" w:color="auto"/>
          </w:divBdr>
          <w:divsChild>
            <w:div w:id="916865409">
              <w:marLeft w:val="0"/>
              <w:marRight w:val="0"/>
              <w:marTop w:val="0"/>
              <w:marBottom w:val="0"/>
              <w:divBdr>
                <w:top w:val="none" w:sz="0" w:space="0" w:color="auto"/>
                <w:left w:val="none" w:sz="0" w:space="0" w:color="auto"/>
                <w:bottom w:val="none" w:sz="0" w:space="0" w:color="auto"/>
                <w:right w:val="none" w:sz="0" w:space="0" w:color="auto"/>
              </w:divBdr>
              <w:divsChild>
                <w:div w:id="19944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6078">
      <w:bodyDiv w:val="1"/>
      <w:marLeft w:val="0"/>
      <w:marRight w:val="0"/>
      <w:marTop w:val="0"/>
      <w:marBottom w:val="0"/>
      <w:divBdr>
        <w:top w:val="none" w:sz="0" w:space="0" w:color="auto"/>
        <w:left w:val="none" w:sz="0" w:space="0" w:color="auto"/>
        <w:bottom w:val="none" w:sz="0" w:space="0" w:color="auto"/>
        <w:right w:val="none" w:sz="0" w:space="0" w:color="auto"/>
      </w:divBdr>
    </w:div>
    <w:div w:id="574321824">
      <w:bodyDiv w:val="1"/>
      <w:marLeft w:val="0"/>
      <w:marRight w:val="0"/>
      <w:marTop w:val="0"/>
      <w:marBottom w:val="0"/>
      <w:divBdr>
        <w:top w:val="none" w:sz="0" w:space="0" w:color="auto"/>
        <w:left w:val="none" w:sz="0" w:space="0" w:color="auto"/>
        <w:bottom w:val="none" w:sz="0" w:space="0" w:color="auto"/>
        <w:right w:val="none" w:sz="0" w:space="0" w:color="auto"/>
      </w:divBdr>
    </w:div>
    <w:div w:id="574710226">
      <w:bodyDiv w:val="1"/>
      <w:marLeft w:val="0"/>
      <w:marRight w:val="0"/>
      <w:marTop w:val="0"/>
      <w:marBottom w:val="0"/>
      <w:divBdr>
        <w:top w:val="none" w:sz="0" w:space="0" w:color="auto"/>
        <w:left w:val="none" w:sz="0" w:space="0" w:color="auto"/>
        <w:bottom w:val="none" w:sz="0" w:space="0" w:color="auto"/>
        <w:right w:val="none" w:sz="0" w:space="0" w:color="auto"/>
      </w:divBdr>
    </w:div>
    <w:div w:id="582489821">
      <w:bodyDiv w:val="1"/>
      <w:marLeft w:val="0"/>
      <w:marRight w:val="0"/>
      <w:marTop w:val="0"/>
      <w:marBottom w:val="0"/>
      <w:divBdr>
        <w:top w:val="none" w:sz="0" w:space="0" w:color="auto"/>
        <w:left w:val="none" w:sz="0" w:space="0" w:color="auto"/>
        <w:bottom w:val="none" w:sz="0" w:space="0" w:color="auto"/>
        <w:right w:val="none" w:sz="0" w:space="0" w:color="auto"/>
      </w:divBdr>
    </w:div>
    <w:div w:id="583951190">
      <w:bodyDiv w:val="1"/>
      <w:marLeft w:val="0"/>
      <w:marRight w:val="0"/>
      <w:marTop w:val="0"/>
      <w:marBottom w:val="0"/>
      <w:divBdr>
        <w:top w:val="none" w:sz="0" w:space="0" w:color="auto"/>
        <w:left w:val="none" w:sz="0" w:space="0" w:color="auto"/>
        <w:bottom w:val="none" w:sz="0" w:space="0" w:color="auto"/>
        <w:right w:val="none" w:sz="0" w:space="0" w:color="auto"/>
      </w:divBdr>
    </w:div>
    <w:div w:id="584925824">
      <w:bodyDiv w:val="1"/>
      <w:marLeft w:val="0"/>
      <w:marRight w:val="0"/>
      <w:marTop w:val="0"/>
      <w:marBottom w:val="0"/>
      <w:divBdr>
        <w:top w:val="none" w:sz="0" w:space="0" w:color="auto"/>
        <w:left w:val="none" w:sz="0" w:space="0" w:color="auto"/>
        <w:bottom w:val="none" w:sz="0" w:space="0" w:color="auto"/>
        <w:right w:val="none" w:sz="0" w:space="0" w:color="auto"/>
      </w:divBdr>
      <w:divsChild>
        <w:div w:id="281232880">
          <w:marLeft w:val="0"/>
          <w:marRight w:val="0"/>
          <w:marTop w:val="0"/>
          <w:marBottom w:val="0"/>
          <w:divBdr>
            <w:top w:val="none" w:sz="0" w:space="0" w:color="auto"/>
            <w:left w:val="none" w:sz="0" w:space="0" w:color="auto"/>
            <w:bottom w:val="none" w:sz="0" w:space="0" w:color="auto"/>
            <w:right w:val="none" w:sz="0" w:space="0" w:color="auto"/>
          </w:divBdr>
          <w:divsChild>
            <w:div w:id="1858808532">
              <w:marLeft w:val="0"/>
              <w:marRight w:val="0"/>
              <w:marTop w:val="0"/>
              <w:marBottom w:val="0"/>
              <w:divBdr>
                <w:top w:val="none" w:sz="0" w:space="0" w:color="auto"/>
                <w:left w:val="none" w:sz="0" w:space="0" w:color="auto"/>
                <w:bottom w:val="none" w:sz="0" w:space="0" w:color="auto"/>
                <w:right w:val="none" w:sz="0" w:space="0" w:color="auto"/>
              </w:divBdr>
              <w:divsChild>
                <w:div w:id="7453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30825">
      <w:bodyDiv w:val="1"/>
      <w:marLeft w:val="0"/>
      <w:marRight w:val="0"/>
      <w:marTop w:val="0"/>
      <w:marBottom w:val="0"/>
      <w:divBdr>
        <w:top w:val="none" w:sz="0" w:space="0" w:color="auto"/>
        <w:left w:val="none" w:sz="0" w:space="0" w:color="auto"/>
        <w:bottom w:val="none" w:sz="0" w:space="0" w:color="auto"/>
        <w:right w:val="none" w:sz="0" w:space="0" w:color="auto"/>
      </w:divBdr>
    </w:div>
    <w:div w:id="590742146">
      <w:bodyDiv w:val="1"/>
      <w:marLeft w:val="0"/>
      <w:marRight w:val="0"/>
      <w:marTop w:val="0"/>
      <w:marBottom w:val="0"/>
      <w:divBdr>
        <w:top w:val="none" w:sz="0" w:space="0" w:color="auto"/>
        <w:left w:val="none" w:sz="0" w:space="0" w:color="auto"/>
        <w:bottom w:val="none" w:sz="0" w:space="0" w:color="auto"/>
        <w:right w:val="none" w:sz="0" w:space="0" w:color="auto"/>
      </w:divBdr>
    </w:div>
    <w:div w:id="594171802">
      <w:bodyDiv w:val="1"/>
      <w:marLeft w:val="0"/>
      <w:marRight w:val="0"/>
      <w:marTop w:val="0"/>
      <w:marBottom w:val="0"/>
      <w:divBdr>
        <w:top w:val="none" w:sz="0" w:space="0" w:color="auto"/>
        <w:left w:val="none" w:sz="0" w:space="0" w:color="auto"/>
        <w:bottom w:val="none" w:sz="0" w:space="0" w:color="auto"/>
        <w:right w:val="none" w:sz="0" w:space="0" w:color="auto"/>
      </w:divBdr>
      <w:divsChild>
        <w:div w:id="546064587">
          <w:marLeft w:val="0"/>
          <w:marRight w:val="0"/>
          <w:marTop w:val="0"/>
          <w:marBottom w:val="0"/>
          <w:divBdr>
            <w:top w:val="none" w:sz="0" w:space="0" w:color="auto"/>
            <w:left w:val="none" w:sz="0" w:space="0" w:color="auto"/>
            <w:bottom w:val="none" w:sz="0" w:space="0" w:color="auto"/>
            <w:right w:val="none" w:sz="0" w:space="0" w:color="auto"/>
          </w:divBdr>
          <w:divsChild>
            <w:div w:id="1035933185">
              <w:marLeft w:val="0"/>
              <w:marRight w:val="0"/>
              <w:marTop w:val="0"/>
              <w:marBottom w:val="0"/>
              <w:divBdr>
                <w:top w:val="none" w:sz="0" w:space="0" w:color="auto"/>
                <w:left w:val="none" w:sz="0" w:space="0" w:color="auto"/>
                <w:bottom w:val="none" w:sz="0" w:space="0" w:color="auto"/>
                <w:right w:val="none" w:sz="0" w:space="0" w:color="auto"/>
              </w:divBdr>
              <w:divsChild>
                <w:div w:id="84233483">
                  <w:marLeft w:val="0"/>
                  <w:marRight w:val="0"/>
                  <w:marTop w:val="0"/>
                  <w:marBottom w:val="0"/>
                  <w:divBdr>
                    <w:top w:val="none" w:sz="0" w:space="0" w:color="auto"/>
                    <w:left w:val="none" w:sz="0" w:space="0" w:color="auto"/>
                    <w:bottom w:val="none" w:sz="0" w:space="0" w:color="auto"/>
                    <w:right w:val="none" w:sz="0" w:space="0" w:color="auto"/>
                  </w:divBdr>
                  <w:divsChild>
                    <w:div w:id="5498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3144">
      <w:bodyDiv w:val="1"/>
      <w:marLeft w:val="0"/>
      <w:marRight w:val="0"/>
      <w:marTop w:val="0"/>
      <w:marBottom w:val="0"/>
      <w:divBdr>
        <w:top w:val="none" w:sz="0" w:space="0" w:color="auto"/>
        <w:left w:val="none" w:sz="0" w:space="0" w:color="auto"/>
        <w:bottom w:val="none" w:sz="0" w:space="0" w:color="auto"/>
        <w:right w:val="none" w:sz="0" w:space="0" w:color="auto"/>
      </w:divBdr>
      <w:divsChild>
        <w:div w:id="1248033013">
          <w:marLeft w:val="0"/>
          <w:marRight w:val="0"/>
          <w:marTop w:val="0"/>
          <w:marBottom w:val="0"/>
          <w:divBdr>
            <w:top w:val="none" w:sz="0" w:space="0" w:color="auto"/>
            <w:left w:val="none" w:sz="0" w:space="0" w:color="auto"/>
            <w:bottom w:val="none" w:sz="0" w:space="0" w:color="auto"/>
            <w:right w:val="none" w:sz="0" w:space="0" w:color="auto"/>
          </w:divBdr>
        </w:div>
        <w:div w:id="2139715542">
          <w:marLeft w:val="0"/>
          <w:marRight w:val="0"/>
          <w:marTop w:val="0"/>
          <w:marBottom w:val="0"/>
          <w:divBdr>
            <w:top w:val="none" w:sz="0" w:space="0" w:color="auto"/>
            <w:left w:val="none" w:sz="0" w:space="0" w:color="auto"/>
            <w:bottom w:val="none" w:sz="0" w:space="0" w:color="auto"/>
            <w:right w:val="none" w:sz="0" w:space="0" w:color="auto"/>
          </w:divBdr>
        </w:div>
        <w:div w:id="1734499208">
          <w:marLeft w:val="0"/>
          <w:marRight w:val="0"/>
          <w:marTop w:val="0"/>
          <w:marBottom w:val="0"/>
          <w:divBdr>
            <w:top w:val="none" w:sz="0" w:space="0" w:color="auto"/>
            <w:left w:val="none" w:sz="0" w:space="0" w:color="auto"/>
            <w:bottom w:val="none" w:sz="0" w:space="0" w:color="auto"/>
            <w:right w:val="none" w:sz="0" w:space="0" w:color="auto"/>
          </w:divBdr>
        </w:div>
      </w:divsChild>
    </w:div>
    <w:div w:id="603611518">
      <w:bodyDiv w:val="1"/>
      <w:marLeft w:val="0"/>
      <w:marRight w:val="0"/>
      <w:marTop w:val="0"/>
      <w:marBottom w:val="0"/>
      <w:divBdr>
        <w:top w:val="none" w:sz="0" w:space="0" w:color="auto"/>
        <w:left w:val="none" w:sz="0" w:space="0" w:color="auto"/>
        <w:bottom w:val="none" w:sz="0" w:space="0" w:color="auto"/>
        <w:right w:val="none" w:sz="0" w:space="0" w:color="auto"/>
      </w:divBdr>
      <w:divsChild>
        <w:div w:id="1036926164">
          <w:marLeft w:val="0"/>
          <w:marRight w:val="0"/>
          <w:marTop w:val="0"/>
          <w:marBottom w:val="0"/>
          <w:divBdr>
            <w:top w:val="none" w:sz="0" w:space="0" w:color="auto"/>
            <w:left w:val="none" w:sz="0" w:space="0" w:color="auto"/>
            <w:bottom w:val="none" w:sz="0" w:space="0" w:color="auto"/>
            <w:right w:val="none" w:sz="0" w:space="0" w:color="auto"/>
          </w:divBdr>
          <w:divsChild>
            <w:div w:id="491793256">
              <w:marLeft w:val="0"/>
              <w:marRight w:val="0"/>
              <w:marTop w:val="0"/>
              <w:marBottom w:val="0"/>
              <w:divBdr>
                <w:top w:val="none" w:sz="0" w:space="0" w:color="auto"/>
                <w:left w:val="none" w:sz="0" w:space="0" w:color="auto"/>
                <w:bottom w:val="none" w:sz="0" w:space="0" w:color="auto"/>
                <w:right w:val="none" w:sz="0" w:space="0" w:color="auto"/>
              </w:divBdr>
              <w:divsChild>
                <w:div w:id="8837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68390">
      <w:bodyDiv w:val="1"/>
      <w:marLeft w:val="0"/>
      <w:marRight w:val="0"/>
      <w:marTop w:val="0"/>
      <w:marBottom w:val="0"/>
      <w:divBdr>
        <w:top w:val="none" w:sz="0" w:space="0" w:color="auto"/>
        <w:left w:val="none" w:sz="0" w:space="0" w:color="auto"/>
        <w:bottom w:val="none" w:sz="0" w:space="0" w:color="auto"/>
        <w:right w:val="none" w:sz="0" w:space="0" w:color="auto"/>
      </w:divBdr>
    </w:div>
    <w:div w:id="614290378">
      <w:bodyDiv w:val="1"/>
      <w:marLeft w:val="0"/>
      <w:marRight w:val="0"/>
      <w:marTop w:val="0"/>
      <w:marBottom w:val="0"/>
      <w:divBdr>
        <w:top w:val="none" w:sz="0" w:space="0" w:color="auto"/>
        <w:left w:val="none" w:sz="0" w:space="0" w:color="auto"/>
        <w:bottom w:val="none" w:sz="0" w:space="0" w:color="auto"/>
        <w:right w:val="none" w:sz="0" w:space="0" w:color="auto"/>
      </w:divBdr>
    </w:div>
    <w:div w:id="615334470">
      <w:bodyDiv w:val="1"/>
      <w:marLeft w:val="0"/>
      <w:marRight w:val="0"/>
      <w:marTop w:val="0"/>
      <w:marBottom w:val="0"/>
      <w:divBdr>
        <w:top w:val="none" w:sz="0" w:space="0" w:color="auto"/>
        <w:left w:val="none" w:sz="0" w:space="0" w:color="auto"/>
        <w:bottom w:val="none" w:sz="0" w:space="0" w:color="auto"/>
        <w:right w:val="none" w:sz="0" w:space="0" w:color="auto"/>
      </w:divBdr>
    </w:div>
    <w:div w:id="618538184">
      <w:bodyDiv w:val="1"/>
      <w:marLeft w:val="0"/>
      <w:marRight w:val="0"/>
      <w:marTop w:val="0"/>
      <w:marBottom w:val="0"/>
      <w:divBdr>
        <w:top w:val="none" w:sz="0" w:space="0" w:color="auto"/>
        <w:left w:val="none" w:sz="0" w:space="0" w:color="auto"/>
        <w:bottom w:val="none" w:sz="0" w:space="0" w:color="auto"/>
        <w:right w:val="none" w:sz="0" w:space="0" w:color="auto"/>
      </w:divBdr>
    </w:div>
    <w:div w:id="624433279">
      <w:bodyDiv w:val="1"/>
      <w:marLeft w:val="0"/>
      <w:marRight w:val="0"/>
      <w:marTop w:val="0"/>
      <w:marBottom w:val="0"/>
      <w:divBdr>
        <w:top w:val="none" w:sz="0" w:space="0" w:color="auto"/>
        <w:left w:val="none" w:sz="0" w:space="0" w:color="auto"/>
        <w:bottom w:val="none" w:sz="0" w:space="0" w:color="auto"/>
        <w:right w:val="none" w:sz="0" w:space="0" w:color="auto"/>
      </w:divBdr>
      <w:divsChild>
        <w:div w:id="146360439">
          <w:marLeft w:val="0"/>
          <w:marRight w:val="0"/>
          <w:marTop w:val="0"/>
          <w:marBottom w:val="0"/>
          <w:divBdr>
            <w:top w:val="none" w:sz="0" w:space="0" w:color="auto"/>
            <w:left w:val="none" w:sz="0" w:space="0" w:color="auto"/>
            <w:bottom w:val="none" w:sz="0" w:space="0" w:color="auto"/>
            <w:right w:val="none" w:sz="0" w:space="0" w:color="auto"/>
          </w:divBdr>
          <w:divsChild>
            <w:div w:id="780415814">
              <w:marLeft w:val="0"/>
              <w:marRight w:val="0"/>
              <w:marTop w:val="0"/>
              <w:marBottom w:val="0"/>
              <w:divBdr>
                <w:top w:val="none" w:sz="0" w:space="0" w:color="auto"/>
                <w:left w:val="none" w:sz="0" w:space="0" w:color="auto"/>
                <w:bottom w:val="none" w:sz="0" w:space="0" w:color="auto"/>
                <w:right w:val="none" w:sz="0" w:space="0" w:color="auto"/>
              </w:divBdr>
              <w:divsChild>
                <w:div w:id="1692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3856">
      <w:bodyDiv w:val="1"/>
      <w:marLeft w:val="0"/>
      <w:marRight w:val="0"/>
      <w:marTop w:val="0"/>
      <w:marBottom w:val="0"/>
      <w:divBdr>
        <w:top w:val="none" w:sz="0" w:space="0" w:color="auto"/>
        <w:left w:val="none" w:sz="0" w:space="0" w:color="auto"/>
        <w:bottom w:val="none" w:sz="0" w:space="0" w:color="auto"/>
        <w:right w:val="none" w:sz="0" w:space="0" w:color="auto"/>
      </w:divBdr>
    </w:div>
    <w:div w:id="628628771">
      <w:bodyDiv w:val="1"/>
      <w:marLeft w:val="0"/>
      <w:marRight w:val="0"/>
      <w:marTop w:val="0"/>
      <w:marBottom w:val="0"/>
      <w:divBdr>
        <w:top w:val="none" w:sz="0" w:space="0" w:color="auto"/>
        <w:left w:val="none" w:sz="0" w:space="0" w:color="auto"/>
        <w:bottom w:val="none" w:sz="0" w:space="0" w:color="auto"/>
        <w:right w:val="none" w:sz="0" w:space="0" w:color="auto"/>
      </w:divBdr>
    </w:div>
    <w:div w:id="635724620">
      <w:bodyDiv w:val="1"/>
      <w:marLeft w:val="0"/>
      <w:marRight w:val="0"/>
      <w:marTop w:val="0"/>
      <w:marBottom w:val="0"/>
      <w:divBdr>
        <w:top w:val="none" w:sz="0" w:space="0" w:color="auto"/>
        <w:left w:val="none" w:sz="0" w:space="0" w:color="auto"/>
        <w:bottom w:val="none" w:sz="0" w:space="0" w:color="auto"/>
        <w:right w:val="none" w:sz="0" w:space="0" w:color="auto"/>
      </w:divBdr>
    </w:div>
    <w:div w:id="644699048">
      <w:bodyDiv w:val="1"/>
      <w:marLeft w:val="0"/>
      <w:marRight w:val="0"/>
      <w:marTop w:val="0"/>
      <w:marBottom w:val="0"/>
      <w:divBdr>
        <w:top w:val="none" w:sz="0" w:space="0" w:color="auto"/>
        <w:left w:val="none" w:sz="0" w:space="0" w:color="auto"/>
        <w:bottom w:val="none" w:sz="0" w:space="0" w:color="auto"/>
        <w:right w:val="none" w:sz="0" w:space="0" w:color="auto"/>
      </w:divBdr>
      <w:divsChild>
        <w:div w:id="1933539144">
          <w:marLeft w:val="0"/>
          <w:marRight w:val="0"/>
          <w:marTop w:val="0"/>
          <w:marBottom w:val="0"/>
          <w:divBdr>
            <w:top w:val="none" w:sz="0" w:space="0" w:color="auto"/>
            <w:left w:val="none" w:sz="0" w:space="0" w:color="auto"/>
            <w:bottom w:val="none" w:sz="0" w:space="0" w:color="auto"/>
            <w:right w:val="none" w:sz="0" w:space="0" w:color="auto"/>
          </w:divBdr>
          <w:divsChild>
            <w:div w:id="117139706">
              <w:marLeft w:val="0"/>
              <w:marRight w:val="0"/>
              <w:marTop w:val="0"/>
              <w:marBottom w:val="0"/>
              <w:divBdr>
                <w:top w:val="none" w:sz="0" w:space="0" w:color="auto"/>
                <w:left w:val="none" w:sz="0" w:space="0" w:color="auto"/>
                <w:bottom w:val="none" w:sz="0" w:space="0" w:color="auto"/>
                <w:right w:val="none" w:sz="0" w:space="0" w:color="auto"/>
              </w:divBdr>
              <w:divsChild>
                <w:div w:id="1072241502">
                  <w:marLeft w:val="0"/>
                  <w:marRight w:val="0"/>
                  <w:marTop w:val="0"/>
                  <w:marBottom w:val="0"/>
                  <w:divBdr>
                    <w:top w:val="none" w:sz="0" w:space="0" w:color="auto"/>
                    <w:left w:val="none" w:sz="0" w:space="0" w:color="auto"/>
                    <w:bottom w:val="none" w:sz="0" w:space="0" w:color="auto"/>
                    <w:right w:val="none" w:sz="0" w:space="0" w:color="auto"/>
                  </w:divBdr>
                  <w:divsChild>
                    <w:div w:id="72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23421">
      <w:bodyDiv w:val="1"/>
      <w:marLeft w:val="0"/>
      <w:marRight w:val="0"/>
      <w:marTop w:val="0"/>
      <w:marBottom w:val="0"/>
      <w:divBdr>
        <w:top w:val="none" w:sz="0" w:space="0" w:color="auto"/>
        <w:left w:val="none" w:sz="0" w:space="0" w:color="auto"/>
        <w:bottom w:val="none" w:sz="0" w:space="0" w:color="auto"/>
        <w:right w:val="none" w:sz="0" w:space="0" w:color="auto"/>
      </w:divBdr>
      <w:divsChild>
        <w:div w:id="1957826270">
          <w:marLeft w:val="0"/>
          <w:marRight w:val="0"/>
          <w:marTop w:val="0"/>
          <w:marBottom w:val="0"/>
          <w:divBdr>
            <w:top w:val="none" w:sz="0" w:space="0" w:color="auto"/>
            <w:left w:val="none" w:sz="0" w:space="0" w:color="auto"/>
            <w:bottom w:val="none" w:sz="0" w:space="0" w:color="auto"/>
            <w:right w:val="none" w:sz="0" w:space="0" w:color="auto"/>
          </w:divBdr>
          <w:divsChild>
            <w:div w:id="824660957">
              <w:marLeft w:val="0"/>
              <w:marRight w:val="0"/>
              <w:marTop w:val="0"/>
              <w:marBottom w:val="0"/>
              <w:divBdr>
                <w:top w:val="none" w:sz="0" w:space="0" w:color="auto"/>
                <w:left w:val="none" w:sz="0" w:space="0" w:color="auto"/>
                <w:bottom w:val="none" w:sz="0" w:space="0" w:color="auto"/>
                <w:right w:val="none" w:sz="0" w:space="0" w:color="auto"/>
              </w:divBdr>
              <w:divsChild>
                <w:div w:id="315494359">
                  <w:marLeft w:val="0"/>
                  <w:marRight w:val="0"/>
                  <w:marTop w:val="0"/>
                  <w:marBottom w:val="0"/>
                  <w:divBdr>
                    <w:top w:val="none" w:sz="0" w:space="0" w:color="auto"/>
                    <w:left w:val="none" w:sz="0" w:space="0" w:color="auto"/>
                    <w:bottom w:val="none" w:sz="0" w:space="0" w:color="auto"/>
                    <w:right w:val="none" w:sz="0" w:space="0" w:color="auto"/>
                  </w:divBdr>
                  <w:divsChild>
                    <w:div w:id="224608594">
                      <w:marLeft w:val="0"/>
                      <w:marRight w:val="0"/>
                      <w:marTop w:val="0"/>
                      <w:marBottom w:val="0"/>
                      <w:divBdr>
                        <w:top w:val="none" w:sz="0" w:space="0" w:color="auto"/>
                        <w:left w:val="none" w:sz="0" w:space="0" w:color="auto"/>
                        <w:bottom w:val="none" w:sz="0" w:space="0" w:color="auto"/>
                        <w:right w:val="none" w:sz="0" w:space="0" w:color="auto"/>
                      </w:divBdr>
                      <w:divsChild>
                        <w:div w:id="731122162">
                          <w:marLeft w:val="0"/>
                          <w:marRight w:val="0"/>
                          <w:marTop w:val="0"/>
                          <w:marBottom w:val="0"/>
                          <w:divBdr>
                            <w:top w:val="none" w:sz="0" w:space="0" w:color="auto"/>
                            <w:left w:val="none" w:sz="0" w:space="0" w:color="auto"/>
                            <w:bottom w:val="none" w:sz="0" w:space="0" w:color="auto"/>
                            <w:right w:val="none" w:sz="0" w:space="0" w:color="auto"/>
                          </w:divBdr>
                          <w:divsChild>
                            <w:div w:id="1274046876">
                              <w:marLeft w:val="0"/>
                              <w:marRight w:val="0"/>
                              <w:marTop w:val="60"/>
                              <w:marBottom w:val="300"/>
                              <w:divBdr>
                                <w:top w:val="none" w:sz="0" w:space="0" w:color="auto"/>
                                <w:left w:val="none" w:sz="0" w:space="0" w:color="auto"/>
                                <w:bottom w:val="none" w:sz="0" w:space="0" w:color="auto"/>
                                <w:right w:val="none" w:sz="0" w:space="0" w:color="auto"/>
                              </w:divBdr>
                              <w:divsChild>
                                <w:div w:id="1660307116">
                                  <w:marLeft w:val="0"/>
                                  <w:marRight w:val="0"/>
                                  <w:marTop w:val="0"/>
                                  <w:marBottom w:val="0"/>
                                  <w:divBdr>
                                    <w:top w:val="none" w:sz="0" w:space="0" w:color="auto"/>
                                    <w:left w:val="none" w:sz="0" w:space="0" w:color="auto"/>
                                    <w:bottom w:val="none" w:sz="0" w:space="0" w:color="auto"/>
                                    <w:right w:val="none" w:sz="0" w:space="0" w:color="auto"/>
                                  </w:divBdr>
                                  <w:divsChild>
                                    <w:div w:id="338823118">
                                      <w:marLeft w:val="0"/>
                                      <w:marRight w:val="0"/>
                                      <w:marTop w:val="0"/>
                                      <w:marBottom w:val="0"/>
                                      <w:divBdr>
                                        <w:top w:val="none" w:sz="0" w:space="0" w:color="auto"/>
                                        <w:left w:val="none" w:sz="0" w:space="0" w:color="auto"/>
                                        <w:bottom w:val="none" w:sz="0" w:space="0" w:color="auto"/>
                                        <w:right w:val="none" w:sz="0" w:space="0" w:color="auto"/>
                                      </w:divBdr>
                                      <w:divsChild>
                                        <w:div w:id="2077392839">
                                          <w:marLeft w:val="0"/>
                                          <w:marRight w:val="0"/>
                                          <w:marTop w:val="0"/>
                                          <w:marBottom w:val="0"/>
                                          <w:divBdr>
                                            <w:top w:val="none" w:sz="0" w:space="0" w:color="auto"/>
                                            <w:left w:val="none" w:sz="0" w:space="0" w:color="auto"/>
                                            <w:bottom w:val="none" w:sz="0" w:space="0" w:color="auto"/>
                                            <w:right w:val="none" w:sz="0" w:space="0" w:color="auto"/>
                                          </w:divBdr>
                                          <w:divsChild>
                                            <w:div w:id="449862032">
                                              <w:marLeft w:val="0"/>
                                              <w:marRight w:val="0"/>
                                              <w:marTop w:val="0"/>
                                              <w:marBottom w:val="0"/>
                                              <w:divBdr>
                                                <w:top w:val="none" w:sz="0" w:space="0" w:color="auto"/>
                                                <w:left w:val="none" w:sz="0" w:space="0" w:color="auto"/>
                                                <w:bottom w:val="none" w:sz="0" w:space="0" w:color="auto"/>
                                                <w:right w:val="none" w:sz="0" w:space="0" w:color="auto"/>
                                              </w:divBdr>
                                              <w:divsChild>
                                                <w:div w:id="1345354373">
                                                  <w:marLeft w:val="0"/>
                                                  <w:marRight w:val="0"/>
                                                  <w:marTop w:val="0"/>
                                                  <w:marBottom w:val="0"/>
                                                  <w:divBdr>
                                                    <w:top w:val="none" w:sz="0" w:space="0" w:color="auto"/>
                                                    <w:left w:val="none" w:sz="0" w:space="0" w:color="auto"/>
                                                    <w:bottom w:val="none" w:sz="0" w:space="0" w:color="auto"/>
                                                    <w:right w:val="none" w:sz="0" w:space="0" w:color="auto"/>
                                                  </w:divBdr>
                                                  <w:divsChild>
                                                    <w:div w:id="2134902897">
                                                      <w:marLeft w:val="0"/>
                                                      <w:marRight w:val="0"/>
                                                      <w:marTop w:val="0"/>
                                                      <w:marBottom w:val="0"/>
                                                      <w:divBdr>
                                                        <w:top w:val="none" w:sz="0" w:space="0" w:color="auto"/>
                                                        <w:left w:val="none" w:sz="0" w:space="0" w:color="auto"/>
                                                        <w:bottom w:val="none" w:sz="0" w:space="0" w:color="auto"/>
                                                        <w:right w:val="none" w:sz="0" w:space="0" w:color="auto"/>
                                                      </w:divBdr>
                                                      <w:divsChild>
                                                        <w:div w:id="55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5078">
                                                  <w:marLeft w:val="0"/>
                                                  <w:marRight w:val="0"/>
                                                  <w:marTop w:val="0"/>
                                                  <w:marBottom w:val="0"/>
                                                  <w:divBdr>
                                                    <w:top w:val="none" w:sz="0" w:space="0" w:color="auto"/>
                                                    <w:left w:val="none" w:sz="0" w:space="0" w:color="auto"/>
                                                    <w:bottom w:val="none" w:sz="0" w:space="0" w:color="auto"/>
                                                    <w:right w:val="none" w:sz="0" w:space="0" w:color="auto"/>
                                                  </w:divBdr>
                                                  <w:divsChild>
                                                    <w:div w:id="487331858">
                                                      <w:marLeft w:val="0"/>
                                                      <w:marRight w:val="0"/>
                                                      <w:marTop w:val="0"/>
                                                      <w:marBottom w:val="0"/>
                                                      <w:divBdr>
                                                        <w:top w:val="none" w:sz="0" w:space="0" w:color="auto"/>
                                                        <w:left w:val="none" w:sz="0" w:space="0" w:color="auto"/>
                                                        <w:bottom w:val="none" w:sz="0" w:space="0" w:color="auto"/>
                                                        <w:right w:val="none" w:sz="0" w:space="0" w:color="auto"/>
                                                      </w:divBdr>
                                                      <w:divsChild>
                                                        <w:div w:id="20817557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445312">
          <w:marLeft w:val="0"/>
          <w:marRight w:val="0"/>
          <w:marTop w:val="0"/>
          <w:marBottom w:val="0"/>
          <w:divBdr>
            <w:top w:val="none" w:sz="0" w:space="0" w:color="auto"/>
            <w:left w:val="none" w:sz="0" w:space="0" w:color="auto"/>
            <w:bottom w:val="none" w:sz="0" w:space="0" w:color="auto"/>
            <w:right w:val="none" w:sz="0" w:space="0" w:color="auto"/>
          </w:divBdr>
          <w:divsChild>
            <w:div w:id="156771666">
              <w:marLeft w:val="0"/>
              <w:marRight w:val="0"/>
              <w:marTop w:val="0"/>
              <w:marBottom w:val="0"/>
              <w:divBdr>
                <w:top w:val="none" w:sz="0" w:space="0" w:color="auto"/>
                <w:left w:val="none" w:sz="0" w:space="0" w:color="auto"/>
                <w:bottom w:val="none" w:sz="0" w:space="0" w:color="auto"/>
                <w:right w:val="none" w:sz="0" w:space="0" w:color="auto"/>
              </w:divBdr>
              <w:divsChild>
                <w:div w:id="2088379692">
                  <w:marLeft w:val="0"/>
                  <w:marRight w:val="0"/>
                  <w:marTop w:val="0"/>
                  <w:marBottom w:val="0"/>
                  <w:divBdr>
                    <w:top w:val="none" w:sz="0" w:space="0" w:color="auto"/>
                    <w:left w:val="none" w:sz="0" w:space="0" w:color="auto"/>
                    <w:bottom w:val="none" w:sz="0" w:space="0" w:color="auto"/>
                    <w:right w:val="none" w:sz="0" w:space="0" w:color="auto"/>
                  </w:divBdr>
                  <w:divsChild>
                    <w:div w:id="1753621089">
                      <w:marLeft w:val="0"/>
                      <w:marRight w:val="0"/>
                      <w:marTop w:val="0"/>
                      <w:marBottom w:val="0"/>
                      <w:divBdr>
                        <w:top w:val="none" w:sz="0" w:space="0" w:color="auto"/>
                        <w:left w:val="none" w:sz="0" w:space="0" w:color="auto"/>
                        <w:bottom w:val="none" w:sz="0" w:space="0" w:color="auto"/>
                        <w:right w:val="none" w:sz="0" w:space="0" w:color="auto"/>
                      </w:divBdr>
                      <w:divsChild>
                        <w:div w:id="1236087591">
                          <w:marLeft w:val="0"/>
                          <w:marRight w:val="0"/>
                          <w:marTop w:val="0"/>
                          <w:marBottom w:val="0"/>
                          <w:divBdr>
                            <w:top w:val="none" w:sz="0" w:space="0" w:color="auto"/>
                            <w:left w:val="none" w:sz="0" w:space="0" w:color="auto"/>
                            <w:bottom w:val="none" w:sz="0" w:space="0" w:color="auto"/>
                            <w:right w:val="none" w:sz="0" w:space="0" w:color="auto"/>
                          </w:divBdr>
                          <w:divsChild>
                            <w:div w:id="1908880223">
                              <w:marLeft w:val="0"/>
                              <w:marRight w:val="0"/>
                              <w:marTop w:val="0"/>
                              <w:marBottom w:val="0"/>
                              <w:divBdr>
                                <w:top w:val="none" w:sz="0" w:space="0" w:color="auto"/>
                                <w:left w:val="none" w:sz="0" w:space="0" w:color="auto"/>
                                <w:bottom w:val="none" w:sz="0" w:space="0" w:color="auto"/>
                                <w:right w:val="none" w:sz="0" w:space="0" w:color="auto"/>
                              </w:divBdr>
                              <w:divsChild>
                                <w:div w:id="1842770064">
                                  <w:marLeft w:val="0"/>
                                  <w:marRight w:val="0"/>
                                  <w:marTop w:val="0"/>
                                  <w:marBottom w:val="0"/>
                                  <w:divBdr>
                                    <w:top w:val="none" w:sz="0" w:space="0" w:color="auto"/>
                                    <w:left w:val="none" w:sz="0" w:space="0" w:color="auto"/>
                                    <w:bottom w:val="none" w:sz="0" w:space="0" w:color="auto"/>
                                    <w:right w:val="none" w:sz="0" w:space="0" w:color="auto"/>
                                  </w:divBdr>
                                  <w:divsChild>
                                    <w:div w:id="214701083">
                                      <w:marLeft w:val="0"/>
                                      <w:marRight w:val="0"/>
                                      <w:marTop w:val="0"/>
                                      <w:marBottom w:val="0"/>
                                      <w:divBdr>
                                        <w:top w:val="none" w:sz="0" w:space="0" w:color="auto"/>
                                        <w:left w:val="none" w:sz="0" w:space="0" w:color="auto"/>
                                        <w:bottom w:val="none" w:sz="0" w:space="0" w:color="auto"/>
                                        <w:right w:val="none" w:sz="0" w:space="0" w:color="auto"/>
                                      </w:divBdr>
                                      <w:divsChild>
                                        <w:div w:id="1348291763">
                                          <w:marLeft w:val="0"/>
                                          <w:marRight w:val="0"/>
                                          <w:marTop w:val="0"/>
                                          <w:marBottom w:val="0"/>
                                          <w:divBdr>
                                            <w:top w:val="none" w:sz="0" w:space="0" w:color="auto"/>
                                            <w:left w:val="none" w:sz="0" w:space="0" w:color="auto"/>
                                            <w:bottom w:val="none" w:sz="0" w:space="0" w:color="auto"/>
                                            <w:right w:val="none" w:sz="0" w:space="0" w:color="auto"/>
                                          </w:divBdr>
                                          <w:divsChild>
                                            <w:div w:id="435708977">
                                              <w:marLeft w:val="0"/>
                                              <w:marRight w:val="0"/>
                                              <w:marTop w:val="0"/>
                                              <w:marBottom w:val="0"/>
                                              <w:divBdr>
                                                <w:top w:val="none" w:sz="0" w:space="0" w:color="auto"/>
                                                <w:left w:val="none" w:sz="0" w:space="0" w:color="auto"/>
                                                <w:bottom w:val="none" w:sz="0" w:space="0" w:color="auto"/>
                                                <w:right w:val="none" w:sz="0" w:space="0" w:color="auto"/>
                                              </w:divBdr>
                                              <w:divsChild>
                                                <w:div w:id="1478647949">
                                                  <w:marLeft w:val="0"/>
                                                  <w:marRight w:val="0"/>
                                                  <w:marTop w:val="0"/>
                                                  <w:marBottom w:val="0"/>
                                                  <w:divBdr>
                                                    <w:top w:val="none" w:sz="0" w:space="0" w:color="auto"/>
                                                    <w:left w:val="none" w:sz="0" w:space="0" w:color="auto"/>
                                                    <w:bottom w:val="none" w:sz="0" w:space="0" w:color="auto"/>
                                                    <w:right w:val="none" w:sz="0" w:space="0" w:color="auto"/>
                                                  </w:divBdr>
                                                  <w:divsChild>
                                                    <w:div w:id="20056187">
                                                      <w:marLeft w:val="0"/>
                                                      <w:marRight w:val="0"/>
                                                      <w:marTop w:val="0"/>
                                                      <w:marBottom w:val="0"/>
                                                      <w:divBdr>
                                                        <w:top w:val="none" w:sz="0" w:space="0" w:color="auto"/>
                                                        <w:left w:val="none" w:sz="0" w:space="0" w:color="auto"/>
                                                        <w:bottom w:val="none" w:sz="0" w:space="0" w:color="auto"/>
                                                        <w:right w:val="none" w:sz="0" w:space="0" w:color="auto"/>
                                                      </w:divBdr>
                                                      <w:divsChild>
                                                        <w:div w:id="1794906073">
                                                          <w:marLeft w:val="0"/>
                                                          <w:marRight w:val="0"/>
                                                          <w:marTop w:val="0"/>
                                                          <w:marBottom w:val="0"/>
                                                          <w:divBdr>
                                                            <w:top w:val="none" w:sz="0" w:space="0" w:color="auto"/>
                                                            <w:left w:val="none" w:sz="0" w:space="0" w:color="auto"/>
                                                            <w:bottom w:val="none" w:sz="0" w:space="0" w:color="auto"/>
                                                            <w:right w:val="none" w:sz="0" w:space="0" w:color="auto"/>
                                                          </w:divBdr>
                                                          <w:divsChild>
                                                            <w:div w:id="2090736074">
                                                              <w:marLeft w:val="0"/>
                                                              <w:marRight w:val="0"/>
                                                              <w:marTop w:val="0"/>
                                                              <w:marBottom w:val="0"/>
                                                              <w:divBdr>
                                                                <w:top w:val="none" w:sz="0" w:space="0" w:color="auto"/>
                                                                <w:left w:val="none" w:sz="0" w:space="0" w:color="auto"/>
                                                                <w:bottom w:val="none" w:sz="0" w:space="0" w:color="auto"/>
                                                                <w:right w:val="none" w:sz="0" w:space="0" w:color="auto"/>
                                                              </w:divBdr>
                                                              <w:divsChild>
                                                                <w:div w:id="792290938">
                                                                  <w:marLeft w:val="0"/>
                                                                  <w:marRight w:val="0"/>
                                                                  <w:marTop w:val="0"/>
                                                                  <w:marBottom w:val="0"/>
                                                                  <w:divBdr>
                                                                    <w:top w:val="none" w:sz="0" w:space="0" w:color="auto"/>
                                                                    <w:left w:val="none" w:sz="0" w:space="0" w:color="auto"/>
                                                                    <w:bottom w:val="none" w:sz="0" w:space="0" w:color="auto"/>
                                                                    <w:right w:val="none" w:sz="0" w:space="0" w:color="auto"/>
                                                                  </w:divBdr>
                                                                  <w:divsChild>
                                                                    <w:div w:id="440882927">
                                                                      <w:marLeft w:val="0"/>
                                                                      <w:marRight w:val="0"/>
                                                                      <w:marTop w:val="0"/>
                                                                      <w:marBottom w:val="0"/>
                                                                      <w:divBdr>
                                                                        <w:top w:val="none" w:sz="0" w:space="0" w:color="auto"/>
                                                                        <w:left w:val="none" w:sz="0" w:space="0" w:color="auto"/>
                                                                        <w:bottom w:val="none" w:sz="0" w:space="0" w:color="auto"/>
                                                                        <w:right w:val="none" w:sz="0" w:space="0" w:color="auto"/>
                                                                      </w:divBdr>
                                                                      <w:divsChild>
                                                                        <w:div w:id="949514569">
                                                                          <w:marLeft w:val="0"/>
                                                                          <w:marRight w:val="0"/>
                                                                          <w:marTop w:val="0"/>
                                                                          <w:marBottom w:val="0"/>
                                                                          <w:divBdr>
                                                                            <w:top w:val="none" w:sz="0" w:space="0" w:color="auto"/>
                                                                            <w:left w:val="none" w:sz="0" w:space="0" w:color="auto"/>
                                                                            <w:bottom w:val="none" w:sz="0" w:space="0" w:color="auto"/>
                                                                            <w:right w:val="none" w:sz="0" w:space="0" w:color="auto"/>
                                                                          </w:divBdr>
                                                                          <w:divsChild>
                                                                            <w:div w:id="1221213667">
                                                                              <w:marLeft w:val="0"/>
                                                                              <w:marRight w:val="0"/>
                                                                              <w:marTop w:val="0"/>
                                                                              <w:marBottom w:val="0"/>
                                                                              <w:divBdr>
                                                                                <w:top w:val="none" w:sz="0" w:space="0" w:color="auto"/>
                                                                                <w:left w:val="none" w:sz="0" w:space="0" w:color="auto"/>
                                                                                <w:bottom w:val="none" w:sz="0" w:space="0" w:color="auto"/>
                                                                                <w:right w:val="none" w:sz="0" w:space="0" w:color="auto"/>
                                                                              </w:divBdr>
                                                                              <w:divsChild>
                                                                                <w:div w:id="1990284372">
                                                                                  <w:marLeft w:val="0"/>
                                                                                  <w:marRight w:val="0"/>
                                                                                  <w:marTop w:val="0"/>
                                                                                  <w:marBottom w:val="0"/>
                                                                                  <w:divBdr>
                                                                                    <w:top w:val="none" w:sz="0" w:space="0" w:color="auto"/>
                                                                                    <w:left w:val="none" w:sz="0" w:space="0" w:color="auto"/>
                                                                                    <w:bottom w:val="none" w:sz="0" w:space="0" w:color="auto"/>
                                                                                    <w:right w:val="none" w:sz="0" w:space="0" w:color="auto"/>
                                                                                  </w:divBdr>
                                                                                  <w:divsChild>
                                                                                    <w:div w:id="1850364953">
                                                                                      <w:marLeft w:val="0"/>
                                                                                      <w:marRight w:val="0"/>
                                                                                      <w:marTop w:val="0"/>
                                                                                      <w:marBottom w:val="0"/>
                                                                                      <w:divBdr>
                                                                                        <w:top w:val="none" w:sz="0" w:space="0" w:color="auto"/>
                                                                                        <w:left w:val="none" w:sz="0" w:space="0" w:color="auto"/>
                                                                                        <w:bottom w:val="none" w:sz="0" w:space="0" w:color="auto"/>
                                                                                        <w:right w:val="none" w:sz="0" w:space="0" w:color="auto"/>
                                                                                      </w:divBdr>
                                                                                      <w:divsChild>
                                                                                        <w:div w:id="2048989902">
                                                                                          <w:marLeft w:val="0"/>
                                                                                          <w:marRight w:val="0"/>
                                                                                          <w:marTop w:val="0"/>
                                                                                          <w:marBottom w:val="0"/>
                                                                                          <w:divBdr>
                                                                                            <w:top w:val="none" w:sz="0" w:space="0" w:color="auto"/>
                                                                                            <w:left w:val="none" w:sz="0" w:space="0" w:color="auto"/>
                                                                                            <w:bottom w:val="none" w:sz="0" w:space="0" w:color="auto"/>
                                                                                            <w:right w:val="none" w:sz="0" w:space="0" w:color="auto"/>
                                                                                          </w:divBdr>
                                                                                          <w:divsChild>
                                                                                            <w:div w:id="1858690508">
                                                                                              <w:marLeft w:val="0"/>
                                                                                              <w:marRight w:val="0"/>
                                                                                              <w:marTop w:val="0"/>
                                                                                              <w:marBottom w:val="0"/>
                                                                                              <w:divBdr>
                                                                                                <w:top w:val="none" w:sz="0" w:space="0" w:color="auto"/>
                                                                                                <w:left w:val="none" w:sz="0" w:space="0" w:color="auto"/>
                                                                                                <w:bottom w:val="none" w:sz="0" w:space="0" w:color="auto"/>
                                                                                                <w:right w:val="none" w:sz="0" w:space="0" w:color="auto"/>
                                                                                              </w:divBdr>
                                                                                              <w:divsChild>
                                                                                                <w:div w:id="2137066510">
                                                                                                  <w:marLeft w:val="0"/>
                                                                                                  <w:marRight w:val="0"/>
                                                                                                  <w:marTop w:val="0"/>
                                                                                                  <w:marBottom w:val="0"/>
                                                                                                  <w:divBdr>
                                                                                                    <w:top w:val="none" w:sz="0" w:space="0" w:color="auto"/>
                                                                                                    <w:left w:val="none" w:sz="0" w:space="0" w:color="auto"/>
                                                                                                    <w:bottom w:val="none" w:sz="0" w:space="0" w:color="auto"/>
                                                                                                    <w:right w:val="none" w:sz="0" w:space="0" w:color="auto"/>
                                                                                                  </w:divBdr>
                                                                                                  <w:divsChild>
                                                                                                    <w:div w:id="1643609454">
                                                                                                      <w:marLeft w:val="0"/>
                                                                                                      <w:marRight w:val="0"/>
                                                                                                      <w:marTop w:val="0"/>
                                                                                                      <w:marBottom w:val="0"/>
                                                                                                      <w:divBdr>
                                                                                                        <w:top w:val="none" w:sz="0" w:space="0" w:color="auto"/>
                                                                                                        <w:left w:val="none" w:sz="0" w:space="0" w:color="auto"/>
                                                                                                        <w:bottom w:val="none" w:sz="0" w:space="0" w:color="auto"/>
                                                                                                        <w:right w:val="none" w:sz="0" w:space="0" w:color="auto"/>
                                                                                                      </w:divBdr>
                                                                                                      <w:divsChild>
                                                                                                        <w:div w:id="198666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1254427">
      <w:bodyDiv w:val="1"/>
      <w:marLeft w:val="0"/>
      <w:marRight w:val="0"/>
      <w:marTop w:val="0"/>
      <w:marBottom w:val="0"/>
      <w:divBdr>
        <w:top w:val="none" w:sz="0" w:space="0" w:color="auto"/>
        <w:left w:val="none" w:sz="0" w:space="0" w:color="auto"/>
        <w:bottom w:val="none" w:sz="0" w:space="0" w:color="auto"/>
        <w:right w:val="none" w:sz="0" w:space="0" w:color="auto"/>
      </w:divBdr>
    </w:div>
    <w:div w:id="654921366">
      <w:bodyDiv w:val="1"/>
      <w:marLeft w:val="0"/>
      <w:marRight w:val="0"/>
      <w:marTop w:val="0"/>
      <w:marBottom w:val="0"/>
      <w:divBdr>
        <w:top w:val="none" w:sz="0" w:space="0" w:color="auto"/>
        <w:left w:val="none" w:sz="0" w:space="0" w:color="auto"/>
        <w:bottom w:val="none" w:sz="0" w:space="0" w:color="auto"/>
        <w:right w:val="none" w:sz="0" w:space="0" w:color="auto"/>
      </w:divBdr>
      <w:divsChild>
        <w:div w:id="960570652">
          <w:marLeft w:val="0"/>
          <w:marRight w:val="0"/>
          <w:marTop w:val="0"/>
          <w:marBottom w:val="0"/>
          <w:divBdr>
            <w:top w:val="none" w:sz="0" w:space="0" w:color="auto"/>
            <w:left w:val="none" w:sz="0" w:space="0" w:color="auto"/>
            <w:bottom w:val="none" w:sz="0" w:space="0" w:color="auto"/>
            <w:right w:val="none" w:sz="0" w:space="0" w:color="auto"/>
          </w:divBdr>
          <w:divsChild>
            <w:div w:id="1208177311">
              <w:marLeft w:val="0"/>
              <w:marRight w:val="0"/>
              <w:marTop w:val="0"/>
              <w:marBottom w:val="0"/>
              <w:divBdr>
                <w:top w:val="none" w:sz="0" w:space="0" w:color="auto"/>
                <w:left w:val="none" w:sz="0" w:space="0" w:color="auto"/>
                <w:bottom w:val="none" w:sz="0" w:space="0" w:color="auto"/>
                <w:right w:val="none" w:sz="0" w:space="0" w:color="auto"/>
              </w:divBdr>
              <w:divsChild>
                <w:div w:id="11189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3540">
      <w:bodyDiv w:val="1"/>
      <w:marLeft w:val="0"/>
      <w:marRight w:val="0"/>
      <w:marTop w:val="0"/>
      <w:marBottom w:val="0"/>
      <w:divBdr>
        <w:top w:val="none" w:sz="0" w:space="0" w:color="auto"/>
        <w:left w:val="none" w:sz="0" w:space="0" w:color="auto"/>
        <w:bottom w:val="none" w:sz="0" w:space="0" w:color="auto"/>
        <w:right w:val="none" w:sz="0" w:space="0" w:color="auto"/>
      </w:divBdr>
      <w:divsChild>
        <w:div w:id="295375214">
          <w:marLeft w:val="0"/>
          <w:marRight w:val="0"/>
          <w:marTop w:val="0"/>
          <w:marBottom w:val="0"/>
          <w:divBdr>
            <w:top w:val="none" w:sz="0" w:space="0" w:color="auto"/>
            <w:left w:val="none" w:sz="0" w:space="0" w:color="auto"/>
            <w:bottom w:val="none" w:sz="0" w:space="0" w:color="auto"/>
            <w:right w:val="none" w:sz="0" w:space="0" w:color="auto"/>
          </w:divBdr>
          <w:divsChild>
            <w:div w:id="889000084">
              <w:marLeft w:val="0"/>
              <w:marRight w:val="0"/>
              <w:marTop w:val="0"/>
              <w:marBottom w:val="0"/>
              <w:divBdr>
                <w:top w:val="none" w:sz="0" w:space="0" w:color="auto"/>
                <w:left w:val="none" w:sz="0" w:space="0" w:color="auto"/>
                <w:bottom w:val="none" w:sz="0" w:space="0" w:color="auto"/>
                <w:right w:val="none" w:sz="0" w:space="0" w:color="auto"/>
              </w:divBdr>
              <w:divsChild>
                <w:div w:id="797332941">
                  <w:marLeft w:val="0"/>
                  <w:marRight w:val="0"/>
                  <w:marTop w:val="0"/>
                  <w:marBottom w:val="0"/>
                  <w:divBdr>
                    <w:top w:val="none" w:sz="0" w:space="0" w:color="auto"/>
                    <w:left w:val="none" w:sz="0" w:space="0" w:color="auto"/>
                    <w:bottom w:val="none" w:sz="0" w:space="0" w:color="auto"/>
                    <w:right w:val="none" w:sz="0" w:space="0" w:color="auto"/>
                  </w:divBdr>
                  <w:divsChild>
                    <w:div w:id="1761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29942">
      <w:bodyDiv w:val="1"/>
      <w:marLeft w:val="0"/>
      <w:marRight w:val="0"/>
      <w:marTop w:val="0"/>
      <w:marBottom w:val="0"/>
      <w:divBdr>
        <w:top w:val="none" w:sz="0" w:space="0" w:color="auto"/>
        <w:left w:val="none" w:sz="0" w:space="0" w:color="auto"/>
        <w:bottom w:val="none" w:sz="0" w:space="0" w:color="auto"/>
        <w:right w:val="none" w:sz="0" w:space="0" w:color="auto"/>
      </w:divBdr>
      <w:divsChild>
        <w:div w:id="1574121863">
          <w:marLeft w:val="0"/>
          <w:marRight w:val="0"/>
          <w:marTop w:val="0"/>
          <w:marBottom w:val="0"/>
          <w:divBdr>
            <w:top w:val="none" w:sz="0" w:space="0" w:color="auto"/>
            <w:left w:val="none" w:sz="0" w:space="0" w:color="auto"/>
            <w:bottom w:val="none" w:sz="0" w:space="0" w:color="auto"/>
            <w:right w:val="none" w:sz="0" w:space="0" w:color="auto"/>
          </w:divBdr>
          <w:divsChild>
            <w:div w:id="349919457">
              <w:marLeft w:val="0"/>
              <w:marRight w:val="0"/>
              <w:marTop w:val="0"/>
              <w:marBottom w:val="0"/>
              <w:divBdr>
                <w:top w:val="none" w:sz="0" w:space="0" w:color="auto"/>
                <w:left w:val="none" w:sz="0" w:space="0" w:color="auto"/>
                <w:bottom w:val="none" w:sz="0" w:space="0" w:color="auto"/>
                <w:right w:val="none" w:sz="0" w:space="0" w:color="auto"/>
              </w:divBdr>
              <w:divsChild>
                <w:div w:id="1059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6225">
      <w:bodyDiv w:val="1"/>
      <w:marLeft w:val="0"/>
      <w:marRight w:val="0"/>
      <w:marTop w:val="0"/>
      <w:marBottom w:val="0"/>
      <w:divBdr>
        <w:top w:val="none" w:sz="0" w:space="0" w:color="auto"/>
        <w:left w:val="none" w:sz="0" w:space="0" w:color="auto"/>
        <w:bottom w:val="none" w:sz="0" w:space="0" w:color="auto"/>
        <w:right w:val="none" w:sz="0" w:space="0" w:color="auto"/>
      </w:divBdr>
    </w:div>
    <w:div w:id="661353922">
      <w:bodyDiv w:val="1"/>
      <w:marLeft w:val="0"/>
      <w:marRight w:val="0"/>
      <w:marTop w:val="0"/>
      <w:marBottom w:val="0"/>
      <w:divBdr>
        <w:top w:val="none" w:sz="0" w:space="0" w:color="auto"/>
        <w:left w:val="none" w:sz="0" w:space="0" w:color="auto"/>
        <w:bottom w:val="none" w:sz="0" w:space="0" w:color="auto"/>
        <w:right w:val="none" w:sz="0" w:space="0" w:color="auto"/>
      </w:divBdr>
    </w:div>
    <w:div w:id="664170122">
      <w:bodyDiv w:val="1"/>
      <w:marLeft w:val="0"/>
      <w:marRight w:val="0"/>
      <w:marTop w:val="0"/>
      <w:marBottom w:val="0"/>
      <w:divBdr>
        <w:top w:val="none" w:sz="0" w:space="0" w:color="auto"/>
        <w:left w:val="none" w:sz="0" w:space="0" w:color="auto"/>
        <w:bottom w:val="none" w:sz="0" w:space="0" w:color="auto"/>
        <w:right w:val="none" w:sz="0" w:space="0" w:color="auto"/>
      </w:divBdr>
    </w:div>
    <w:div w:id="664288831">
      <w:bodyDiv w:val="1"/>
      <w:marLeft w:val="0"/>
      <w:marRight w:val="0"/>
      <w:marTop w:val="0"/>
      <w:marBottom w:val="0"/>
      <w:divBdr>
        <w:top w:val="none" w:sz="0" w:space="0" w:color="auto"/>
        <w:left w:val="none" w:sz="0" w:space="0" w:color="auto"/>
        <w:bottom w:val="none" w:sz="0" w:space="0" w:color="auto"/>
        <w:right w:val="none" w:sz="0" w:space="0" w:color="auto"/>
      </w:divBdr>
      <w:divsChild>
        <w:div w:id="72968320">
          <w:marLeft w:val="0"/>
          <w:marRight w:val="0"/>
          <w:marTop w:val="0"/>
          <w:marBottom w:val="0"/>
          <w:divBdr>
            <w:top w:val="none" w:sz="0" w:space="0" w:color="auto"/>
            <w:left w:val="none" w:sz="0" w:space="0" w:color="auto"/>
            <w:bottom w:val="none" w:sz="0" w:space="0" w:color="auto"/>
            <w:right w:val="none" w:sz="0" w:space="0" w:color="auto"/>
          </w:divBdr>
        </w:div>
      </w:divsChild>
    </w:div>
    <w:div w:id="668564638">
      <w:bodyDiv w:val="1"/>
      <w:marLeft w:val="0"/>
      <w:marRight w:val="0"/>
      <w:marTop w:val="0"/>
      <w:marBottom w:val="0"/>
      <w:divBdr>
        <w:top w:val="none" w:sz="0" w:space="0" w:color="auto"/>
        <w:left w:val="none" w:sz="0" w:space="0" w:color="auto"/>
        <w:bottom w:val="none" w:sz="0" w:space="0" w:color="auto"/>
        <w:right w:val="none" w:sz="0" w:space="0" w:color="auto"/>
      </w:divBdr>
    </w:div>
    <w:div w:id="672757471">
      <w:bodyDiv w:val="1"/>
      <w:marLeft w:val="0"/>
      <w:marRight w:val="0"/>
      <w:marTop w:val="0"/>
      <w:marBottom w:val="0"/>
      <w:divBdr>
        <w:top w:val="none" w:sz="0" w:space="0" w:color="auto"/>
        <w:left w:val="none" w:sz="0" w:space="0" w:color="auto"/>
        <w:bottom w:val="none" w:sz="0" w:space="0" w:color="auto"/>
        <w:right w:val="none" w:sz="0" w:space="0" w:color="auto"/>
      </w:divBdr>
    </w:div>
    <w:div w:id="673074744">
      <w:bodyDiv w:val="1"/>
      <w:marLeft w:val="0"/>
      <w:marRight w:val="0"/>
      <w:marTop w:val="0"/>
      <w:marBottom w:val="0"/>
      <w:divBdr>
        <w:top w:val="none" w:sz="0" w:space="0" w:color="auto"/>
        <w:left w:val="none" w:sz="0" w:space="0" w:color="auto"/>
        <w:bottom w:val="none" w:sz="0" w:space="0" w:color="auto"/>
        <w:right w:val="none" w:sz="0" w:space="0" w:color="auto"/>
      </w:divBdr>
      <w:divsChild>
        <w:div w:id="1001539920">
          <w:marLeft w:val="0"/>
          <w:marRight w:val="0"/>
          <w:marTop w:val="0"/>
          <w:marBottom w:val="0"/>
          <w:divBdr>
            <w:top w:val="none" w:sz="0" w:space="0" w:color="auto"/>
            <w:left w:val="none" w:sz="0" w:space="0" w:color="auto"/>
            <w:bottom w:val="none" w:sz="0" w:space="0" w:color="auto"/>
            <w:right w:val="none" w:sz="0" w:space="0" w:color="auto"/>
          </w:divBdr>
          <w:divsChild>
            <w:div w:id="1400396347">
              <w:marLeft w:val="0"/>
              <w:marRight w:val="0"/>
              <w:marTop w:val="0"/>
              <w:marBottom w:val="0"/>
              <w:divBdr>
                <w:top w:val="none" w:sz="0" w:space="0" w:color="auto"/>
                <w:left w:val="none" w:sz="0" w:space="0" w:color="auto"/>
                <w:bottom w:val="none" w:sz="0" w:space="0" w:color="auto"/>
                <w:right w:val="none" w:sz="0" w:space="0" w:color="auto"/>
              </w:divBdr>
              <w:divsChild>
                <w:div w:id="5166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5772">
      <w:bodyDiv w:val="1"/>
      <w:marLeft w:val="0"/>
      <w:marRight w:val="0"/>
      <w:marTop w:val="0"/>
      <w:marBottom w:val="0"/>
      <w:divBdr>
        <w:top w:val="none" w:sz="0" w:space="0" w:color="auto"/>
        <w:left w:val="none" w:sz="0" w:space="0" w:color="auto"/>
        <w:bottom w:val="none" w:sz="0" w:space="0" w:color="auto"/>
        <w:right w:val="none" w:sz="0" w:space="0" w:color="auto"/>
      </w:divBdr>
    </w:div>
    <w:div w:id="675380521">
      <w:bodyDiv w:val="1"/>
      <w:marLeft w:val="0"/>
      <w:marRight w:val="0"/>
      <w:marTop w:val="0"/>
      <w:marBottom w:val="0"/>
      <w:divBdr>
        <w:top w:val="none" w:sz="0" w:space="0" w:color="auto"/>
        <w:left w:val="none" w:sz="0" w:space="0" w:color="auto"/>
        <w:bottom w:val="none" w:sz="0" w:space="0" w:color="auto"/>
        <w:right w:val="none" w:sz="0" w:space="0" w:color="auto"/>
      </w:divBdr>
    </w:div>
    <w:div w:id="676925558">
      <w:bodyDiv w:val="1"/>
      <w:marLeft w:val="0"/>
      <w:marRight w:val="0"/>
      <w:marTop w:val="0"/>
      <w:marBottom w:val="0"/>
      <w:divBdr>
        <w:top w:val="none" w:sz="0" w:space="0" w:color="auto"/>
        <w:left w:val="none" w:sz="0" w:space="0" w:color="auto"/>
        <w:bottom w:val="none" w:sz="0" w:space="0" w:color="auto"/>
        <w:right w:val="none" w:sz="0" w:space="0" w:color="auto"/>
      </w:divBdr>
    </w:div>
    <w:div w:id="679236493">
      <w:bodyDiv w:val="1"/>
      <w:marLeft w:val="0"/>
      <w:marRight w:val="0"/>
      <w:marTop w:val="0"/>
      <w:marBottom w:val="0"/>
      <w:divBdr>
        <w:top w:val="none" w:sz="0" w:space="0" w:color="auto"/>
        <w:left w:val="none" w:sz="0" w:space="0" w:color="auto"/>
        <w:bottom w:val="none" w:sz="0" w:space="0" w:color="auto"/>
        <w:right w:val="none" w:sz="0" w:space="0" w:color="auto"/>
      </w:divBdr>
    </w:div>
    <w:div w:id="680163415">
      <w:bodyDiv w:val="1"/>
      <w:marLeft w:val="0"/>
      <w:marRight w:val="0"/>
      <w:marTop w:val="0"/>
      <w:marBottom w:val="0"/>
      <w:divBdr>
        <w:top w:val="none" w:sz="0" w:space="0" w:color="auto"/>
        <w:left w:val="none" w:sz="0" w:space="0" w:color="auto"/>
        <w:bottom w:val="none" w:sz="0" w:space="0" w:color="auto"/>
        <w:right w:val="none" w:sz="0" w:space="0" w:color="auto"/>
      </w:divBdr>
    </w:div>
    <w:div w:id="682559615">
      <w:bodyDiv w:val="1"/>
      <w:marLeft w:val="0"/>
      <w:marRight w:val="0"/>
      <w:marTop w:val="0"/>
      <w:marBottom w:val="0"/>
      <w:divBdr>
        <w:top w:val="none" w:sz="0" w:space="0" w:color="auto"/>
        <w:left w:val="none" w:sz="0" w:space="0" w:color="auto"/>
        <w:bottom w:val="none" w:sz="0" w:space="0" w:color="auto"/>
        <w:right w:val="none" w:sz="0" w:space="0" w:color="auto"/>
      </w:divBdr>
    </w:div>
    <w:div w:id="684746000">
      <w:bodyDiv w:val="1"/>
      <w:marLeft w:val="0"/>
      <w:marRight w:val="0"/>
      <w:marTop w:val="0"/>
      <w:marBottom w:val="0"/>
      <w:divBdr>
        <w:top w:val="none" w:sz="0" w:space="0" w:color="auto"/>
        <w:left w:val="none" w:sz="0" w:space="0" w:color="auto"/>
        <w:bottom w:val="none" w:sz="0" w:space="0" w:color="auto"/>
        <w:right w:val="none" w:sz="0" w:space="0" w:color="auto"/>
      </w:divBdr>
      <w:divsChild>
        <w:div w:id="2018268787">
          <w:marLeft w:val="0"/>
          <w:marRight w:val="0"/>
          <w:marTop w:val="0"/>
          <w:marBottom w:val="0"/>
          <w:divBdr>
            <w:top w:val="none" w:sz="0" w:space="0" w:color="auto"/>
            <w:left w:val="none" w:sz="0" w:space="0" w:color="auto"/>
            <w:bottom w:val="none" w:sz="0" w:space="0" w:color="auto"/>
            <w:right w:val="none" w:sz="0" w:space="0" w:color="auto"/>
          </w:divBdr>
        </w:div>
      </w:divsChild>
    </w:div>
    <w:div w:id="700977724">
      <w:bodyDiv w:val="1"/>
      <w:marLeft w:val="0"/>
      <w:marRight w:val="0"/>
      <w:marTop w:val="0"/>
      <w:marBottom w:val="0"/>
      <w:divBdr>
        <w:top w:val="none" w:sz="0" w:space="0" w:color="auto"/>
        <w:left w:val="none" w:sz="0" w:space="0" w:color="auto"/>
        <w:bottom w:val="none" w:sz="0" w:space="0" w:color="auto"/>
        <w:right w:val="none" w:sz="0" w:space="0" w:color="auto"/>
      </w:divBdr>
    </w:div>
    <w:div w:id="702631039">
      <w:bodyDiv w:val="1"/>
      <w:marLeft w:val="0"/>
      <w:marRight w:val="0"/>
      <w:marTop w:val="0"/>
      <w:marBottom w:val="0"/>
      <w:divBdr>
        <w:top w:val="none" w:sz="0" w:space="0" w:color="auto"/>
        <w:left w:val="none" w:sz="0" w:space="0" w:color="auto"/>
        <w:bottom w:val="none" w:sz="0" w:space="0" w:color="auto"/>
        <w:right w:val="none" w:sz="0" w:space="0" w:color="auto"/>
      </w:divBdr>
    </w:div>
    <w:div w:id="703018888">
      <w:bodyDiv w:val="1"/>
      <w:marLeft w:val="0"/>
      <w:marRight w:val="0"/>
      <w:marTop w:val="0"/>
      <w:marBottom w:val="0"/>
      <w:divBdr>
        <w:top w:val="none" w:sz="0" w:space="0" w:color="auto"/>
        <w:left w:val="none" w:sz="0" w:space="0" w:color="auto"/>
        <w:bottom w:val="none" w:sz="0" w:space="0" w:color="auto"/>
        <w:right w:val="none" w:sz="0" w:space="0" w:color="auto"/>
      </w:divBdr>
    </w:div>
    <w:div w:id="705524557">
      <w:bodyDiv w:val="1"/>
      <w:marLeft w:val="0"/>
      <w:marRight w:val="0"/>
      <w:marTop w:val="0"/>
      <w:marBottom w:val="0"/>
      <w:divBdr>
        <w:top w:val="none" w:sz="0" w:space="0" w:color="auto"/>
        <w:left w:val="none" w:sz="0" w:space="0" w:color="auto"/>
        <w:bottom w:val="none" w:sz="0" w:space="0" w:color="auto"/>
        <w:right w:val="none" w:sz="0" w:space="0" w:color="auto"/>
      </w:divBdr>
    </w:div>
    <w:div w:id="705908561">
      <w:bodyDiv w:val="1"/>
      <w:marLeft w:val="0"/>
      <w:marRight w:val="0"/>
      <w:marTop w:val="0"/>
      <w:marBottom w:val="0"/>
      <w:divBdr>
        <w:top w:val="none" w:sz="0" w:space="0" w:color="auto"/>
        <w:left w:val="none" w:sz="0" w:space="0" w:color="auto"/>
        <w:bottom w:val="none" w:sz="0" w:space="0" w:color="auto"/>
        <w:right w:val="none" w:sz="0" w:space="0" w:color="auto"/>
      </w:divBdr>
    </w:div>
    <w:div w:id="706685770">
      <w:bodyDiv w:val="1"/>
      <w:marLeft w:val="0"/>
      <w:marRight w:val="0"/>
      <w:marTop w:val="0"/>
      <w:marBottom w:val="0"/>
      <w:divBdr>
        <w:top w:val="none" w:sz="0" w:space="0" w:color="auto"/>
        <w:left w:val="none" w:sz="0" w:space="0" w:color="auto"/>
        <w:bottom w:val="none" w:sz="0" w:space="0" w:color="auto"/>
        <w:right w:val="none" w:sz="0" w:space="0" w:color="auto"/>
      </w:divBdr>
    </w:div>
    <w:div w:id="707754772">
      <w:bodyDiv w:val="1"/>
      <w:marLeft w:val="0"/>
      <w:marRight w:val="0"/>
      <w:marTop w:val="0"/>
      <w:marBottom w:val="0"/>
      <w:divBdr>
        <w:top w:val="none" w:sz="0" w:space="0" w:color="auto"/>
        <w:left w:val="none" w:sz="0" w:space="0" w:color="auto"/>
        <w:bottom w:val="none" w:sz="0" w:space="0" w:color="auto"/>
        <w:right w:val="none" w:sz="0" w:space="0" w:color="auto"/>
      </w:divBdr>
    </w:div>
    <w:div w:id="708141252">
      <w:bodyDiv w:val="1"/>
      <w:marLeft w:val="0"/>
      <w:marRight w:val="0"/>
      <w:marTop w:val="0"/>
      <w:marBottom w:val="0"/>
      <w:divBdr>
        <w:top w:val="none" w:sz="0" w:space="0" w:color="auto"/>
        <w:left w:val="none" w:sz="0" w:space="0" w:color="auto"/>
        <w:bottom w:val="none" w:sz="0" w:space="0" w:color="auto"/>
        <w:right w:val="none" w:sz="0" w:space="0" w:color="auto"/>
      </w:divBdr>
    </w:div>
    <w:div w:id="711275131">
      <w:bodyDiv w:val="1"/>
      <w:marLeft w:val="0"/>
      <w:marRight w:val="0"/>
      <w:marTop w:val="0"/>
      <w:marBottom w:val="0"/>
      <w:divBdr>
        <w:top w:val="none" w:sz="0" w:space="0" w:color="auto"/>
        <w:left w:val="none" w:sz="0" w:space="0" w:color="auto"/>
        <w:bottom w:val="none" w:sz="0" w:space="0" w:color="auto"/>
        <w:right w:val="none" w:sz="0" w:space="0" w:color="auto"/>
      </w:divBdr>
    </w:div>
    <w:div w:id="711348294">
      <w:bodyDiv w:val="1"/>
      <w:marLeft w:val="0"/>
      <w:marRight w:val="0"/>
      <w:marTop w:val="0"/>
      <w:marBottom w:val="0"/>
      <w:divBdr>
        <w:top w:val="none" w:sz="0" w:space="0" w:color="auto"/>
        <w:left w:val="none" w:sz="0" w:space="0" w:color="auto"/>
        <w:bottom w:val="none" w:sz="0" w:space="0" w:color="auto"/>
        <w:right w:val="none" w:sz="0" w:space="0" w:color="auto"/>
      </w:divBdr>
    </w:div>
    <w:div w:id="711616516">
      <w:bodyDiv w:val="1"/>
      <w:marLeft w:val="0"/>
      <w:marRight w:val="0"/>
      <w:marTop w:val="0"/>
      <w:marBottom w:val="0"/>
      <w:divBdr>
        <w:top w:val="none" w:sz="0" w:space="0" w:color="auto"/>
        <w:left w:val="none" w:sz="0" w:space="0" w:color="auto"/>
        <w:bottom w:val="none" w:sz="0" w:space="0" w:color="auto"/>
        <w:right w:val="none" w:sz="0" w:space="0" w:color="auto"/>
      </w:divBdr>
    </w:div>
    <w:div w:id="711686589">
      <w:bodyDiv w:val="1"/>
      <w:marLeft w:val="0"/>
      <w:marRight w:val="0"/>
      <w:marTop w:val="0"/>
      <w:marBottom w:val="0"/>
      <w:divBdr>
        <w:top w:val="none" w:sz="0" w:space="0" w:color="auto"/>
        <w:left w:val="none" w:sz="0" w:space="0" w:color="auto"/>
        <w:bottom w:val="none" w:sz="0" w:space="0" w:color="auto"/>
        <w:right w:val="none" w:sz="0" w:space="0" w:color="auto"/>
      </w:divBdr>
    </w:div>
    <w:div w:id="711736572">
      <w:bodyDiv w:val="1"/>
      <w:marLeft w:val="0"/>
      <w:marRight w:val="0"/>
      <w:marTop w:val="0"/>
      <w:marBottom w:val="0"/>
      <w:divBdr>
        <w:top w:val="none" w:sz="0" w:space="0" w:color="auto"/>
        <w:left w:val="none" w:sz="0" w:space="0" w:color="auto"/>
        <w:bottom w:val="none" w:sz="0" w:space="0" w:color="auto"/>
        <w:right w:val="none" w:sz="0" w:space="0" w:color="auto"/>
      </w:divBdr>
      <w:divsChild>
        <w:div w:id="1885634101">
          <w:marLeft w:val="0"/>
          <w:marRight w:val="0"/>
          <w:marTop w:val="0"/>
          <w:marBottom w:val="0"/>
          <w:divBdr>
            <w:top w:val="none" w:sz="0" w:space="0" w:color="auto"/>
            <w:left w:val="none" w:sz="0" w:space="0" w:color="auto"/>
            <w:bottom w:val="none" w:sz="0" w:space="0" w:color="auto"/>
            <w:right w:val="none" w:sz="0" w:space="0" w:color="auto"/>
          </w:divBdr>
          <w:divsChild>
            <w:div w:id="1947956378">
              <w:marLeft w:val="0"/>
              <w:marRight w:val="0"/>
              <w:marTop w:val="0"/>
              <w:marBottom w:val="0"/>
              <w:divBdr>
                <w:top w:val="none" w:sz="0" w:space="0" w:color="auto"/>
                <w:left w:val="none" w:sz="0" w:space="0" w:color="auto"/>
                <w:bottom w:val="none" w:sz="0" w:space="0" w:color="auto"/>
                <w:right w:val="none" w:sz="0" w:space="0" w:color="auto"/>
              </w:divBdr>
              <w:divsChild>
                <w:div w:id="1137842935">
                  <w:marLeft w:val="0"/>
                  <w:marRight w:val="0"/>
                  <w:marTop w:val="0"/>
                  <w:marBottom w:val="0"/>
                  <w:divBdr>
                    <w:top w:val="none" w:sz="0" w:space="0" w:color="auto"/>
                    <w:left w:val="none" w:sz="0" w:space="0" w:color="auto"/>
                    <w:bottom w:val="none" w:sz="0" w:space="0" w:color="auto"/>
                    <w:right w:val="none" w:sz="0" w:space="0" w:color="auto"/>
                  </w:divBdr>
                  <w:divsChild>
                    <w:div w:id="15897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7194">
          <w:marLeft w:val="0"/>
          <w:marRight w:val="0"/>
          <w:marTop w:val="0"/>
          <w:marBottom w:val="0"/>
          <w:divBdr>
            <w:top w:val="none" w:sz="0" w:space="0" w:color="auto"/>
            <w:left w:val="none" w:sz="0" w:space="0" w:color="auto"/>
            <w:bottom w:val="none" w:sz="0" w:space="0" w:color="auto"/>
            <w:right w:val="none" w:sz="0" w:space="0" w:color="auto"/>
          </w:divBdr>
          <w:divsChild>
            <w:div w:id="1002470775">
              <w:marLeft w:val="0"/>
              <w:marRight w:val="0"/>
              <w:marTop w:val="0"/>
              <w:marBottom w:val="0"/>
              <w:divBdr>
                <w:top w:val="none" w:sz="0" w:space="0" w:color="auto"/>
                <w:left w:val="none" w:sz="0" w:space="0" w:color="auto"/>
                <w:bottom w:val="none" w:sz="0" w:space="0" w:color="auto"/>
                <w:right w:val="none" w:sz="0" w:space="0" w:color="auto"/>
              </w:divBdr>
              <w:divsChild>
                <w:div w:id="1613901692">
                  <w:marLeft w:val="0"/>
                  <w:marRight w:val="0"/>
                  <w:marTop w:val="0"/>
                  <w:marBottom w:val="0"/>
                  <w:divBdr>
                    <w:top w:val="none" w:sz="0" w:space="0" w:color="auto"/>
                    <w:left w:val="none" w:sz="0" w:space="0" w:color="auto"/>
                    <w:bottom w:val="none" w:sz="0" w:space="0" w:color="auto"/>
                    <w:right w:val="none" w:sz="0" w:space="0" w:color="auto"/>
                  </w:divBdr>
                  <w:divsChild>
                    <w:div w:id="15620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349314">
      <w:bodyDiv w:val="1"/>
      <w:marLeft w:val="0"/>
      <w:marRight w:val="0"/>
      <w:marTop w:val="0"/>
      <w:marBottom w:val="0"/>
      <w:divBdr>
        <w:top w:val="none" w:sz="0" w:space="0" w:color="auto"/>
        <w:left w:val="none" w:sz="0" w:space="0" w:color="auto"/>
        <w:bottom w:val="none" w:sz="0" w:space="0" w:color="auto"/>
        <w:right w:val="none" w:sz="0" w:space="0" w:color="auto"/>
      </w:divBdr>
      <w:divsChild>
        <w:div w:id="1252549436">
          <w:marLeft w:val="0"/>
          <w:marRight w:val="0"/>
          <w:marTop w:val="0"/>
          <w:marBottom w:val="0"/>
          <w:divBdr>
            <w:top w:val="none" w:sz="0" w:space="0" w:color="auto"/>
            <w:left w:val="none" w:sz="0" w:space="0" w:color="auto"/>
            <w:bottom w:val="none" w:sz="0" w:space="0" w:color="auto"/>
            <w:right w:val="none" w:sz="0" w:space="0" w:color="auto"/>
          </w:divBdr>
          <w:divsChild>
            <w:div w:id="1410804397">
              <w:marLeft w:val="0"/>
              <w:marRight w:val="0"/>
              <w:marTop w:val="0"/>
              <w:marBottom w:val="0"/>
              <w:divBdr>
                <w:top w:val="none" w:sz="0" w:space="0" w:color="auto"/>
                <w:left w:val="none" w:sz="0" w:space="0" w:color="auto"/>
                <w:bottom w:val="none" w:sz="0" w:space="0" w:color="auto"/>
                <w:right w:val="none" w:sz="0" w:space="0" w:color="auto"/>
              </w:divBdr>
              <w:divsChild>
                <w:div w:id="7812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9802">
      <w:bodyDiv w:val="1"/>
      <w:marLeft w:val="0"/>
      <w:marRight w:val="0"/>
      <w:marTop w:val="0"/>
      <w:marBottom w:val="0"/>
      <w:divBdr>
        <w:top w:val="none" w:sz="0" w:space="0" w:color="auto"/>
        <w:left w:val="none" w:sz="0" w:space="0" w:color="auto"/>
        <w:bottom w:val="none" w:sz="0" w:space="0" w:color="auto"/>
        <w:right w:val="none" w:sz="0" w:space="0" w:color="auto"/>
      </w:divBdr>
    </w:div>
    <w:div w:id="718241128">
      <w:bodyDiv w:val="1"/>
      <w:marLeft w:val="0"/>
      <w:marRight w:val="0"/>
      <w:marTop w:val="0"/>
      <w:marBottom w:val="0"/>
      <w:divBdr>
        <w:top w:val="none" w:sz="0" w:space="0" w:color="auto"/>
        <w:left w:val="none" w:sz="0" w:space="0" w:color="auto"/>
        <w:bottom w:val="none" w:sz="0" w:space="0" w:color="auto"/>
        <w:right w:val="none" w:sz="0" w:space="0" w:color="auto"/>
      </w:divBdr>
      <w:divsChild>
        <w:div w:id="1288510981">
          <w:marLeft w:val="0"/>
          <w:marRight w:val="0"/>
          <w:marTop w:val="0"/>
          <w:marBottom w:val="0"/>
          <w:divBdr>
            <w:top w:val="none" w:sz="0" w:space="0" w:color="auto"/>
            <w:left w:val="none" w:sz="0" w:space="0" w:color="auto"/>
            <w:bottom w:val="none" w:sz="0" w:space="0" w:color="auto"/>
            <w:right w:val="none" w:sz="0" w:space="0" w:color="auto"/>
          </w:divBdr>
          <w:divsChild>
            <w:div w:id="715660525">
              <w:marLeft w:val="0"/>
              <w:marRight w:val="0"/>
              <w:marTop w:val="0"/>
              <w:marBottom w:val="0"/>
              <w:divBdr>
                <w:top w:val="none" w:sz="0" w:space="0" w:color="auto"/>
                <w:left w:val="none" w:sz="0" w:space="0" w:color="auto"/>
                <w:bottom w:val="none" w:sz="0" w:space="0" w:color="auto"/>
                <w:right w:val="none" w:sz="0" w:space="0" w:color="auto"/>
              </w:divBdr>
              <w:divsChild>
                <w:div w:id="2048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74211">
      <w:bodyDiv w:val="1"/>
      <w:marLeft w:val="0"/>
      <w:marRight w:val="0"/>
      <w:marTop w:val="0"/>
      <w:marBottom w:val="0"/>
      <w:divBdr>
        <w:top w:val="none" w:sz="0" w:space="0" w:color="auto"/>
        <w:left w:val="none" w:sz="0" w:space="0" w:color="auto"/>
        <w:bottom w:val="none" w:sz="0" w:space="0" w:color="auto"/>
        <w:right w:val="none" w:sz="0" w:space="0" w:color="auto"/>
      </w:divBdr>
      <w:divsChild>
        <w:div w:id="963578371">
          <w:marLeft w:val="0"/>
          <w:marRight w:val="0"/>
          <w:marTop w:val="0"/>
          <w:marBottom w:val="0"/>
          <w:divBdr>
            <w:top w:val="none" w:sz="0" w:space="0" w:color="auto"/>
            <w:left w:val="none" w:sz="0" w:space="0" w:color="auto"/>
            <w:bottom w:val="none" w:sz="0" w:space="0" w:color="auto"/>
            <w:right w:val="none" w:sz="0" w:space="0" w:color="auto"/>
          </w:divBdr>
          <w:divsChild>
            <w:div w:id="1348020055">
              <w:marLeft w:val="0"/>
              <w:marRight w:val="0"/>
              <w:marTop w:val="0"/>
              <w:marBottom w:val="0"/>
              <w:divBdr>
                <w:top w:val="none" w:sz="0" w:space="0" w:color="auto"/>
                <w:left w:val="none" w:sz="0" w:space="0" w:color="auto"/>
                <w:bottom w:val="none" w:sz="0" w:space="0" w:color="auto"/>
                <w:right w:val="none" w:sz="0" w:space="0" w:color="auto"/>
              </w:divBdr>
              <w:divsChild>
                <w:div w:id="6521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07911">
      <w:bodyDiv w:val="1"/>
      <w:marLeft w:val="0"/>
      <w:marRight w:val="0"/>
      <w:marTop w:val="0"/>
      <w:marBottom w:val="0"/>
      <w:divBdr>
        <w:top w:val="none" w:sz="0" w:space="0" w:color="auto"/>
        <w:left w:val="none" w:sz="0" w:space="0" w:color="auto"/>
        <w:bottom w:val="none" w:sz="0" w:space="0" w:color="auto"/>
        <w:right w:val="none" w:sz="0" w:space="0" w:color="auto"/>
      </w:divBdr>
    </w:div>
    <w:div w:id="720522540">
      <w:bodyDiv w:val="1"/>
      <w:marLeft w:val="0"/>
      <w:marRight w:val="0"/>
      <w:marTop w:val="0"/>
      <w:marBottom w:val="0"/>
      <w:divBdr>
        <w:top w:val="none" w:sz="0" w:space="0" w:color="auto"/>
        <w:left w:val="none" w:sz="0" w:space="0" w:color="auto"/>
        <w:bottom w:val="none" w:sz="0" w:space="0" w:color="auto"/>
        <w:right w:val="none" w:sz="0" w:space="0" w:color="auto"/>
      </w:divBdr>
      <w:divsChild>
        <w:div w:id="2005084919">
          <w:marLeft w:val="0"/>
          <w:marRight w:val="0"/>
          <w:marTop w:val="0"/>
          <w:marBottom w:val="0"/>
          <w:divBdr>
            <w:top w:val="none" w:sz="0" w:space="0" w:color="auto"/>
            <w:left w:val="none" w:sz="0" w:space="0" w:color="auto"/>
            <w:bottom w:val="none" w:sz="0" w:space="0" w:color="auto"/>
            <w:right w:val="none" w:sz="0" w:space="0" w:color="auto"/>
          </w:divBdr>
        </w:div>
        <w:div w:id="1542016373">
          <w:marLeft w:val="0"/>
          <w:marRight w:val="0"/>
          <w:marTop w:val="0"/>
          <w:marBottom w:val="0"/>
          <w:divBdr>
            <w:top w:val="none" w:sz="0" w:space="0" w:color="auto"/>
            <w:left w:val="none" w:sz="0" w:space="0" w:color="auto"/>
            <w:bottom w:val="none" w:sz="0" w:space="0" w:color="auto"/>
            <w:right w:val="none" w:sz="0" w:space="0" w:color="auto"/>
          </w:divBdr>
        </w:div>
      </w:divsChild>
    </w:div>
    <w:div w:id="726102154">
      <w:bodyDiv w:val="1"/>
      <w:marLeft w:val="0"/>
      <w:marRight w:val="0"/>
      <w:marTop w:val="0"/>
      <w:marBottom w:val="0"/>
      <w:divBdr>
        <w:top w:val="none" w:sz="0" w:space="0" w:color="auto"/>
        <w:left w:val="none" w:sz="0" w:space="0" w:color="auto"/>
        <w:bottom w:val="none" w:sz="0" w:space="0" w:color="auto"/>
        <w:right w:val="none" w:sz="0" w:space="0" w:color="auto"/>
      </w:divBdr>
    </w:div>
    <w:div w:id="727727203">
      <w:bodyDiv w:val="1"/>
      <w:marLeft w:val="0"/>
      <w:marRight w:val="0"/>
      <w:marTop w:val="0"/>
      <w:marBottom w:val="0"/>
      <w:divBdr>
        <w:top w:val="none" w:sz="0" w:space="0" w:color="auto"/>
        <w:left w:val="none" w:sz="0" w:space="0" w:color="auto"/>
        <w:bottom w:val="none" w:sz="0" w:space="0" w:color="auto"/>
        <w:right w:val="none" w:sz="0" w:space="0" w:color="auto"/>
      </w:divBdr>
      <w:divsChild>
        <w:div w:id="1381397840">
          <w:marLeft w:val="0"/>
          <w:marRight w:val="0"/>
          <w:marTop w:val="0"/>
          <w:marBottom w:val="0"/>
          <w:divBdr>
            <w:top w:val="none" w:sz="0" w:space="0" w:color="auto"/>
            <w:left w:val="none" w:sz="0" w:space="0" w:color="auto"/>
            <w:bottom w:val="none" w:sz="0" w:space="0" w:color="auto"/>
            <w:right w:val="none" w:sz="0" w:space="0" w:color="auto"/>
          </w:divBdr>
          <w:divsChild>
            <w:div w:id="395515047">
              <w:marLeft w:val="0"/>
              <w:marRight w:val="0"/>
              <w:marTop w:val="0"/>
              <w:marBottom w:val="0"/>
              <w:divBdr>
                <w:top w:val="none" w:sz="0" w:space="0" w:color="auto"/>
                <w:left w:val="none" w:sz="0" w:space="0" w:color="auto"/>
                <w:bottom w:val="none" w:sz="0" w:space="0" w:color="auto"/>
                <w:right w:val="none" w:sz="0" w:space="0" w:color="auto"/>
              </w:divBdr>
              <w:divsChild>
                <w:div w:id="20185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86888">
      <w:bodyDiv w:val="1"/>
      <w:marLeft w:val="0"/>
      <w:marRight w:val="0"/>
      <w:marTop w:val="0"/>
      <w:marBottom w:val="0"/>
      <w:divBdr>
        <w:top w:val="none" w:sz="0" w:space="0" w:color="auto"/>
        <w:left w:val="none" w:sz="0" w:space="0" w:color="auto"/>
        <w:bottom w:val="none" w:sz="0" w:space="0" w:color="auto"/>
        <w:right w:val="none" w:sz="0" w:space="0" w:color="auto"/>
      </w:divBdr>
    </w:div>
    <w:div w:id="737872429">
      <w:bodyDiv w:val="1"/>
      <w:marLeft w:val="0"/>
      <w:marRight w:val="0"/>
      <w:marTop w:val="0"/>
      <w:marBottom w:val="0"/>
      <w:divBdr>
        <w:top w:val="none" w:sz="0" w:space="0" w:color="auto"/>
        <w:left w:val="none" w:sz="0" w:space="0" w:color="auto"/>
        <w:bottom w:val="none" w:sz="0" w:space="0" w:color="auto"/>
        <w:right w:val="none" w:sz="0" w:space="0" w:color="auto"/>
      </w:divBdr>
      <w:divsChild>
        <w:div w:id="894008283">
          <w:marLeft w:val="0"/>
          <w:marRight w:val="0"/>
          <w:marTop w:val="0"/>
          <w:marBottom w:val="0"/>
          <w:divBdr>
            <w:top w:val="none" w:sz="0" w:space="0" w:color="auto"/>
            <w:left w:val="none" w:sz="0" w:space="0" w:color="auto"/>
            <w:bottom w:val="none" w:sz="0" w:space="0" w:color="auto"/>
            <w:right w:val="none" w:sz="0" w:space="0" w:color="auto"/>
          </w:divBdr>
          <w:divsChild>
            <w:div w:id="825777653">
              <w:marLeft w:val="0"/>
              <w:marRight w:val="0"/>
              <w:marTop w:val="0"/>
              <w:marBottom w:val="0"/>
              <w:divBdr>
                <w:top w:val="none" w:sz="0" w:space="0" w:color="auto"/>
                <w:left w:val="none" w:sz="0" w:space="0" w:color="auto"/>
                <w:bottom w:val="none" w:sz="0" w:space="0" w:color="auto"/>
                <w:right w:val="none" w:sz="0" w:space="0" w:color="auto"/>
              </w:divBdr>
              <w:divsChild>
                <w:div w:id="19268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90066">
      <w:bodyDiv w:val="1"/>
      <w:marLeft w:val="0"/>
      <w:marRight w:val="0"/>
      <w:marTop w:val="0"/>
      <w:marBottom w:val="0"/>
      <w:divBdr>
        <w:top w:val="none" w:sz="0" w:space="0" w:color="auto"/>
        <w:left w:val="none" w:sz="0" w:space="0" w:color="auto"/>
        <w:bottom w:val="none" w:sz="0" w:space="0" w:color="auto"/>
        <w:right w:val="none" w:sz="0" w:space="0" w:color="auto"/>
      </w:divBdr>
      <w:divsChild>
        <w:div w:id="1928996223">
          <w:marLeft w:val="0"/>
          <w:marRight w:val="0"/>
          <w:marTop w:val="0"/>
          <w:marBottom w:val="0"/>
          <w:divBdr>
            <w:top w:val="none" w:sz="0" w:space="0" w:color="auto"/>
            <w:left w:val="none" w:sz="0" w:space="0" w:color="auto"/>
            <w:bottom w:val="none" w:sz="0" w:space="0" w:color="auto"/>
            <w:right w:val="none" w:sz="0" w:space="0" w:color="auto"/>
          </w:divBdr>
        </w:div>
        <w:div w:id="308755032">
          <w:marLeft w:val="0"/>
          <w:marRight w:val="0"/>
          <w:marTop w:val="0"/>
          <w:marBottom w:val="0"/>
          <w:divBdr>
            <w:top w:val="none" w:sz="0" w:space="0" w:color="auto"/>
            <w:left w:val="none" w:sz="0" w:space="0" w:color="auto"/>
            <w:bottom w:val="none" w:sz="0" w:space="0" w:color="auto"/>
            <w:right w:val="none" w:sz="0" w:space="0" w:color="auto"/>
          </w:divBdr>
        </w:div>
        <w:div w:id="1360206704">
          <w:marLeft w:val="0"/>
          <w:marRight w:val="0"/>
          <w:marTop w:val="0"/>
          <w:marBottom w:val="0"/>
          <w:divBdr>
            <w:top w:val="none" w:sz="0" w:space="0" w:color="auto"/>
            <w:left w:val="none" w:sz="0" w:space="0" w:color="auto"/>
            <w:bottom w:val="none" w:sz="0" w:space="0" w:color="auto"/>
            <w:right w:val="none" w:sz="0" w:space="0" w:color="auto"/>
          </w:divBdr>
        </w:div>
      </w:divsChild>
    </w:div>
    <w:div w:id="740560793">
      <w:bodyDiv w:val="1"/>
      <w:marLeft w:val="0"/>
      <w:marRight w:val="0"/>
      <w:marTop w:val="0"/>
      <w:marBottom w:val="0"/>
      <w:divBdr>
        <w:top w:val="none" w:sz="0" w:space="0" w:color="auto"/>
        <w:left w:val="none" w:sz="0" w:space="0" w:color="auto"/>
        <w:bottom w:val="none" w:sz="0" w:space="0" w:color="auto"/>
        <w:right w:val="none" w:sz="0" w:space="0" w:color="auto"/>
      </w:divBdr>
      <w:divsChild>
        <w:div w:id="1558780894">
          <w:marLeft w:val="0"/>
          <w:marRight w:val="0"/>
          <w:marTop w:val="0"/>
          <w:marBottom w:val="0"/>
          <w:divBdr>
            <w:top w:val="none" w:sz="0" w:space="0" w:color="auto"/>
            <w:left w:val="none" w:sz="0" w:space="0" w:color="auto"/>
            <w:bottom w:val="none" w:sz="0" w:space="0" w:color="auto"/>
            <w:right w:val="none" w:sz="0" w:space="0" w:color="auto"/>
          </w:divBdr>
          <w:divsChild>
            <w:div w:id="681856101">
              <w:marLeft w:val="0"/>
              <w:marRight w:val="0"/>
              <w:marTop w:val="0"/>
              <w:marBottom w:val="0"/>
              <w:divBdr>
                <w:top w:val="none" w:sz="0" w:space="0" w:color="auto"/>
                <w:left w:val="none" w:sz="0" w:space="0" w:color="auto"/>
                <w:bottom w:val="none" w:sz="0" w:space="0" w:color="auto"/>
                <w:right w:val="none" w:sz="0" w:space="0" w:color="auto"/>
              </w:divBdr>
              <w:divsChild>
                <w:div w:id="1746491950">
                  <w:marLeft w:val="0"/>
                  <w:marRight w:val="0"/>
                  <w:marTop w:val="0"/>
                  <w:marBottom w:val="0"/>
                  <w:divBdr>
                    <w:top w:val="none" w:sz="0" w:space="0" w:color="auto"/>
                    <w:left w:val="none" w:sz="0" w:space="0" w:color="auto"/>
                    <w:bottom w:val="none" w:sz="0" w:space="0" w:color="auto"/>
                    <w:right w:val="none" w:sz="0" w:space="0" w:color="auto"/>
                  </w:divBdr>
                  <w:divsChild>
                    <w:div w:id="12448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20394">
      <w:bodyDiv w:val="1"/>
      <w:marLeft w:val="0"/>
      <w:marRight w:val="0"/>
      <w:marTop w:val="0"/>
      <w:marBottom w:val="0"/>
      <w:divBdr>
        <w:top w:val="none" w:sz="0" w:space="0" w:color="auto"/>
        <w:left w:val="none" w:sz="0" w:space="0" w:color="auto"/>
        <w:bottom w:val="none" w:sz="0" w:space="0" w:color="auto"/>
        <w:right w:val="none" w:sz="0" w:space="0" w:color="auto"/>
      </w:divBdr>
    </w:div>
    <w:div w:id="750084449">
      <w:bodyDiv w:val="1"/>
      <w:marLeft w:val="0"/>
      <w:marRight w:val="0"/>
      <w:marTop w:val="0"/>
      <w:marBottom w:val="0"/>
      <w:divBdr>
        <w:top w:val="none" w:sz="0" w:space="0" w:color="auto"/>
        <w:left w:val="none" w:sz="0" w:space="0" w:color="auto"/>
        <w:bottom w:val="none" w:sz="0" w:space="0" w:color="auto"/>
        <w:right w:val="none" w:sz="0" w:space="0" w:color="auto"/>
      </w:divBdr>
      <w:divsChild>
        <w:div w:id="2138641320">
          <w:marLeft w:val="0"/>
          <w:marRight w:val="0"/>
          <w:marTop w:val="0"/>
          <w:marBottom w:val="0"/>
          <w:divBdr>
            <w:top w:val="none" w:sz="0" w:space="0" w:color="auto"/>
            <w:left w:val="none" w:sz="0" w:space="0" w:color="auto"/>
            <w:bottom w:val="none" w:sz="0" w:space="0" w:color="auto"/>
            <w:right w:val="none" w:sz="0" w:space="0" w:color="auto"/>
          </w:divBdr>
          <w:divsChild>
            <w:div w:id="1234659509">
              <w:marLeft w:val="0"/>
              <w:marRight w:val="0"/>
              <w:marTop w:val="0"/>
              <w:marBottom w:val="0"/>
              <w:divBdr>
                <w:top w:val="none" w:sz="0" w:space="0" w:color="auto"/>
                <w:left w:val="none" w:sz="0" w:space="0" w:color="auto"/>
                <w:bottom w:val="none" w:sz="0" w:space="0" w:color="auto"/>
                <w:right w:val="none" w:sz="0" w:space="0" w:color="auto"/>
              </w:divBdr>
              <w:divsChild>
                <w:div w:id="6841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7514">
      <w:bodyDiv w:val="1"/>
      <w:marLeft w:val="0"/>
      <w:marRight w:val="0"/>
      <w:marTop w:val="0"/>
      <w:marBottom w:val="0"/>
      <w:divBdr>
        <w:top w:val="none" w:sz="0" w:space="0" w:color="auto"/>
        <w:left w:val="none" w:sz="0" w:space="0" w:color="auto"/>
        <w:bottom w:val="none" w:sz="0" w:space="0" w:color="auto"/>
        <w:right w:val="none" w:sz="0" w:space="0" w:color="auto"/>
      </w:divBdr>
    </w:div>
    <w:div w:id="753939083">
      <w:bodyDiv w:val="1"/>
      <w:marLeft w:val="0"/>
      <w:marRight w:val="0"/>
      <w:marTop w:val="0"/>
      <w:marBottom w:val="0"/>
      <w:divBdr>
        <w:top w:val="none" w:sz="0" w:space="0" w:color="auto"/>
        <w:left w:val="none" w:sz="0" w:space="0" w:color="auto"/>
        <w:bottom w:val="none" w:sz="0" w:space="0" w:color="auto"/>
        <w:right w:val="none" w:sz="0" w:space="0" w:color="auto"/>
      </w:divBdr>
      <w:divsChild>
        <w:div w:id="1879857453">
          <w:marLeft w:val="0"/>
          <w:marRight w:val="0"/>
          <w:marTop w:val="0"/>
          <w:marBottom w:val="0"/>
          <w:divBdr>
            <w:top w:val="none" w:sz="0" w:space="0" w:color="auto"/>
            <w:left w:val="none" w:sz="0" w:space="0" w:color="auto"/>
            <w:bottom w:val="none" w:sz="0" w:space="0" w:color="auto"/>
            <w:right w:val="none" w:sz="0" w:space="0" w:color="auto"/>
          </w:divBdr>
          <w:divsChild>
            <w:div w:id="1298949410">
              <w:marLeft w:val="0"/>
              <w:marRight w:val="0"/>
              <w:marTop w:val="0"/>
              <w:marBottom w:val="0"/>
              <w:divBdr>
                <w:top w:val="none" w:sz="0" w:space="0" w:color="auto"/>
                <w:left w:val="none" w:sz="0" w:space="0" w:color="auto"/>
                <w:bottom w:val="none" w:sz="0" w:space="0" w:color="auto"/>
                <w:right w:val="none" w:sz="0" w:space="0" w:color="auto"/>
              </w:divBdr>
              <w:divsChild>
                <w:div w:id="19343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9715">
      <w:bodyDiv w:val="1"/>
      <w:marLeft w:val="0"/>
      <w:marRight w:val="0"/>
      <w:marTop w:val="0"/>
      <w:marBottom w:val="0"/>
      <w:divBdr>
        <w:top w:val="none" w:sz="0" w:space="0" w:color="auto"/>
        <w:left w:val="none" w:sz="0" w:space="0" w:color="auto"/>
        <w:bottom w:val="none" w:sz="0" w:space="0" w:color="auto"/>
        <w:right w:val="none" w:sz="0" w:space="0" w:color="auto"/>
      </w:divBdr>
    </w:div>
    <w:div w:id="755790458">
      <w:bodyDiv w:val="1"/>
      <w:marLeft w:val="0"/>
      <w:marRight w:val="0"/>
      <w:marTop w:val="0"/>
      <w:marBottom w:val="0"/>
      <w:divBdr>
        <w:top w:val="none" w:sz="0" w:space="0" w:color="auto"/>
        <w:left w:val="none" w:sz="0" w:space="0" w:color="auto"/>
        <w:bottom w:val="none" w:sz="0" w:space="0" w:color="auto"/>
        <w:right w:val="none" w:sz="0" w:space="0" w:color="auto"/>
      </w:divBdr>
    </w:div>
    <w:div w:id="763841278">
      <w:bodyDiv w:val="1"/>
      <w:marLeft w:val="0"/>
      <w:marRight w:val="0"/>
      <w:marTop w:val="0"/>
      <w:marBottom w:val="0"/>
      <w:divBdr>
        <w:top w:val="none" w:sz="0" w:space="0" w:color="auto"/>
        <w:left w:val="none" w:sz="0" w:space="0" w:color="auto"/>
        <w:bottom w:val="none" w:sz="0" w:space="0" w:color="auto"/>
        <w:right w:val="none" w:sz="0" w:space="0" w:color="auto"/>
      </w:divBdr>
    </w:div>
    <w:div w:id="766580680">
      <w:bodyDiv w:val="1"/>
      <w:marLeft w:val="0"/>
      <w:marRight w:val="0"/>
      <w:marTop w:val="0"/>
      <w:marBottom w:val="0"/>
      <w:divBdr>
        <w:top w:val="none" w:sz="0" w:space="0" w:color="auto"/>
        <w:left w:val="none" w:sz="0" w:space="0" w:color="auto"/>
        <w:bottom w:val="none" w:sz="0" w:space="0" w:color="auto"/>
        <w:right w:val="none" w:sz="0" w:space="0" w:color="auto"/>
      </w:divBdr>
    </w:div>
    <w:div w:id="766652143">
      <w:bodyDiv w:val="1"/>
      <w:marLeft w:val="0"/>
      <w:marRight w:val="0"/>
      <w:marTop w:val="0"/>
      <w:marBottom w:val="0"/>
      <w:divBdr>
        <w:top w:val="none" w:sz="0" w:space="0" w:color="auto"/>
        <w:left w:val="none" w:sz="0" w:space="0" w:color="auto"/>
        <w:bottom w:val="none" w:sz="0" w:space="0" w:color="auto"/>
        <w:right w:val="none" w:sz="0" w:space="0" w:color="auto"/>
      </w:divBdr>
    </w:div>
    <w:div w:id="767778416">
      <w:bodyDiv w:val="1"/>
      <w:marLeft w:val="0"/>
      <w:marRight w:val="0"/>
      <w:marTop w:val="0"/>
      <w:marBottom w:val="0"/>
      <w:divBdr>
        <w:top w:val="none" w:sz="0" w:space="0" w:color="auto"/>
        <w:left w:val="none" w:sz="0" w:space="0" w:color="auto"/>
        <w:bottom w:val="none" w:sz="0" w:space="0" w:color="auto"/>
        <w:right w:val="none" w:sz="0" w:space="0" w:color="auto"/>
      </w:divBdr>
    </w:div>
    <w:div w:id="769354121">
      <w:bodyDiv w:val="1"/>
      <w:marLeft w:val="0"/>
      <w:marRight w:val="0"/>
      <w:marTop w:val="0"/>
      <w:marBottom w:val="0"/>
      <w:divBdr>
        <w:top w:val="none" w:sz="0" w:space="0" w:color="auto"/>
        <w:left w:val="none" w:sz="0" w:space="0" w:color="auto"/>
        <w:bottom w:val="none" w:sz="0" w:space="0" w:color="auto"/>
        <w:right w:val="none" w:sz="0" w:space="0" w:color="auto"/>
      </w:divBdr>
    </w:div>
    <w:div w:id="773598013">
      <w:bodyDiv w:val="1"/>
      <w:marLeft w:val="0"/>
      <w:marRight w:val="0"/>
      <w:marTop w:val="0"/>
      <w:marBottom w:val="0"/>
      <w:divBdr>
        <w:top w:val="none" w:sz="0" w:space="0" w:color="auto"/>
        <w:left w:val="none" w:sz="0" w:space="0" w:color="auto"/>
        <w:bottom w:val="none" w:sz="0" w:space="0" w:color="auto"/>
        <w:right w:val="none" w:sz="0" w:space="0" w:color="auto"/>
      </w:divBdr>
    </w:div>
    <w:div w:id="775949043">
      <w:bodyDiv w:val="1"/>
      <w:marLeft w:val="0"/>
      <w:marRight w:val="0"/>
      <w:marTop w:val="0"/>
      <w:marBottom w:val="0"/>
      <w:divBdr>
        <w:top w:val="none" w:sz="0" w:space="0" w:color="auto"/>
        <w:left w:val="none" w:sz="0" w:space="0" w:color="auto"/>
        <w:bottom w:val="none" w:sz="0" w:space="0" w:color="auto"/>
        <w:right w:val="none" w:sz="0" w:space="0" w:color="auto"/>
      </w:divBdr>
      <w:divsChild>
        <w:div w:id="1928926654">
          <w:marLeft w:val="0"/>
          <w:marRight w:val="0"/>
          <w:marTop w:val="0"/>
          <w:marBottom w:val="0"/>
          <w:divBdr>
            <w:top w:val="none" w:sz="0" w:space="0" w:color="auto"/>
            <w:left w:val="none" w:sz="0" w:space="0" w:color="auto"/>
            <w:bottom w:val="none" w:sz="0" w:space="0" w:color="auto"/>
            <w:right w:val="none" w:sz="0" w:space="0" w:color="auto"/>
          </w:divBdr>
          <w:divsChild>
            <w:div w:id="528294781">
              <w:marLeft w:val="0"/>
              <w:marRight w:val="0"/>
              <w:marTop w:val="0"/>
              <w:marBottom w:val="0"/>
              <w:divBdr>
                <w:top w:val="none" w:sz="0" w:space="0" w:color="auto"/>
                <w:left w:val="none" w:sz="0" w:space="0" w:color="auto"/>
                <w:bottom w:val="none" w:sz="0" w:space="0" w:color="auto"/>
                <w:right w:val="none" w:sz="0" w:space="0" w:color="auto"/>
              </w:divBdr>
              <w:divsChild>
                <w:div w:id="933632726">
                  <w:marLeft w:val="0"/>
                  <w:marRight w:val="0"/>
                  <w:marTop w:val="0"/>
                  <w:marBottom w:val="0"/>
                  <w:divBdr>
                    <w:top w:val="none" w:sz="0" w:space="0" w:color="auto"/>
                    <w:left w:val="none" w:sz="0" w:space="0" w:color="auto"/>
                    <w:bottom w:val="none" w:sz="0" w:space="0" w:color="auto"/>
                    <w:right w:val="none" w:sz="0" w:space="0" w:color="auto"/>
                  </w:divBdr>
                  <w:divsChild>
                    <w:div w:id="13198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175107">
      <w:bodyDiv w:val="1"/>
      <w:marLeft w:val="0"/>
      <w:marRight w:val="0"/>
      <w:marTop w:val="0"/>
      <w:marBottom w:val="0"/>
      <w:divBdr>
        <w:top w:val="none" w:sz="0" w:space="0" w:color="auto"/>
        <w:left w:val="none" w:sz="0" w:space="0" w:color="auto"/>
        <w:bottom w:val="none" w:sz="0" w:space="0" w:color="auto"/>
        <w:right w:val="none" w:sz="0" w:space="0" w:color="auto"/>
      </w:divBdr>
    </w:div>
    <w:div w:id="776296608">
      <w:bodyDiv w:val="1"/>
      <w:marLeft w:val="0"/>
      <w:marRight w:val="0"/>
      <w:marTop w:val="0"/>
      <w:marBottom w:val="0"/>
      <w:divBdr>
        <w:top w:val="none" w:sz="0" w:space="0" w:color="auto"/>
        <w:left w:val="none" w:sz="0" w:space="0" w:color="auto"/>
        <w:bottom w:val="none" w:sz="0" w:space="0" w:color="auto"/>
        <w:right w:val="none" w:sz="0" w:space="0" w:color="auto"/>
      </w:divBdr>
      <w:divsChild>
        <w:div w:id="2136678787">
          <w:marLeft w:val="0"/>
          <w:marRight w:val="0"/>
          <w:marTop w:val="0"/>
          <w:marBottom w:val="0"/>
          <w:divBdr>
            <w:top w:val="none" w:sz="0" w:space="0" w:color="auto"/>
            <w:left w:val="none" w:sz="0" w:space="0" w:color="auto"/>
            <w:bottom w:val="none" w:sz="0" w:space="0" w:color="auto"/>
            <w:right w:val="none" w:sz="0" w:space="0" w:color="auto"/>
          </w:divBdr>
        </w:div>
      </w:divsChild>
    </w:div>
    <w:div w:id="781997369">
      <w:bodyDiv w:val="1"/>
      <w:marLeft w:val="0"/>
      <w:marRight w:val="0"/>
      <w:marTop w:val="0"/>
      <w:marBottom w:val="0"/>
      <w:divBdr>
        <w:top w:val="none" w:sz="0" w:space="0" w:color="auto"/>
        <w:left w:val="none" w:sz="0" w:space="0" w:color="auto"/>
        <w:bottom w:val="none" w:sz="0" w:space="0" w:color="auto"/>
        <w:right w:val="none" w:sz="0" w:space="0" w:color="auto"/>
      </w:divBdr>
    </w:div>
    <w:div w:id="789010531">
      <w:bodyDiv w:val="1"/>
      <w:marLeft w:val="0"/>
      <w:marRight w:val="0"/>
      <w:marTop w:val="0"/>
      <w:marBottom w:val="0"/>
      <w:divBdr>
        <w:top w:val="none" w:sz="0" w:space="0" w:color="auto"/>
        <w:left w:val="none" w:sz="0" w:space="0" w:color="auto"/>
        <w:bottom w:val="none" w:sz="0" w:space="0" w:color="auto"/>
        <w:right w:val="none" w:sz="0" w:space="0" w:color="auto"/>
      </w:divBdr>
      <w:divsChild>
        <w:div w:id="1039814703">
          <w:marLeft w:val="0"/>
          <w:marRight w:val="0"/>
          <w:marTop w:val="0"/>
          <w:marBottom w:val="0"/>
          <w:divBdr>
            <w:top w:val="none" w:sz="0" w:space="0" w:color="auto"/>
            <w:left w:val="none" w:sz="0" w:space="0" w:color="auto"/>
            <w:bottom w:val="none" w:sz="0" w:space="0" w:color="auto"/>
            <w:right w:val="none" w:sz="0" w:space="0" w:color="auto"/>
          </w:divBdr>
          <w:divsChild>
            <w:div w:id="1962418847">
              <w:marLeft w:val="0"/>
              <w:marRight w:val="0"/>
              <w:marTop w:val="0"/>
              <w:marBottom w:val="0"/>
              <w:divBdr>
                <w:top w:val="none" w:sz="0" w:space="0" w:color="auto"/>
                <w:left w:val="none" w:sz="0" w:space="0" w:color="auto"/>
                <w:bottom w:val="none" w:sz="0" w:space="0" w:color="auto"/>
                <w:right w:val="none" w:sz="0" w:space="0" w:color="auto"/>
              </w:divBdr>
              <w:divsChild>
                <w:div w:id="1647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57764">
      <w:bodyDiv w:val="1"/>
      <w:marLeft w:val="0"/>
      <w:marRight w:val="0"/>
      <w:marTop w:val="0"/>
      <w:marBottom w:val="0"/>
      <w:divBdr>
        <w:top w:val="none" w:sz="0" w:space="0" w:color="auto"/>
        <w:left w:val="none" w:sz="0" w:space="0" w:color="auto"/>
        <w:bottom w:val="none" w:sz="0" w:space="0" w:color="auto"/>
        <w:right w:val="none" w:sz="0" w:space="0" w:color="auto"/>
      </w:divBdr>
    </w:div>
    <w:div w:id="791242657">
      <w:bodyDiv w:val="1"/>
      <w:marLeft w:val="0"/>
      <w:marRight w:val="0"/>
      <w:marTop w:val="0"/>
      <w:marBottom w:val="0"/>
      <w:divBdr>
        <w:top w:val="none" w:sz="0" w:space="0" w:color="auto"/>
        <w:left w:val="none" w:sz="0" w:space="0" w:color="auto"/>
        <w:bottom w:val="none" w:sz="0" w:space="0" w:color="auto"/>
        <w:right w:val="none" w:sz="0" w:space="0" w:color="auto"/>
      </w:divBdr>
      <w:divsChild>
        <w:div w:id="45296754">
          <w:marLeft w:val="0"/>
          <w:marRight w:val="0"/>
          <w:marTop w:val="0"/>
          <w:marBottom w:val="0"/>
          <w:divBdr>
            <w:top w:val="none" w:sz="0" w:space="0" w:color="auto"/>
            <w:left w:val="none" w:sz="0" w:space="0" w:color="auto"/>
            <w:bottom w:val="none" w:sz="0" w:space="0" w:color="auto"/>
            <w:right w:val="none" w:sz="0" w:space="0" w:color="auto"/>
          </w:divBdr>
        </w:div>
        <w:div w:id="492139606">
          <w:marLeft w:val="0"/>
          <w:marRight w:val="0"/>
          <w:marTop w:val="0"/>
          <w:marBottom w:val="0"/>
          <w:divBdr>
            <w:top w:val="none" w:sz="0" w:space="0" w:color="auto"/>
            <w:left w:val="none" w:sz="0" w:space="0" w:color="auto"/>
            <w:bottom w:val="none" w:sz="0" w:space="0" w:color="auto"/>
            <w:right w:val="none" w:sz="0" w:space="0" w:color="auto"/>
          </w:divBdr>
        </w:div>
      </w:divsChild>
    </w:div>
    <w:div w:id="793329437">
      <w:bodyDiv w:val="1"/>
      <w:marLeft w:val="0"/>
      <w:marRight w:val="0"/>
      <w:marTop w:val="0"/>
      <w:marBottom w:val="0"/>
      <w:divBdr>
        <w:top w:val="none" w:sz="0" w:space="0" w:color="auto"/>
        <w:left w:val="none" w:sz="0" w:space="0" w:color="auto"/>
        <w:bottom w:val="none" w:sz="0" w:space="0" w:color="auto"/>
        <w:right w:val="none" w:sz="0" w:space="0" w:color="auto"/>
      </w:divBdr>
    </w:div>
    <w:div w:id="797341392">
      <w:bodyDiv w:val="1"/>
      <w:marLeft w:val="0"/>
      <w:marRight w:val="0"/>
      <w:marTop w:val="0"/>
      <w:marBottom w:val="0"/>
      <w:divBdr>
        <w:top w:val="none" w:sz="0" w:space="0" w:color="auto"/>
        <w:left w:val="none" w:sz="0" w:space="0" w:color="auto"/>
        <w:bottom w:val="none" w:sz="0" w:space="0" w:color="auto"/>
        <w:right w:val="none" w:sz="0" w:space="0" w:color="auto"/>
      </w:divBdr>
      <w:divsChild>
        <w:div w:id="1824546854">
          <w:marLeft w:val="0"/>
          <w:marRight w:val="0"/>
          <w:marTop w:val="0"/>
          <w:marBottom w:val="0"/>
          <w:divBdr>
            <w:top w:val="none" w:sz="0" w:space="0" w:color="auto"/>
            <w:left w:val="none" w:sz="0" w:space="0" w:color="auto"/>
            <w:bottom w:val="none" w:sz="0" w:space="0" w:color="auto"/>
            <w:right w:val="none" w:sz="0" w:space="0" w:color="auto"/>
          </w:divBdr>
          <w:divsChild>
            <w:div w:id="940382626">
              <w:marLeft w:val="0"/>
              <w:marRight w:val="0"/>
              <w:marTop w:val="0"/>
              <w:marBottom w:val="0"/>
              <w:divBdr>
                <w:top w:val="none" w:sz="0" w:space="0" w:color="auto"/>
                <w:left w:val="none" w:sz="0" w:space="0" w:color="auto"/>
                <w:bottom w:val="none" w:sz="0" w:space="0" w:color="auto"/>
                <w:right w:val="none" w:sz="0" w:space="0" w:color="auto"/>
              </w:divBdr>
              <w:divsChild>
                <w:div w:id="12875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15686">
      <w:bodyDiv w:val="1"/>
      <w:marLeft w:val="0"/>
      <w:marRight w:val="0"/>
      <w:marTop w:val="0"/>
      <w:marBottom w:val="0"/>
      <w:divBdr>
        <w:top w:val="none" w:sz="0" w:space="0" w:color="auto"/>
        <w:left w:val="none" w:sz="0" w:space="0" w:color="auto"/>
        <w:bottom w:val="none" w:sz="0" w:space="0" w:color="auto"/>
        <w:right w:val="none" w:sz="0" w:space="0" w:color="auto"/>
      </w:divBdr>
    </w:div>
    <w:div w:id="799223497">
      <w:bodyDiv w:val="1"/>
      <w:marLeft w:val="0"/>
      <w:marRight w:val="0"/>
      <w:marTop w:val="0"/>
      <w:marBottom w:val="0"/>
      <w:divBdr>
        <w:top w:val="none" w:sz="0" w:space="0" w:color="auto"/>
        <w:left w:val="none" w:sz="0" w:space="0" w:color="auto"/>
        <w:bottom w:val="none" w:sz="0" w:space="0" w:color="auto"/>
        <w:right w:val="none" w:sz="0" w:space="0" w:color="auto"/>
      </w:divBdr>
    </w:div>
    <w:div w:id="800071449">
      <w:bodyDiv w:val="1"/>
      <w:marLeft w:val="0"/>
      <w:marRight w:val="0"/>
      <w:marTop w:val="0"/>
      <w:marBottom w:val="0"/>
      <w:divBdr>
        <w:top w:val="none" w:sz="0" w:space="0" w:color="auto"/>
        <w:left w:val="none" w:sz="0" w:space="0" w:color="auto"/>
        <w:bottom w:val="none" w:sz="0" w:space="0" w:color="auto"/>
        <w:right w:val="none" w:sz="0" w:space="0" w:color="auto"/>
      </w:divBdr>
    </w:div>
    <w:div w:id="801074508">
      <w:bodyDiv w:val="1"/>
      <w:marLeft w:val="0"/>
      <w:marRight w:val="0"/>
      <w:marTop w:val="0"/>
      <w:marBottom w:val="0"/>
      <w:divBdr>
        <w:top w:val="none" w:sz="0" w:space="0" w:color="auto"/>
        <w:left w:val="none" w:sz="0" w:space="0" w:color="auto"/>
        <w:bottom w:val="none" w:sz="0" w:space="0" w:color="auto"/>
        <w:right w:val="none" w:sz="0" w:space="0" w:color="auto"/>
      </w:divBdr>
      <w:divsChild>
        <w:div w:id="1107122157">
          <w:marLeft w:val="0"/>
          <w:marRight w:val="0"/>
          <w:marTop w:val="0"/>
          <w:marBottom w:val="0"/>
          <w:divBdr>
            <w:top w:val="none" w:sz="0" w:space="0" w:color="auto"/>
            <w:left w:val="none" w:sz="0" w:space="0" w:color="auto"/>
            <w:bottom w:val="none" w:sz="0" w:space="0" w:color="auto"/>
            <w:right w:val="none" w:sz="0" w:space="0" w:color="auto"/>
          </w:divBdr>
          <w:divsChild>
            <w:div w:id="1933778678">
              <w:marLeft w:val="0"/>
              <w:marRight w:val="0"/>
              <w:marTop w:val="0"/>
              <w:marBottom w:val="0"/>
              <w:divBdr>
                <w:top w:val="none" w:sz="0" w:space="0" w:color="auto"/>
                <w:left w:val="none" w:sz="0" w:space="0" w:color="auto"/>
                <w:bottom w:val="none" w:sz="0" w:space="0" w:color="auto"/>
                <w:right w:val="none" w:sz="0" w:space="0" w:color="auto"/>
              </w:divBdr>
              <w:divsChild>
                <w:div w:id="899097021">
                  <w:marLeft w:val="0"/>
                  <w:marRight w:val="0"/>
                  <w:marTop w:val="0"/>
                  <w:marBottom w:val="0"/>
                  <w:divBdr>
                    <w:top w:val="none" w:sz="0" w:space="0" w:color="auto"/>
                    <w:left w:val="none" w:sz="0" w:space="0" w:color="auto"/>
                    <w:bottom w:val="none" w:sz="0" w:space="0" w:color="auto"/>
                    <w:right w:val="none" w:sz="0" w:space="0" w:color="auto"/>
                  </w:divBdr>
                  <w:divsChild>
                    <w:div w:id="15304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39668">
      <w:bodyDiv w:val="1"/>
      <w:marLeft w:val="0"/>
      <w:marRight w:val="0"/>
      <w:marTop w:val="0"/>
      <w:marBottom w:val="0"/>
      <w:divBdr>
        <w:top w:val="none" w:sz="0" w:space="0" w:color="auto"/>
        <w:left w:val="none" w:sz="0" w:space="0" w:color="auto"/>
        <w:bottom w:val="none" w:sz="0" w:space="0" w:color="auto"/>
        <w:right w:val="none" w:sz="0" w:space="0" w:color="auto"/>
      </w:divBdr>
      <w:divsChild>
        <w:div w:id="856188489">
          <w:marLeft w:val="0"/>
          <w:marRight w:val="0"/>
          <w:marTop w:val="0"/>
          <w:marBottom w:val="0"/>
          <w:divBdr>
            <w:top w:val="none" w:sz="0" w:space="0" w:color="auto"/>
            <w:left w:val="none" w:sz="0" w:space="0" w:color="auto"/>
            <w:bottom w:val="none" w:sz="0" w:space="0" w:color="auto"/>
            <w:right w:val="none" w:sz="0" w:space="0" w:color="auto"/>
          </w:divBdr>
        </w:div>
      </w:divsChild>
    </w:div>
    <w:div w:id="801920546">
      <w:bodyDiv w:val="1"/>
      <w:marLeft w:val="0"/>
      <w:marRight w:val="0"/>
      <w:marTop w:val="0"/>
      <w:marBottom w:val="0"/>
      <w:divBdr>
        <w:top w:val="none" w:sz="0" w:space="0" w:color="auto"/>
        <w:left w:val="none" w:sz="0" w:space="0" w:color="auto"/>
        <w:bottom w:val="none" w:sz="0" w:space="0" w:color="auto"/>
        <w:right w:val="none" w:sz="0" w:space="0" w:color="auto"/>
      </w:divBdr>
    </w:div>
    <w:div w:id="802425054">
      <w:bodyDiv w:val="1"/>
      <w:marLeft w:val="0"/>
      <w:marRight w:val="0"/>
      <w:marTop w:val="0"/>
      <w:marBottom w:val="0"/>
      <w:divBdr>
        <w:top w:val="none" w:sz="0" w:space="0" w:color="auto"/>
        <w:left w:val="none" w:sz="0" w:space="0" w:color="auto"/>
        <w:bottom w:val="none" w:sz="0" w:space="0" w:color="auto"/>
        <w:right w:val="none" w:sz="0" w:space="0" w:color="auto"/>
      </w:divBdr>
    </w:div>
    <w:div w:id="802578485">
      <w:bodyDiv w:val="1"/>
      <w:marLeft w:val="0"/>
      <w:marRight w:val="0"/>
      <w:marTop w:val="0"/>
      <w:marBottom w:val="0"/>
      <w:divBdr>
        <w:top w:val="none" w:sz="0" w:space="0" w:color="auto"/>
        <w:left w:val="none" w:sz="0" w:space="0" w:color="auto"/>
        <w:bottom w:val="none" w:sz="0" w:space="0" w:color="auto"/>
        <w:right w:val="none" w:sz="0" w:space="0" w:color="auto"/>
      </w:divBdr>
    </w:div>
    <w:div w:id="803695046">
      <w:bodyDiv w:val="1"/>
      <w:marLeft w:val="0"/>
      <w:marRight w:val="0"/>
      <w:marTop w:val="0"/>
      <w:marBottom w:val="0"/>
      <w:divBdr>
        <w:top w:val="none" w:sz="0" w:space="0" w:color="auto"/>
        <w:left w:val="none" w:sz="0" w:space="0" w:color="auto"/>
        <w:bottom w:val="none" w:sz="0" w:space="0" w:color="auto"/>
        <w:right w:val="none" w:sz="0" w:space="0" w:color="auto"/>
      </w:divBdr>
      <w:divsChild>
        <w:div w:id="1184242941">
          <w:marLeft w:val="0"/>
          <w:marRight w:val="0"/>
          <w:marTop w:val="0"/>
          <w:marBottom w:val="0"/>
          <w:divBdr>
            <w:top w:val="none" w:sz="0" w:space="0" w:color="auto"/>
            <w:left w:val="none" w:sz="0" w:space="0" w:color="auto"/>
            <w:bottom w:val="none" w:sz="0" w:space="0" w:color="auto"/>
            <w:right w:val="none" w:sz="0" w:space="0" w:color="auto"/>
          </w:divBdr>
          <w:divsChild>
            <w:div w:id="1179659032">
              <w:marLeft w:val="0"/>
              <w:marRight w:val="0"/>
              <w:marTop w:val="0"/>
              <w:marBottom w:val="0"/>
              <w:divBdr>
                <w:top w:val="none" w:sz="0" w:space="0" w:color="auto"/>
                <w:left w:val="none" w:sz="0" w:space="0" w:color="auto"/>
                <w:bottom w:val="none" w:sz="0" w:space="0" w:color="auto"/>
                <w:right w:val="none" w:sz="0" w:space="0" w:color="auto"/>
              </w:divBdr>
              <w:divsChild>
                <w:div w:id="9519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35161">
      <w:bodyDiv w:val="1"/>
      <w:marLeft w:val="0"/>
      <w:marRight w:val="0"/>
      <w:marTop w:val="0"/>
      <w:marBottom w:val="0"/>
      <w:divBdr>
        <w:top w:val="none" w:sz="0" w:space="0" w:color="auto"/>
        <w:left w:val="none" w:sz="0" w:space="0" w:color="auto"/>
        <w:bottom w:val="none" w:sz="0" w:space="0" w:color="auto"/>
        <w:right w:val="none" w:sz="0" w:space="0" w:color="auto"/>
      </w:divBdr>
    </w:div>
    <w:div w:id="808015554">
      <w:bodyDiv w:val="1"/>
      <w:marLeft w:val="0"/>
      <w:marRight w:val="0"/>
      <w:marTop w:val="0"/>
      <w:marBottom w:val="0"/>
      <w:divBdr>
        <w:top w:val="none" w:sz="0" w:space="0" w:color="auto"/>
        <w:left w:val="none" w:sz="0" w:space="0" w:color="auto"/>
        <w:bottom w:val="none" w:sz="0" w:space="0" w:color="auto"/>
        <w:right w:val="none" w:sz="0" w:space="0" w:color="auto"/>
      </w:divBdr>
      <w:divsChild>
        <w:div w:id="491410903">
          <w:marLeft w:val="0"/>
          <w:marRight w:val="0"/>
          <w:marTop w:val="0"/>
          <w:marBottom w:val="0"/>
          <w:divBdr>
            <w:top w:val="none" w:sz="0" w:space="0" w:color="auto"/>
            <w:left w:val="none" w:sz="0" w:space="0" w:color="auto"/>
            <w:bottom w:val="none" w:sz="0" w:space="0" w:color="auto"/>
            <w:right w:val="none" w:sz="0" w:space="0" w:color="auto"/>
          </w:divBdr>
          <w:divsChild>
            <w:div w:id="1650934326">
              <w:marLeft w:val="0"/>
              <w:marRight w:val="0"/>
              <w:marTop w:val="0"/>
              <w:marBottom w:val="0"/>
              <w:divBdr>
                <w:top w:val="none" w:sz="0" w:space="0" w:color="auto"/>
                <w:left w:val="none" w:sz="0" w:space="0" w:color="auto"/>
                <w:bottom w:val="none" w:sz="0" w:space="0" w:color="auto"/>
                <w:right w:val="none" w:sz="0" w:space="0" w:color="auto"/>
              </w:divBdr>
              <w:divsChild>
                <w:div w:id="2117820095">
                  <w:marLeft w:val="0"/>
                  <w:marRight w:val="0"/>
                  <w:marTop w:val="0"/>
                  <w:marBottom w:val="0"/>
                  <w:divBdr>
                    <w:top w:val="none" w:sz="0" w:space="0" w:color="auto"/>
                    <w:left w:val="none" w:sz="0" w:space="0" w:color="auto"/>
                    <w:bottom w:val="none" w:sz="0" w:space="0" w:color="auto"/>
                    <w:right w:val="none" w:sz="0" w:space="0" w:color="auto"/>
                  </w:divBdr>
                  <w:divsChild>
                    <w:div w:id="5064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15968">
      <w:bodyDiv w:val="1"/>
      <w:marLeft w:val="0"/>
      <w:marRight w:val="0"/>
      <w:marTop w:val="0"/>
      <w:marBottom w:val="0"/>
      <w:divBdr>
        <w:top w:val="none" w:sz="0" w:space="0" w:color="auto"/>
        <w:left w:val="none" w:sz="0" w:space="0" w:color="auto"/>
        <w:bottom w:val="none" w:sz="0" w:space="0" w:color="auto"/>
        <w:right w:val="none" w:sz="0" w:space="0" w:color="auto"/>
      </w:divBdr>
      <w:divsChild>
        <w:div w:id="226843125">
          <w:marLeft w:val="0"/>
          <w:marRight w:val="0"/>
          <w:marTop w:val="0"/>
          <w:marBottom w:val="0"/>
          <w:divBdr>
            <w:top w:val="none" w:sz="0" w:space="0" w:color="auto"/>
            <w:left w:val="none" w:sz="0" w:space="0" w:color="auto"/>
            <w:bottom w:val="none" w:sz="0" w:space="0" w:color="auto"/>
            <w:right w:val="none" w:sz="0" w:space="0" w:color="auto"/>
          </w:divBdr>
        </w:div>
      </w:divsChild>
    </w:div>
    <w:div w:id="812139154">
      <w:bodyDiv w:val="1"/>
      <w:marLeft w:val="0"/>
      <w:marRight w:val="0"/>
      <w:marTop w:val="0"/>
      <w:marBottom w:val="0"/>
      <w:divBdr>
        <w:top w:val="none" w:sz="0" w:space="0" w:color="auto"/>
        <w:left w:val="none" w:sz="0" w:space="0" w:color="auto"/>
        <w:bottom w:val="none" w:sz="0" w:space="0" w:color="auto"/>
        <w:right w:val="none" w:sz="0" w:space="0" w:color="auto"/>
      </w:divBdr>
    </w:div>
    <w:div w:id="815872854">
      <w:bodyDiv w:val="1"/>
      <w:marLeft w:val="0"/>
      <w:marRight w:val="0"/>
      <w:marTop w:val="0"/>
      <w:marBottom w:val="0"/>
      <w:divBdr>
        <w:top w:val="none" w:sz="0" w:space="0" w:color="auto"/>
        <w:left w:val="none" w:sz="0" w:space="0" w:color="auto"/>
        <w:bottom w:val="none" w:sz="0" w:space="0" w:color="auto"/>
        <w:right w:val="none" w:sz="0" w:space="0" w:color="auto"/>
      </w:divBdr>
      <w:divsChild>
        <w:div w:id="680937495">
          <w:marLeft w:val="0"/>
          <w:marRight w:val="0"/>
          <w:marTop w:val="0"/>
          <w:marBottom w:val="0"/>
          <w:divBdr>
            <w:top w:val="none" w:sz="0" w:space="0" w:color="auto"/>
            <w:left w:val="none" w:sz="0" w:space="0" w:color="auto"/>
            <w:bottom w:val="none" w:sz="0" w:space="0" w:color="auto"/>
            <w:right w:val="none" w:sz="0" w:space="0" w:color="auto"/>
          </w:divBdr>
          <w:divsChild>
            <w:div w:id="970208674">
              <w:marLeft w:val="0"/>
              <w:marRight w:val="0"/>
              <w:marTop w:val="0"/>
              <w:marBottom w:val="0"/>
              <w:divBdr>
                <w:top w:val="none" w:sz="0" w:space="0" w:color="auto"/>
                <w:left w:val="none" w:sz="0" w:space="0" w:color="auto"/>
                <w:bottom w:val="none" w:sz="0" w:space="0" w:color="auto"/>
                <w:right w:val="none" w:sz="0" w:space="0" w:color="auto"/>
              </w:divBdr>
              <w:divsChild>
                <w:div w:id="1404836874">
                  <w:marLeft w:val="0"/>
                  <w:marRight w:val="0"/>
                  <w:marTop w:val="0"/>
                  <w:marBottom w:val="0"/>
                  <w:divBdr>
                    <w:top w:val="none" w:sz="0" w:space="0" w:color="auto"/>
                    <w:left w:val="none" w:sz="0" w:space="0" w:color="auto"/>
                    <w:bottom w:val="none" w:sz="0" w:space="0" w:color="auto"/>
                    <w:right w:val="none" w:sz="0" w:space="0" w:color="auto"/>
                  </w:divBdr>
                  <w:divsChild>
                    <w:div w:id="5548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455202">
      <w:bodyDiv w:val="1"/>
      <w:marLeft w:val="0"/>
      <w:marRight w:val="0"/>
      <w:marTop w:val="0"/>
      <w:marBottom w:val="0"/>
      <w:divBdr>
        <w:top w:val="none" w:sz="0" w:space="0" w:color="auto"/>
        <w:left w:val="none" w:sz="0" w:space="0" w:color="auto"/>
        <w:bottom w:val="none" w:sz="0" w:space="0" w:color="auto"/>
        <w:right w:val="none" w:sz="0" w:space="0" w:color="auto"/>
      </w:divBdr>
    </w:div>
    <w:div w:id="817528477">
      <w:bodyDiv w:val="1"/>
      <w:marLeft w:val="0"/>
      <w:marRight w:val="0"/>
      <w:marTop w:val="0"/>
      <w:marBottom w:val="0"/>
      <w:divBdr>
        <w:top w:val="none" w:sz="0" w:space="0" w:color="auto"/>
        <w:left w:val="none" w:sz="0" w:space="0" w:color="auto"/>
        <w:bottom w:val="none" w:sz="0" w:space="0" w:color="auto"/>
        <w:right w:val="none" w:sz="0" w:space="0" w:color="auto"/>
      </w:divBdr>
    </w:div>
    <w:div w:id="821432877">
      <w:bodyDiv w:val="1"/>
      <w:marLeft w:val="0"/>
      <w:marRight w:val="0"/>
      <w:marTop w:val="0"/>
      <w:marBottom w:val="0"/>
      <w:divBdr>
        <w:top w:val="none" w:sz="0" w:space="0" w:color="auto"/>
        <w:left w:val="none" w:sz="0" w:space="0" w:color="auto"/>
        <w:bottom w:val="none" w:sz="0" w:space="0" w:color="auto"/>
        <w:right w:val="none" w:sz="0" w:space="0" w:color="auto"/>
      </w:divBdr>
    </w:div>
    <w:div w:id="825559707">
      <w:bodyDiv w:val="1"/>
      <w:marLeft w:val="0"/>
      <w:marRight w:val="0"/>
      <w:marTop w:val="0"/>
      <w:marBottom w:val="0"/>
      <w:divBdr>
        <w:top w:val="none" w:sz="0" w:space="0" w:color="auto"/>
        <w:left w:val="none" w:sz="0" w:space="0" w:color="auto"/>
        <w:bottom w:val="none" w:sz="0" w:space="0" w:color="auto"/>
        <w:right w:val="none" w:sz="0" w:space="0" w:color="auto"/>
      </w:divBdr>
    </w:div>
    <w:div w:id="826746160">
      <w:bodyDiv w:val="1"/>
      <w:marLeft w:val="0"/>
      <w:marRight w:val="0"/>
      <w:marTop w:val="0"/>
      <w:marBottom w:val="0"/>
      <w:divBdr>
        <w:top w:val="none" w:sz="0" w:space="0" w:color="auto"/>
        <w:left w:val="none" w:sz="0" w:space="0" w:color="auto"/>
        <w:bottom w:val="none" w:sz="0" w:space="0" w:color="auto"/>
        <w:right w:val="none" w:sz="0" w:space="0" w:color="auto"/>
      </w:divBdr>
    </w:div>
    <w:div w:id="827477012">
      <w:bodyDiv w:val="1"/>
      <w:marLeft w:val="0"/>
      <w:marRight w:val="0"/>
      <w:marTop w:val="0"/>
      <w:marBottom w:val="0"/>
      <w:divBdr>
        <w:top w:val="none" w:sz="0" w:space="0" w:color="auto"/>
        <w:left w:val="none" w:sz="0" w:space="0" w:color="auto"/>
        <w:bottom w:val="none" w:sz="0" w:space="0" w:color="auto"/>
        <w:right w:val="none" w:sz="0" w:space="0" w:color="auto"/>
      </w:divBdr>
      <w:divsChild>
        <w:div w:id="280113510">
          <w:marLeft w:val="0"/>
          <w:marRight w:val="0"/>
          <w:marTop w:val="60"/>
          <w:marBottom w:val="255"/>
          <w:divBdr>
            <w:top w:val="none" w:sz="0" w:space="0" w:color="auto"/>
            <w:left w:val="none" w:sz="0" w:space="0" w:color="auto"/>
            <w:bottom w:val="none" w:sz="0" w:space="0" w:color="auto"/>
            <w:right w:val="none" w:sz="0" w:space="0" w:color="auto"/>
          </w:divBdr>
          <w:divsChild>
            <w:div w:id="405765653">
              <w:marLeft w:val="0"/>
              <w:marRight w:val="0"/>
              <w:marTop w:val="0"/>
              <w:marBottom w:val="0"/>
              <w:divBdr>
                <w:top w:val="none" w:sz="0" w:space="0" w:color="auto"/>
                <w:left w:val="none" w:sz="0" w:space="0" w:color="auto"/>
                <w:bottom w:val="none" w:sz="0" w:space="0" w:color="auto"/>
                <w:right w:val="none" w:sz="0" w:space="0" w:color="auto"/>
              </w:divBdr>
              <w:divsChild>
                <w:div w:id="2147232314">
                  <w:marLeft w:val="0"/>
                  <w:marRight w:val="0"/>
                  <w:marTop w:val="0"/>
                  <w:marBottom w:val="0"/>
                  <w:divBdr>
                    <w:top w:val="none" w:sz="0" w:space="0" w:color="auto"/>
                    <w:left w:val="none" w:sz="0" w:space="0" w:color="auto"/>
                    <w:bottom w:val="none" w:sz="0" w:space="0" w:color="auto"/>
                    <w:right w:val="none" w:sz="0" w:space="0" w:color="auto"/>
                  </w:divBdr>
                  <w:divsChild>
                    <w:div w:id="1369914442">
                      <w:marLeft w:val="0"/>
                      <w:marRight w:val="0"/>
                      <w:marTop w:val="0"/>
                      <w:marBottom w:val="0"/>
                      <w:divBdr>
                        <w:top w:val="none" w:sz="0" w:space="0" w:color="auto"/>
                        <w:left w:val="none" w:sz="0" w:space="0" w:color="auto"/>
                        <w:bottom w:val="none" w:sz="0" w:space="0" w:color="auto"/>
                        <w:right w:val="none" w:sz="0" w:space="0" w:color="auto"/>
                      </w:divBdr>
                      <w:divsChild>
                        <w:div w:id="1634948474">
                          <w:marLeft w:val="0"/>
                          <w:marRight w:val="0"/>
                          <w:marTop w:val="0"/>
                          <w:marBottom w:val="0"/>
                          <w:divBdr>
                            <w:top w:val="none" w:sz="0" w:space="0" w:color="auto"/>
                            <w:left w:val="none" w:sz="0" w:space="0" w:color="auto"/>
                            <w:bottom w:val="none" w:sz="0" w:space="0" w:color="auto"/>
                            <w:right w:val="none" w:sz="0" w:space="0" w:color="auto"/>
                          </w:divBdr>
                          <w:divsChild>
                            <w:div w:id="647788957">
                              <w:marLeft w:val="0"/>
                              <w:marRight w:val="0"/>
                              <w:marTop w:val="0"/>
                              <w:marBottom w:val="0"/>
                              <w:divBdr>
                                <w:top w:val="none" w:sz="0" w:space="0" w:color="auto"/>
                                <w:left w:val="none" w:sz="0" w:space="0" w:color="auto"/>
                                <w:bottom w:val="none" w:sz="0" w:space="0" w:color="auto"/>
                                <w:right w:val="none" w:sz="0" w:space="0" w:color="auto"/>
                              </w:divBdr>
                              <w:divsChild>
                                <w:div w:id="1722900711">
                                  <w:marLeft w:val="0"/>
                                  <w:marRight w:val="0"/>
                                  <w:marTop w:val="0"/>
                                  <w:marBottom w:val="0"/>
                                  <w:divBdr>
                                    <w:top w:val="none" w:sz="0" w:space="0" w:color="auto"/>
                                    <w:left w:val="none" w:sz="0" w:space="0" w:color="auto"/>
                                    <w:bottom w:val="none" w:sz="0" w:space="0" w:color="auto"/>
                                    <w:right w:val="none" w:sz="0" w:space="0" w:color="auto"/>
                                  </w:divBdr>
                                  <w:divsChild>
                                    <w:div w:id="3858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806">
                              <w:marLeft w:val="0"/>
                              <w:marRight w:val="0"/>
                              <w:marTop w:val="0"/>
                              <w:marBottom w:val="0"/>
                              <w:divBdr>
                                <w:top w:val="none" w:sz="0" w:space="0" w:color="auto"/>
                                <w:left w:val="none" w:sz="0" w:space="0" w:color="auto"/>
                                <w:bottom w:val="none" w:sz="0" w:space="0" w:color="auto"/>
                                <w:right w:val="none" w:sz="0" w:space="0" w:color="auto"/>
                              </w:divBdr>
                              <w:divsChild>
                                <w:div w:id="226305784">
                                  <w:marLeft w:val="0"/>
                                  <w:marRight w:val="0"/>
                                  <w:marTop w:val="0"/>
                                  <w:marBottom w:val="0"/>
                                  <w:divBdr>
                                    <w:top w:val="none" w:sz="0" w:space="0" w:color="auto"/>
                                    <w:left w:val="none" w:sz="0" w:space="0" w:color="auto"/>
                                    <w:bottom w:val="none" w:sz="0" w:space="0" w:color="auto"/>
                                    <w:right w:val="none" w:sz="0" w:space="0" w:color="auto"/>
                                  </w:divBdr>
                                  <w:divsChild>
                                    <w:div w:id="6495962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74256">
      <w:bodyDiv w:val="1"/>
      <w:marLeft w:val="0"/>
      <w:marRight w:val="0"/>
      <w:marTop w:val="0"/>
      <w:marBottom w:val="0"/>
      <w:divBdr>
        <w:top w:val="none" w:sz="0" w:space="0" w:color="auto"/>
        <w:left w:val="none" w:sz="0" w:space="0" w:color="auto"/>
        <w:bottom w:val="none" w:sz="0" w:space="0" w:color="auto"/>
        <w:right w:val="none" w:sz="0" w:space="0" w:color="auto"/>
      </w:divBdr>
      <w:divsChild>
        <w:div w:id="1910385739">
          <w:marLeft w:val="0"/>
          <w:marRight w:val="0"/>
          <w:marTop w:val="0"/>
          <w:marBottom w:val="0"/>
          <w:divBdr>
            <w:top w:val="none" w:sz="0" w:space="0" w:color="auto"/>
            <w:left w:val="none" w:sz="0" w:space="0" w:color="auto"/>
            <w:bottom w:val="none" w:sz="0" w:space="0" w:color="auto"/>
            <w:right w:val="none" w:sz="0" w:space="0" w:color="auto"/>
          </w:divBdr>
          <w:divsChild>
            <w:div w:id="136118585">
              <w:marLeft w:val="0"/>
              <w:marRight w:val="0"/>
              <w:marTop w:val="0"/>
              <w:marBottom w:val="0"/>
              <w:divBdr>
                <w:top w:val="none" w:sz="0" w:space="0" w:color="auto"/>
                <w:left w:val="none" w:sz="0" w:space="0" w:color="auto"/>
                <w:bottom w:val="none" w:sz="0" w:space="0" w:color="auto"/>
                <w:right w:val="none" w:sz="0" w:space="0" w:color="auto"/>
              </w:divBdr>
            </w:div>
          </w:divsChild>
        </w:div>
        <w:div w:id="1514760574">
          <w:marLeft w:val="0"/>
          <w:marRight w:val="0"/>
          <w:marTop w:val="0"/>
          <w:marBottom w:val="0"/>
          <w:divBdr>
            <w:top w:val="none" w:sz="0" w:space="0" w:color="auto"/>
            <w:left w:val="none" w:sz="0" w:space="0" w:color="auto"/>
            <w:bottom w:val="none" w:sz="0" w:space="0" w:color="auto"/>
            <w:right w:val="none" w:sz="0" w:space="0" w:color="auto"/>
          </w:divBdr>
          <w:divsChild>
            <w:div w:id="13051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624">
      <w:bodyDiv w:val="1"/>
      <w:marLeft w:val="0"/>
      <w:marRight w:val="0"/>
      <w:marTop w:val="0"/>
      <w:marBottom w:val="0"/>
      <w:divBdr>
        <w:top w:val="none" w:sz="0" w:space="0" w:color="auto"/>
        <w:left w:val="none" w:sz="0" w:space="0" w:color="auto"/>
        <w:bottom w:val="none" w:sz="0" w:space="0" w:color="auto"/>
        <w:right w:val="none" w:sz="0" w:space="0" w:color="auto"/>
      </w:divBdr>
      <w:divsChild>
        <w:div w:id="79699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10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141688">
      <w:bodyDiv w:val="1"/>
      <w:marLeft w:val="0"/>
      <w:marRight w:val="0"/>
      <w:marTop w:val="0"/>
      <w:marBottom w:val="0"/>
      <w:divBdr>
        <w:top w:val="none" w:sz="0" w:space="0" w:color="auto"/>
        <w:left w:val="none" w:sz="0" w:space="0" w:color="auto"/>
        <w:bottom w:val="none" w:sz="0" w:space="0" w:color="auto"/>
        <w:right w:val="none" w:sz="0" w:space="0" w:color="auto"/>
      </w:divBdr>
    </w:div>
    <w:div w:id="833762924">
      <w:bodyDiv w:val="1"/>
      <w:marLeft w:val="0"/>
      <w:marRight w:val="0"/>
      <w:marTop w:val="0"/>
      <w:marBottom w:val="0"/>
      <w:divBdr>
        <w:top w:val="none" w:sz="0" w:space="0" w:color="auto"/>
        <w:left w:val="none" w:sz="0" w:space="0" w:color="auto"/>
        <w:bottom w:val="none" w:sz="0" w:space="0" w:color="auto"/>
        <w:right w:val="none" w:sz="0" w:space="0" w:color="auto"/>
      </w:divBdr>
    </w:div>
    <w:div w:id="837232503">
      <w:bodyDiv w:val="1"/>
      <w:marLeft w:val="0"/>
      <w:marRight w:val="0"/>
      <w:marTop w:val="0"/>
      <w:marBottom w:val="0"/>
      <w:divBdr>
        <w:top w:val="none" w:sz="0" w:space="0" w:color="auto"/>
        <w:left w:val="none" w:sz="0" w:space="0" w:color="auto"/>
        <w:bottom w:val="none" w:sz="0" w:space="0" w:color="auto"/>
        <w:right w:val="none" w:sz="0" w:space="0" w:color="auto"/>
      </w:divBdr>
    </w:div>
    <w:div w:id="840587831">
      <w:bodyDiv w:val="1"/>
      <w:marLeft w:val="0"/>
      <w:marRight w:val="0"/>
      <w:marTop w:val="0"/>
      <w:marBottom w:val="0"/>
      <w:divBdr>
        <w:top w:val="none" w:sz="0" w:space="0" w:color="auto"/>
        <w:left w:val="none" w:sz="0" w:space="0" w:color="auto"/>
        <w:bottom w:val="none" w:sz="0" w:space="0" w:color="auto"/>
        <w:right w:val="none" w:sz="0" w:space="0" w:color="auto"/>
      </w:divBdr>
    </w:div>
    <w:div w:id="841237025">
      <w:bodyDiv w:val="1"/>
      <w:marLeft w:val="0"/>
      <w:marRight w:val="0"/>
      <w:marTop w:val="0"/>
      <w:marBottom w:val="0"/>
      <w:divBdr>
        <w:top w:val="none" w:sz="0" w:space="0" w:color="auto"/>
        <w:left w:val="none" w:sz="0" w:space="0" w:color="auto"/>
        <w:bottom w:val="none" w:sz="0" w:space="0" w:color="auto"/>
        <w:right w:val="none" w:sz="0" w:space="0" w:color="auto"/>
      </w:divBdr>
    </w:div>
    <w:div w:id="842623341">
      <w:bodyDiv w:val="1"/>
      <w:marLeft w:val="0"/>
      <w:marRight w:val="0"/>
      <w:marTop w:val="0"/>
      <w:marBottom w:val="0"/>
      <w:divBdr>
        <w:top w:val="none" w:sz="0" w:space="0" w:color="auto"/>
        <w:left w:val="none" w:sz="0" w:space="0" w:color="auto"/>
        <w:bottom w:val="none" w:sz="0" w:space="0" w:color="auto"/>
        <w:right w:val="none" w:sz="0" w:space="0" w:color="auto"/>
      </w:divBdr>
    </w:div>
    <w:div w:id="845362013">
      <w:bodyDiv w:val="1"/>
      <w:marLeft w:val="0"/>
      <w:marRight w:val="0"/>
      <w:marTop w:val="0"/>
      <w:marBottom w:val="0"/>
      <w:divBdr>
        <w:top w:val="none" w:sz="0" w:space="0" w:color="auto"/>
        <w:left w:val="none" w:sz="0" w:space="0" w:color="auto"/>
        <w:bottom w:val="none" w:sz="0" w:space="0" w:color="auto"/>
        <w:right w:val="none" w:sz="0" w:space="0" w:color="auto"/>
      </w:divBdr>
      <w:divsChild>
        <w:div w:id="1861773854">
          <w:marLeft w:val="0"/>
          <w:marRight w:val="0"/>
          <w:marTop w:val="0"/>
          <w:marBottom w:val="0"/>
          <w:divBdr>
            <w:top w:val="none" w:sz="0" w:space="0" w:color="auto"/>
            <w:left w:val="none" w:sz="0" w:space="0" w:color="auto"/>
            <w:bottom w:val="none" w:sz="0" w:space="0" w:color="auto"/>
            <w:right w:val="none" w:sz="0" w:space="0" w:color="auto"/>
          </w:divBdr>
          <w:divsChild>
            <w:div w:id="132142559">
              <w:marLeft w:val="0"/>
              <w:marRight w:val="0"/>
              <w:marTop w:val="0"/>
              <w:marBottom w:val="0"/>
              <w:divBdr>
                <w:top w:val="none" w:sz="0" w:space="0" w:color="auto"/>
                <w:left w:val="none" w:sz="0" w:space="0" w:color="auto"/>
                <w:bottom w:val="none" w:sz="0" w:space="0" w:color="auto"/>
                <w:right w:val="none" w:sz="0" w:space="0" w:color="auto"/>
              </w:divBdr>
              <w:divsChild>
                <w:div w:id="7016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57780">
      <w:bodyDiv w:val="1"/>
      <w:marLeft w:val="0"/>
      <w:marRight w:val="0"/>
      <w:marTop w:val="0"/>
      <w:marBottom w:val="0"/>
      <w:divBdr>
        <w:top w:val="none" w:sz="0" w:space="0" w:color="auto"/>
        <w:left w:val="none" w:sz="0" w:space="0" w:color="auto"/>
        <w:bottom w:val="none" w:sz="0" w:space="0" w:color="auto"/>
        <w:right w:val="none" w:sz="0" w:space="0" w:color="auto"/>
      </w:divBdr>
    </w:div>
    <w:div w:id="847982459">
      <w:bodyDiv w:val="1"/>
      <w:marLeft w:val="0"/>
      <w:marRight w:val="0"/>
      <w:marTop w:val="0"/>
      <w:marBottom w:val="0"/>
      <w:divBdr>
        <w:top w:val="none" w:sz="0" w:space="0" w:color="auto"/>
        <w:left w:val="none" w:sz="0" w:space="0" w:color="auto"/>
        <w:bottom w:val="none" w:sz="0" w:space="0" w:color="auto"/>
        <w:right w:val="none" w:sz="0" w:space="0" w:color="auto"/>
      </w:divBdr>
    </w:div>
    <w:div w:id="847988801">
      <w:bodyDiv w:val="1"/>
      <w:marLeft w:val="0"/>
      <w:marRight w:val="0"/>
      <w:marTop w:val="0"/>
      <w:marBottom w:val="0"/>
      <w:divBdr>
        <w:top w:val="none" w:sz="0" w:space="0" w:color="auto"/>
        <w:left w:val="none" w:sz="0" w:space="0" w:color="auto"/>
        <w:bottom w:val="none" w:sz="0" w:space="0" w:color="auto"/>
        <w:right w:val="none" w:sz="0" w:space="0" w:color="auto"/>
      </w:divBdr>
    </w:div>
    <w:div w:id="849299112">
      <w:bodyDiv w:val="1"/>
      <w:marLeft w:val="0"/>
      <w:marRight w:val="0"/>
      <w:marTop w:val="0"/>
      <w:marBottom w:val="0"/>
      <w:divBdr>
        <w:top w:val="none" w:sz="0" w:space="0" w:color="auto"/>
        <w:left w:val="none" w:sz="0" w:space="0" w:color="auto"/>
        <w:bottom w:val="none" w:sz="0" w:space="0" w:color="auto"/>
        <w:right w:val="none" w:sz="0" w:space="0" w:color="auto"/>
      </w:divBdr>
    </w:div>
    <w:div w:id="857817883">
      <w:bodyDiv w:val="1"/>
      <w:marLeft w:val="0"/>
      <w:marRight w:val="0"/>
      <w:marTop w:val="0"/>
      <w:marBottom w:val="0"/>
      <w:divBdr>
        <w:top w:val="none" w:sz="0" w:space="0" w:color="auto"/>
        <w:left w:val="none" w:sz="0" w:space="0" w:color="auto"/>
        <w:bottom w:val="none" w:sz="0" w:space="0" w:color="auto"/>
        <w:right w:val="none" w:sz="0" w:space="0" w:color="auto"/>
      </w:divBdr>
      <w:divsChild>
        <w:div w:id="1534033513">
          <w:marLeft w:val="0"/>
          <w:marRight w:val="0"/>
          <w:marTop w:val="0"/>
          <w:marBottom w:val="0"/>
          <w:divBdr>
            <w:top w:val="none" w:sz="0" w:space="0" w:color="auto"/>
            <w:left w:val="none" w:sz="0" w:space="0" w:color="auto"/>
            <w:bottom w:val="none" w:sz="0" w:space="0" w:color="auto"/>
            <w:right w:val="none" w:sz="0" w:space="0" w:color="auto"/>
          </w:divBdr>
          <w:divsChild>
            <w:div w:id="1395085787">
              <w:marLeft w:val="0"/>
              <w:marRight w:val="0"/>
              <w:marTop w:val="0"/>
              <w:marBottom w:val="0"/>
              <w:divBdr>
                <w:top w:val="none" w:sz="0" w:space="0" w:color="auto"/>
                <w:left w:val="none" w:sz="0" w:space="0" w:color="auto"/>
                <w:bottom w:val="none" w:sz="0" w:space="0" w:color="auto"/>
                <w:right w:val="none" w:sz="0" w:space="0" w:color="auto"/>
              </w:divBdr>
              <w:divsChild>
                <w:div w:id="335035341">
                  <w:marLeft w:val="0"/>
                  <w:marRight w:val="0"/>
                  <w:marTop w:val="0"/>
                  <w:marBottom w:val="0"/>
                  <w:divBdr>
                    <w:top w:val="none" w:sz="0" w:space="0" w:color="auto"/>
                    <w:left w:val="none" w:sz="0" w:space="0" w:color="auto"/>
                    <w:bottom w:val="none" w:sz="0" w:space="0" w:color="auto"/>
                    <w:right w:val="none" w:sz="0" w:space="0" w:color="auto"/>
                  </w:divBdr>
                  <w:divsChild>
                    <w:div w:id="20740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94027">
      <w:bodyDiv w:val="1"/>
      <w:marLeft w:val="0"/>
      <w:marRight w:val="0"/>
      <w:marTop w:val="0"/>
      <w:marBottom w:val="0"/>
      <w:divBdr>
        <w:top w:val="none" w:sz="0" w:space="0" w:color="auto"/>
        <w:left w:val="none" w:sz="0" w:space="0" w:color="auto"/>
        <w:bottom w:val="none" w:sz="0" w:space="0" w:color="auto"/>
        <w:right w:val="none" w:sz="0" w:space="0" w:color="auto"/>
      </w:divBdr>
    </w:div>
    <w:div w:id="867374859">
      <w:bodyDiv w:val="1"/>
      <w:marLeft w:val="0"/>
      <w:marRight w:val="0"/>
      <w:marTop w:val="0"/>
      <w:marBottom w:val="0"/>
      <w:divBdr>
        <w:top w:val="none" w:sz="0" w:space="0" w:color="auto"/>
        <w:left w:val="none" w:sz="0" w:space="0" w:color="auto"/>
        <w:bottom w:val="none" w:sz="0" w:space="0" w:color="auto"/>
        <w:right w:val="none" w:sz="0" w:space="0" w:color="auto"/>
      </w:divBdr>
      <w:divsChild>
        <w:div w:id="2135976245">
          <w:marLeft w:val="0"/>
          <w:marRight w:val="0"/>
          <w:marTop w:val="0"/>
          <w:marBottom w:val="0"/>
          <w:divBdr>
            <w:top w:val="none" w:sz="0" w:space="0" w:color="auto"/>
            <w:left w:val="none" w:sz="0" w:space="0" w:color="auto"/>
            <w:bottom w:val="none" w:sz="0" w:space="0" w:color="auto"/>
            <w:right w:val="none" w:sz="0" w:space="0" w:color="auto"/>
          </w:divBdr>
          <w:divsChild>
            <w:div w:id="733892043">
              <w:marLeft w:val="0"/>
              <w:marRight w:val="0"/>
              <w:marTop w:val="0"/>
              <w:marBottom w:val="0"/>
              <w:divBdr>
                <w:top w:val="none" w:sz="0" w:space="0" w:color="auto"/>
                <w:left w:val="none" w:sz="0" w:space="0" w:color="auto"/>
                <w:bottom w:val="none" w:sz="0" w:space="0" w:color="auto"/>
                <w:right w:val="none" w:sz="0" w:space="0" w:color="auto"/>
              </w:divBdr>
              <w:divsChild>
                <w:div w:id="5745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20882">
      <w:bodyDiv w:val="1"/>
      <w:marLeft w:val="0"/>
      <w:marRight w:val="0"/>
      <w:marTop w:val="0"/>
      <w:marBottom w:val="0"/>
      <w:divBdr>
        <w:top w:val="none" w:sz="0" w:space="0" w:color="auto"/>
        <w:left w:val="none" w:sz="0" w:space="0" w:color="auto"/>
        <w:bottom w:val="none" w:sz="0" w:space="0" w:color="auto"/>
        <w:right w:val="none" w:sz="0" w:space="0" w:color="auto"/>
      </w:divBdr>
      <w:divsChild>
        <w:div w:id="1887912649">
          <w:marLeft w:val="0"/>
          <w:marRight w:val="0"/>
          <w:marTop w:val="0"/>
          <w:marBottom w:val="0"/>
          <w:divBdr>
            <w:top w:val="none" w:sz="0" w:space="0" w:color="auto"/>
            <w:left w:val="none" w:sz="0" w:space="0" w:color="auto"/>
            <w:bottom w:val="none" w:sz="0" w:space="0" w:color="auto"/>
            <w:right w:val="none" w:sz="0" w:space="0" w:color="auto"/>
          </w:divBdr>
          <w:divsChild>
            <w:div w:id="753015579">
              <w:marLeft w:val="0"/>
              <w:marRight w:val="0"/>
              <w:marTop w:val="0"/>
              <w:marBottom w:val="0"/>
              <w:divBdr>
                <w:top w:val="none" w:sz="0" w:space="0" w:color="auto"/>
                <w:left w:val="none" w:sz="0" w:space="0" w:color="auto"/>
                <w:bottom w:val="none" w:sz="0" w:space="0" w:color="auto"/>
                <w:right w:val="none" w:sz="0" w:space="0" w:color="auto"/>
              </w:divBdr>
              <w:divsChild>
                <w:div w:id="1874030477">
                  <w:marLeft w:val="0"/>
                  <w:marRight w:val="0"/>
                  <w:marTop w:val="0"/>
                  <w:marBottom w:val="0"/>
                  <w:divBdr>
                    <w:top w:val="none" w:sz="0" w:space="0" w:color="auto"/>
                    <w:left w:val="none" w:sz="0" w:space="0" w:color="auto"/>
                    <w:bottom w:val="none" w:sz="0" w:space="0" w:color="auto"/>
                    <w:right w:val="none" w:sz="0" w:space="0" w:color="auto"/>
                  </w:divBdr>
                  <w:divsChild>
                    <w:div w:id="20104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42472">
      <w:bodyDiv w:val="1"/>
      <w:marLeft w:val="0"/>
      <w:marRight w:val="0"/>
      <w:marTop w:val="0"/>
      <w:marBottom w:val="0"/>
      <w:divBdr>
        <w:top w:val="none" w:sz="0" w:space="0" w:color="auto"/>
        <w:left w:val="none" w:sz="0" w:space="0" w:color="auto"/>
        <w:bottom w:val="none" w:sz="0" w:space="0" w:color="auto"/>
        <w:right w:val="none" w:sz="0" w:space="0" w:color="auto"/>
      </w:divBdr>
      <w:divsChild>
        <w:div w:id="239367411">
          <w:marLeft w:val="0"/>
          <w:marRight w:val="0"/>
          <w:marTop w:val="0"/>
          <w:marBottom w:val="0"/>
          <w:divBdr>
            <w:top w:val="none" w:sz="0" w:space="0" w:color="auto"/>
            <w:left w:val="none" w:sz="0" w:space="0" w:color="auto"/>
            <w:bottom w:val="none" w:sz="0" w:space="0" w:color="auto"/>
            <w:right w:val="none" w:sz="0" w:space="0" w:color="auto"/>
          </w:divBdr>
          <w:divsChild>
            <w:div w:id="906107060">
              <w:marLeft w:val="0"/>
              <w:marRight w:val="0"/>
              <w:marTop w:val="0"/>
              <w:marBottom w:val="0"/>
              <w:divBdr>
                <w:top w:val="none" w:sz="0" w:space="0" w:color="auto"/>
                <w:left w:val="none" w:sz="0" w:space="0" w:color="auto"/>
                <w:bottom w:val="none" w:sz="0" w:space="0" w:color="auto"/>
                <w:right w:val="none" w:sz="0" w:space="0" w:color="auto"/>
              </w:divBdr>
              <w:divsChild>
                <w:div w:id="1717199917">
                  <w:marLeft w:val="0"/>
                  <w:marRight w:val="0"/>
                  <w:marTop w:val="0"/>
                  <w:marBottom w:val="0"/>
                  <w:divBdr>
                    <w:top w:val="none" w:sz="0" w:space="0" w:color="auto"/>
                    <w:left w:val="none" w:sz="0" w:space="0" w:color="auto"/>
                    <w:bottom w:val="none" w:sz="0" w:space="0" w:color="auto"/>
                    <w:right w:val="none" w:sz="0" w:space="0" w:color="auto"/>
                  </w:divBdr>
                  <w:divsChild>
                    <w:div w:id="1005128637">
                      <w:marLeft w:val="0"/>
                      <w:marRight w:val="0"/>
                      <w:marTop w:val="0"/>
                      <w:marBottom w:val="0"/>
                      <w:divBdr>
                        <w:top w:val="none" w:sz="0" w:space="0" w:color="auto"/>
                        <w:left w:val="none" w:sz="0" w:space="0" w:color="auto"/>
                        <w:bottom w:val="none" w:sz="0" w:space="0" w:color="auto"/>
                        <w:right w:val="none" w:sz="0" w:space="0" w:color="auto"/>
                      </w:divBdr>
                      <w:divsChild>
                        <w:div w:id="378168232">
                          <w:marLeft w:val="0"/>
                          <w:marRight w:val="0"/>
                          <w:marTop w:val="0"/>
                          <w:marBottom w:val="0"/>
                          <w:divBdr>
                            <w:top w:val="none" w:sz="0" w:space="0" w:color="auto"/>
                            <w:left w:val="none" w:sz="0" w:space="0" w:color="auto"/>
                            <w:bottom w:val="none" w:sz="0" w:space="0" w:color="auto"/>
                            <w:right w:val="none" w:sz="0" w:space="0" w:color="auto"/>
                          </w:divBdr>
                          <w:divsChild>
                            <w:div w:id="773282412">
                              <w:marLeft w:val="0"/>
                              <w:marRight w:val="0"/>
                              <w:marTop w:val="0"/>
                              <w:marBottom w:val="0"/>
                              <w:divBdr>
                                <w:top w:val="none" w:sz="0" w:space="0" w:color="auto"/>
                                <w:left w:val="none" w:sz="0" w:space="0" w:color="auto"/>
                                <w:bottom w:val="none" w:sz="0" w:space="0" w:color="auto"/>
                                <w:right w:val="none" w:sz="0" w:space="0" w:color="auto"/>
                              </w:divBdr>
                              <w:divsChild>
                                <w:div w:id="724644155">
                                  <w:marLeft w:val="0"/>
                                  <w:marRight w:val="0"/>
                                  <w:marTop w:val="0"/>
                                  <w:marBottom w:val="0"/>
                                  <w:divBdr>
                                    <w:top w:val="none" w:sz="0" w:space="0" w:color="auto"/>
                                    <w:left w:val="none" w:sz="0" w:space="0" w:color="auto"/>
                                    <w:bottom w:val="none" w:sz="0" w:space="0" w:color="auto"/>
                                    <w:right w:val="none" w:sz="0" w:space="0" w:color="auto"/>
                                  </w:divBdr>
                                  <w:divsChild>
                                    <w:div w:id="19347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961013">
              <w:marLeft w:val="0"/>
              <w:marRight w:val="0"/>
              <w:marTop w:val="0"/>
              <w:marBottom w:val="0"/>
              <w:divBdr>
                <w:top w:val="none" w:sz="0" w:space="0" w:color="auto"/>
                <w:left w:val="none" w:sz="0" w:space="0" w:color="auto"/>
                <w:bottom w:val="none" w:sz="0" w:space="0" w:color="auto"/>
                <w:right w:val="none" w:sz="0" w:space="0" w:color="auto"/>
              </w:divBdr>
              <w:divsChild>
                <w:div w:id="529223459">
                  <w:marLeft w:val="0"/>
                  <w:marRight w:val="0"/>
                  <w:marTop w:val="0"/>
                  <w:marBottom w:val="0"/>
                  <w:divBdr>
                    <w:top w:val="none" w:sz="0" w:space="0" w:color="auto"/>
                    <w:left w:val="none" w:sz="0" w:space="0" w:color="auto"/>
                    <w:bottom w:val="none" w:sz="0" w:space="0" w:color="auto"/>
                    <w:right w:val="none" w:sz="0" w:space="0" w:color="auto"/>
                  </w:divBdr>
                  <w:divsChild>
                    <w:div w:id="1818499077">
                      <w:marLeft w:val="0"/>
                      <w:marRight w:val="0"/>
                      <w:marTop w:val="0"/>
                      <w:marBottom w:val="0"/>
                      <w:divBdr>
                        <w:top w:val="none" w:sz="0" w:space="0" w:color="auto"/>
                        <w:left w:val="none" w:sz="0" w:space="0" w:color="auto"/>
                        <w:bottom w:val="none" w:sz="0" w:space="0" w:color="auto"/>
                        <w:right w:val="none" w:sz="0" w:space="0" w:color="auto"/>
                      </w:divBdr>
                      <w:divsChild>
                        <w:div w:id="225990431">
                          <w:marLeft w:val="0"/>
                          <w:marRight w:val="0"/>
                          <w:marTop w:val="0"/>
                          <w:marBottom w:val="0"/>
                          <w:divBdr>
                            <w:top w:val="none" w:sz="0" w:space="0" w:color="auto"/>
                            <w:left w:val="none" w:sz="0" w:space="0" w:color="auto"/>
                            <w:bottom w:val="none" w:sz="0" w:space="0" w:color="auto"/>
                            <w:right w:val="none" w:sz="0" w:space="0" w:color="auto"/>
                          </w:divBdr>
                          <w:divsChild>
                            <w:div w:id="727265697">
                              <w:marLeft w:val="0"/>
                              <w:marRight w:val="0"/>
                              <w:marTop w:val="0"/>
                              <w:marBottom w:val="0"/>
                              <w:divBdr>
                                <w:top w:val="none" w:sz="0" w:space="0" w:color="auto"/>
                                <w:left w:val="none" w:sz="0" w:space="0" w:color="auto"/>
                                <w:bottom w:val="none" w:sz="0" w:space="0" w:color="auto"/>
                                <w:right w:val="none" w:sz="0" w:space="0" w:color="auto"/>
                              </w:divBdr>
                              <w:divsChild>
                                <w:div w:id="74283484">
                                  <w:marLeft w:val="0"/>
                                  <w:marRight w:val="0"/>
                                  <w:marTop w:val="0"/>
                                  <w:marBottom w:val="0"/>
                                  <w:divBdr>
                                    <w:top w:val="none" w:sz="0" w:space="0" w:color="auto"/>
                                    <w:left w:val="none" w:sz="0" w:space="0" w:color="auto"/>
                                    <w:bottom w:val="none" w:sz="0" w:space="0" w:color="auto"/>
                                    <w:right w:val="none" w:sz="0" w:space="0" w:color="auto"/>
                                  </w:divBdr>
                                  <w:divsChild>
                                    <w:div w:id="2041590043">
                                      <w:marLeft w:val="0"/>
                                      <w:marRight w:val="0"/>
                                      <w:marTop w:val="0"/>
                                      <w:marBottom w:val="0"/>
                                      <w:divBdr>
                                        <w:top w:val="none" w:sz="0" w:space="0" w:color="auto"/>
                                        <w:left w:val="none" w:sz="0" w:space="0" w:color="auto"/>
                                        <w:bottom w:val="none" w:sz="0" w:space="0" w:color="auto"/>
                                        <w:right w:val="none" w:sz="0" w:space="0" w:color="auto"/>
                                      </w:divBdr>
                                      <w:divsChild>
                                        <w:div w:id="1229461395">
                                          <w:marLeft w:val="0"/>
                                          <w:marRight w:val="0"/>
                                          <w:marTop w:val="0"/>
                                          <w:marBottom w:val="0"/>
                                          <w:divBdr>
                                            <w:top w:val="none" w:sz="0" w:space="0" w:color="auto"/>
                                            <w:left w:val="none" w:sz="0" w:space="0" w:color="auto"/>
                                            <w:bottom w:val="none" w:sz="0" w:space="0" w:color="auto"/>
                                            <w:right w:val="none" w:sz="0" w:space="0" w:color="auto"/>
                                          </w:divBdr>
                                        </w:div>
                                      </w:divsChild>
                                    </w:div>
                                    <w:div w:id="1182431671">
                                      <w:marLeft w:val="0"/>
                                      <w:marRight w:val="0"/>
                                      <w:marTop w:val="0"/>
                                      <w:marBottom w:val="0"/>
                                      <w:divBdr>
                                        <w:top w:val="none" w:sz="0" w:space="0" w:color="auto"/>
                                        <w:left w:val="none" w:sz="0" w:space="0" w:color="auto"/>
                                        <w:bottom w:val="none" w:sz="0" w:space="0" w:color="auto"/>
                                        <w:right w:val="none" w:sz="0" w:space="0" w:color="auto"/>
                                      </w:divBdr>
                                      <w:divsChild>
                                        <w:div w:id="696126577">
                                          <w:marLeft w:val="0"/>
                                          <w:marRight w:val="0"/>
                                          <w:marTop w:val="0"/>
                                          <w:marBottom w:val="0"/>
                                          <w:divBdr>
                                            <w:top w:val="none" w:sz="0" w:space="0" w:color="auto"/>
                                            <w:left w:val="none" w:sz="0" w:space="0" w:color="auto"/>
                                            <w:bottom w:val="none" w:sz="0" w:space="0" w:color="auto"/>
                                            <w:right w:val="none" w:sz="0" w:space="0" w:color="auto"/>
                                          </w:divBdr>
                                          <w:divsChild>
                                            <w:div w:id="826170235">
                                              <w:marLeft w:val="0"/>
                                              <w:marRight w:val="0"/>
                                              <w:marTop w:val="0"/>
                                              <w:marBottom w:val="0"/>
                                              <w:divBdr>
                                                <w:top w:val="none" w:sz="0" w:space="0" w:color="auto"/>
                                                <w:left w:val="none" w:sz="0" w:space="0" w:color="auto"/>
                                                <w:bottom w:val="none" w:sz="0" w:space="0" w:color="auto"/>
                                                <w:right w:val="none" w:sz="0" w:space="0" w:color="auto"/>
                                              </w:divBdr>
                                              <w:divsChild>
                                                <w:div w:id="2132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98866">
                      <w:marLeft w:val="0"/>
                      <w:marRight w:val="0"/>
                      <w:marTop w:val="0"/>
                      <w:marBottom w:val="0"/>
                      <w:divBdr>
                        <w:top w:val="none" w:sz="0" w:space="0" w:color="auto"/>
                        <w:left w:val="none" w:sz="0" w:space="0" w:color="auto"/>
                        <w:bottom w:val="none" w:sz="0" w:space="0" w:color="auto"/>
                        <w:right w:val="none" w:sz="0" w:space="0" w:color="auto"/>
                      </w:divBdr>
                      <w:divsChild>
                        <w:div w:id="381095969">
                          <w:marLeft w:val="0"/>
                          <w:marRight w:val="0"/>
                          <w:marTop w:val="0"/>
                          <w:marBottom w:val="0"/>
                          <w:divBdr>
                            <w:top w:val="none" w:sz="0" w:space="0" w:color="auto"/>
                            <w:left w:val="none" w:sz="0" w:space="0" w:color="auto"/>
                            <w:bottom w:val="none" w:sz="0" w:space="0" w:color="auto"/>
                            <w:right w:val="none" w:sz="0" w:space="0" w:color="auto"/>
                          </w:divBdr>
                          <w:divsChild>
                            <w:div w:id="945111999">
                              <w:marLeft w:val="0"/>
                              <w:marRight w:val="0"/>
                              <w:marTop w:val="0"/>
                              <w:marBottom w:val="0"/>
                              <w:divBdr>
                                <w:top w:val="none" w:sz="0" w:space="0" w:color="auto"/>
                                <w:left w:val="none" w:sz="0" w:space="0" w:color="auto"/>
                                <w:bottom w:val="none" w:sz="0" w:space="0" w:color="auto"/>
                                <w:right w:val="none" w:sz="0" w:space="0" w:color="auto"/>
                              </w:divBdr>
                              <w:divsChild>
                                <w:div w:id="959729354">
                                  <w:marLeft w:val="0"/>
                                  <w:marRight w:val="0"/>
                                  <w:marTop w:val="0"/>
                                  <w:marBottom w:val="0"/>
                                  <w:divBdr>
                                    <w:top w:val="none" w:sz="0" w:space="0" w:color="auto"/>
                                    <w:left w:val="none" w:sz="0" w:space="0" w:color="auto"/>
                                    <w:bottom w:val="none" w:sz="0" w:space="0" w:color="auto"/>
                                    <w:right w:val="none" w:sz="0" w:space="0" w:color="auto"/>
                                  </w:divBdr>
                                  <w:divsChild>
                                    <w:div w:id="579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739963">
                          <w:marLeft w:val="0"/>
                          <w:marRight w:val="0"/>
                          <w:marTop w:val="0"/>
                          <w:marBottom w:val="0"/>
                          <w:divBdr>
                            <w:top w:val="none" w:sz="0" w:space="0" w:color="auto"/>
                            <w:left w:val="none" w:sz="0" w:space="0" w:color="auto"/>
                            <w:bottom w:val="none" w:sz="0" w:space="0" w:color="auto"/>
                            <w:right w:val="none" w:sz="0" w:space="0" w:color="auto"/>
                          </w:divBdr>
                          <w:divsChild>
                            <w:div w:id="424347738">
                              <w:marLeft w:val="0"/>
                              <w:marRight w:val="0"/>
                              <w:marTop w:val="0"/>
                              <w:marBottom w:val="0"/>
                              <w:divBdr>
                                <w:top w:val="none" w:sz="0" w:space="0" w:color="auto"/>
                                <w:left w:val="none" w:sz="0" w:space="0" w:color="auto"/>
                                <w:bottom w:val="none" w:sz="0" w:space="0" w:color="auto"/>
                                <w:right w:val="none" w:sz="0" w:space="0" w:color="auto"/>
                              </w:divBdr>
                              <w:divsChild>
                                <w:div w:id="11209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868482">
              <w:marLeft w:val="0"/>
              <w:marRight w:val="0"/>
              <w:marTop w:val="0"/>
              <w:marBottom w:val="0"/>
              <w:divBdr>
                <w:top w:val="none" w:sz="0" w:space="0" w:color="auto"/>
                <w:left w:val="none" w:sz="0" w:space="0" w:color="auto"/>
                <w:bottom w:val="none" w:sz="0" w:space="0" w:color="auto"/>
                <w:right w:val="none" w:sz="0" w:space="0" w:color="auto"/>
              </w:divBdr>
              <w:divsChild>
                <w:div w:id="1745838726">
                  <w:marLeft w:val="0"/>
                  <w:marRight w:val="0"/>
                  <w:marTop w:val="0"/>
                  <w:marBottom w:val="0"/>
                  <w:divBdr>
                    <w:top w:val="none" w:sz="0" w:space="0" w:color="auto"/>
                    <w:left w:val="none" w:sz="0" w:space="0" w:color="auto"/>
                    <w:bottom w:val="none" w:sz="0" w:space="0" w:color="auto"/>
                    <w:right w:val="none" w:sz="0" w:space="0" w:color="auto"/>
                  </w:divBdr>
                  <w:divsChild>
                    <w:div w:id="115762276">
                      <w:marLeft w:val="0"/>
                      <w:marRight w:val="0"/>
                      <w:marTop w:val="0"/>
                      <w:marBottom w:val="0"/>
                      <w:divBdr>
                        <w:top w:val="none" w:sz="0" w:space="0" w:color="auto"/>
                        <w:left w:val="none" w:sz="0" w:space="0" w:color="auto"/>
                        <w:bottom w:val="none" w:sz="0" w:space="0" w:color="auto"/>
                        <w:right w:val="none" w:sz="0" w:space="0" w:color="auto"/>
                      </w:divBdr>
                      <w:divsChild>
                        <w:div w:id="1735155292">
                          <w:marLeft w:val="0"/>
                          <w:marRight w:val="0"/>
                          <w:marTop w:val="0"/>
                          <w:marBottom w:val="0"/>
                          <w:divBdr>
                            <w:top w:val="none" w:sz="0" w:space="0" w:color="auto"/>
                            <w:left w:val="none" w:sz="0" w:space="0" w:color="auto"/>
                            <w:bottom w:val="none" w:sz="0" w:space="0" w:color="auto"/>
                            <w:right w:val="none" w:sz="0" w:space="0" w:color="auto"/>
                          </w:divBdr>
                          <w:divsChild>
                            <w:div w:id="1444301074">
                              <w:marLeft w:val="0"/>
                              <w:marRight w:val="0"/>
                              <w:marTop w:val="0"/>
                              <w:marBottom w:val="0"/>
                              <w:divBdr>
                                <w:top w:val="none" w:sz="0" w:space="0" w:color="auto"/>
                                <w:left w:val="none" w:sz="0" w:space="0" w:color="auto"/>
                                <w:bottom w:val="none" w:sz="0" w:space="0" w:color="auto"/>
                                <w:right w:val="none" w:sz="0" w:space="0" w:color="auto"/>
                              </w:divBdr>
                              <w:divsChild>
                                <w:div w:id="682588424">
                                  <w:marLeft w:val="0"/>
                                  <w:marRight w:val="0"/>
                                  <w:marTop w:val="0"/>
                                  <w:marBottom w:val="0"/>
                                  <w:divBdr>
                                    <w:top w:val="none" w:sz="0" w:space="0" w:color="auto"/>
                                    <w:left w:val="none" w:sz="0" w:space="0" w:color="auto"/>
                                    <w:bottom w:val="none" w:sz="0" w:space="0" w:color="auto"/>
                                    <w:right w:val="none" w:sz="0" w:space="0" w:color="auto"/>
                                  </w:divBdr>
                                  <w:divsChild>
                                    <w:div w:id="1226063819">
                                      <w:marLeft w:val="0"/>
                                      <w:marRight w:val="0"/>
                                      <w:marTop w:val="0"/>
                                      <w:marBottom w:val="0"/>
                                      <w:divBdr>
                                        <w:top w:val="none" w:sz="0" w:space="0" w:color="auto"/>
                                        <w:left w:val="none" w:sz="0" w:space="0" w:color="auto"/>
                                        <w:bottom w:val="none" w:sz="0" w:space="0" w:color="auto"/>
                                        <w:right w:val="none" w:sz="0" w:space="0" w:color="auto"/>
                                      </w:divBdr>
                                      <w:divsChild>
                                        <w:div w:id="1726219453">
                                          <w:marLeft w:val="0"/>
                                          <w:marRight w:val="0"/>
                                          <w:marTop w:val="0"/>
                                          <w:marBottom w:val="0"/>
                                          <w:divBdr>
                                            <w:top w:val="none" w:sz="0" w:space="0" w:color="auto"/>
                                            <w:left w:val="none" w:sz="0" w:space="0" w:color="auto"/>
                                            <w:bottom w:val="none" w:sz="0" w:space="0" w:color="auto"/>
                                            <w:right w:val="none" w:sz="0" w:space="0" w:color="auto"/>
                                          </w:divBdr>
                                        </w:div>
                                      </w:divsChild>
                                    </w:div>
                                    <w:div w:id="1271356311">
                                      <w:marLeft w:val="0"/>
                                      <w:marRight w:val="0"/>
                                      <w:marTop w:val="0"/>
                                      <w:marBottom w:val="0"/>
                                      <w:divBdr>
                                        <w:top w:val="none" w:sz="0" w:space="0" w:color="auto"/>
                                        <w:left w:val="none" w:sz="0" w:space="0" w:color="auto"/>
                                        <w:bottom w:val="none" w:sz="0" w:space="0" w:color="auto"/>
                                        <w:right w:val="none" w:sz="0" w:space="0" w:color="auto"/>
                                      </w:divBdr>
                                      <w:divsChild>
                                        <w:div w:id="573248672">
                                          <w:marLeft w:val="0"/>
                                          <w:marRight w:val="0"/>
                                          <w:marTop w:val="0"/>
                                          <w:marBottom w:val="0"/>
                                          <w:divBdr>
                                            <w:top w:val="none" w:sz="0" w:space="0" w:color="auto"/>
                                            <w:left w:val="none" w:sz="0" w:space="0" w:color="auto"/>
                                            <w:bottom w:val="none" w:sz="0" w:space="0" w:color="auto"/>
                                            <w:right w:val="none" w:sz="0" w:space="0" w:color="auto"/>
                                          </w:divBdr>
                                        </w:div>
                                      </w:divsChild>
                                    </w:div>
                                    <w:div w:id="656302715">
                                      <w:marLeft w:val="0"/>
                                      <w:marRight w:val="0"/>
                                      <w:marTop w:val="0"/>
                                      <w:marBottom w:val="0"/>
                                      <w:divBdr>
                                        <w:top w:val="none" w:sz="0" w:space="0" w:color="auto"/>
                                        <w:left w:val="none" w:sz="0" w:space="0" w:color="auto"/>
                                        <w:bottom w:val="none" w:sz="0" w:space="0" w:color="auto"/>
                                        <w:right w:val="none" w:sz="0" w:space="0" w:color="auto"/>
                                      </w:divBdr>
                                      <w:divsChild>
                                        <w:div w:id="15148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417375">
              <w:marLeft w:val="0"/>
              <w:marRight w:val="0"/>
              <w:marTop w:val="0"/>
              <w:marBottom w:val="0"/>
              <w:divBdr>
                <w:top w:val="none" w:sz="0" w:space="0" w:color="auto"/>
                <w:left w:val="none" w:sz="0" w:space="0" w:color="auto"/>
                <w:bottom w:val="none" w:sz="0" w:space="0" w:color="auto"/>
                <w:right w:val="none" w:sz="0" w:space="0" w:color="auto"/>
              </w:divBdr>
              <w:divsChild>
                <w:div w:id="1641572467">
                  <w:marLeft w:val="0"/>
                  <w:marRight w:val="0"/>
                  <w:marTop w:val="0"/>
                  <w:marBottom w:val="0"/>
                  <w:divBdr>
                    <w:top w:val="none" w:sz="0" w:space="0" w:color="auto"/>
                    <w:left w:val="none" w:sz="0" w:space="0" w:color="auto"/>
                    <w:bottom w:val="none" w:sz="0" w:space="0" w:color="auto"/>
                    <w:right w:val="none" w:sz="0" w:space="0" w:color="auto"/>
                  </w:divBdr>
                  <w:divsChild>
                    <w:div w:id="17492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759883">
      <w:bodyDiv w:val="1"/>
      <w:marLeft w:val="0"/>
      <w:marRight w:val="0"/>
      <w:marTop w:val="0"/>
      <w:marBottom w:val="0"/>
      <w:divBdr>
        <w:top w:val="none" w:sz="0" w:space="0" w:color="auto"/>
        <w:left w:val="none" w:sz="0" w:space="0" w:color="auto"/>
        <w:bottom w:val="none" w:sz="0" w:space="0" w:color="auto"/>
        <w:right w:val="none" w:sz="0" w:space="0" w:color="auto"/>
      </w:divBdr>
    </w:div>
    <w:div w:id="869146552">
      <w:bodyDiv w:val="1"/>
      <w:marLeft w:val="0"/>
      <w:marRight w:val="0"/>
      <w:marTop w:val="0"/>
      <w:marBottom w:val="0"/>
      <w:divBdr>
        <w:top w:val="none" w:sz="0" w:space="0" w:color="auto"/>
        <w:left w:val="none" w:sz="0" w:space="0" w:color="auto"/>
        <w:bottom w:val="none" w:sz="0" w:space="0" w:color="auto"/>
        <w:right w:val="none" w:sz="0" w:space="0" w:color="auto"/>
      </w:divBdr>
      <w:divsChild>
        <w:div w:id="1101802650">
          <w:marLeft w:val="0"/>
          <w:marRight w:val="0"/>
          <w:marTop w:val="0"/>
          <w:marBottom w:val="0"/>
          <w:divBdr>
            <w:top w:val="none" w:sz="0" w:space="0" w:color="auto"/>
            <w:left w:val="none" w:sz="0" w:space="0" w:color="auto"/>
            <w:bottom w:val="none" w:sz="0" w:space="0" w:color="auto"/>
            <w:right w:val="none" w:sz="0" w:space="0" w:color="auto"/>
          </w:divBdr>
          <w:divsChild>
            <w:div w:id="1256396843">
              <w:marLeft w:val="0"/>
              <w:marRight w:val="0"/>
              <w:marTop w:val="0"/>
              <w:marBottom w:val="0"/>
              <w:divBdr>
                <w:top w:val="none" w:sz="0" w:space="0" w:color="auto"/>
                <w:left w:val="none" w:sz="0" w:space="0" w:color="auto"/>
                <w:bottom w:val="none" w:sz="0" w:space="0" w:color="auto"/>
                <w:right w:val="none" w:sz="0" w:space="0" w:color="auto"/>
              </w:divBdr>
              <w:divsChild>
                <w:div w:id="1724284592">
                  <w:marLeft w:val="0"/>
                  <w:marRight w:val="0"/>
                  <w:marTop w:val="0"/>
                  <w:marBottom w:val="0"/>
                  <w:divBdr>
                    <w:top w:val="none" w:sz="0" w:space="0" w:color="auto"/>
                    <w:left w:val="none" w:sz="0" w:space="0" w:color="auto"/>
                    <w:bottom w:val="none" w:sz="0" w:space="0" w:color="auto"/>
                    <w:right w:val="none" w:sz="0" w:space="0" w:color="auto"/>
                  </w:divBdr>
                  <w:divsChild>
                    <w:div w:id="8317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46319">
      <w:bodyDiv w:val="1"/>
      <w:marLeft w:val="0"/>
      <w:marRight w:val="0"/>
      <w:marTop w:val="0"/>
      <w:marBottom w:val="0"/>
      <w:divBdr>
        <w:top w:val="none" w:sz="0" w:space="0" w:color="auto"/>
        <w:left w:val="none" w:sz="0" w:space="0" w:color="auto"/>
        <w:bottom w:val="none" w:sz="0" w:space="0" w:color="auto"/>
        <w:right w:val="none" w:sz="0" w:space="0" w:color="auto"/>
      </w:divBdr>
    </w:div>
    <w:div w:id="873272676">
      <w:bodyDiv w:val="1"/>
      <w:marLeft w:val="0"/>
      <w:marRight w:val="0"/>
      <w:marTop w:val="0"/>
      <w:marBottom w:val="0"/>
      <w:divBdr>
        <w:top w:val="none" w:sz="0" w:space="0" w:color="auto"/>
        <w:left w:val="none" w:sz="0" w:space="0" w:color="auto"/>
        <w:bottom w:val="none" w:sz="0" w:space="0" w:color="auto"/>
        <w:right w:val="none" w:sz="0" w:space="0" w:color="auto"/>
      </w:divBdr>
      <w:divsChild>
        <w:div w:id="1118641979">
          <w:marLeft w:val="0"/>
          <w:marRight w:val="0"/>
          <w:marTop w:val="0"/>
          <w:marBottom w:val="0"/>
          <w:divBdr>
            <w:top w:val="none" w:sz="0" w:space="0" w:color="auto"/>
            <w:left w:val="none" w:sz="0" w:space="0" w:color="auto"/>
            <w:bottom w:val="none" w:sz="0" w:space="0" w:color="auto"/>
            <w:right w:val="none" w:sz="0" w:space="0" w:color="auto"/>
          </w:divBdr>
          <w:divsChild>
            <w:div w:id="652831553">
              <w:marLeft w:val="0"/>
              <w:marRight w:val="0"/>
              <w:marTop w:val="0"/>
              <w:marBottom w:val="0"/>
              <w:divBdr>
                <w:top w:val="none" w:sz="0" w:space="0" w:color="auto"/>
                <w:left w:val="none" w:sz="0" w:space="0" w:color="auto"/>
                <w:bottom w:val="none" w:sz="0" w:space="0" w:color="auto"/>
                <w:right w:val="none" w:sz="0" w:space="0" w:color="auto"/>
              </w:divBdr>
              <w:divsChild>
                <w:div w:id="1223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6509">
      <w:bodyDiv w:val="1"/>
      <w:marLeft w:val="0"/>
      <w:marRight w:val="0"/>
      <w:marTop w:val="0"/>
      <w:marBottom w:val="0"/>
      <w:divBdr>
        <w:top w:val="none" w:sz="0" w:space="0" w:color="auto"/>
        <w:left w:val="none" w:sz="0" w:space="0" w:color="auto"/>
        <w:bottom w:val="none" w:sz="0" w:space="0" w:color="auto"/>
        <w:right w:val="none" w:sz="0" w:space="0" w:color="auto"/>
      </w:divBdr>
    </w:div>
    <w:div w:id="878008591">
      <w:bodyDiv w:val="1"/>
      <w:marLeft w:val="0"/>
      <w:marRight w:val="0"/>
      <w:marTop w:val="0"/>
      <w:marBottom w:val="0"/>
      <w:divBdr>
        <w:top w:val="none" w:sz="0" w:space="0" w:color="auto"/>
        <w:left w:val="none" w:sz="0" w:space="0" w:color="auto"/>
        <w:bottom w:val="none" w:sz="0" w:space="0" w:color="auto"/>
        <w:right w:val="none" w:sz="0" w:space="0" w:color="auto"/>
      </w:divBdr>
    </w:div>
    <w:div w:id="880090854">
      <w:bodyDiv w:val="1"/>
      <w:marLeft w:val="0"/>
      <w:marRight w:val="0"/>
      <w:marTop w:val="0"/>
      <w:marBottom w:val="0"/>
      <w:divBdr>
        <w:top w:val="none" w:sz="0" w:space="0" w:color="auto"/>
        <w:left w:val="none" w:sz="0" w:space="0" w:color="auto"/>
        <w:bottom w:val="none" w:sz="0" w:space="0" w:color="auto"/>
        <w:right w:val="none" w:sz="0" w:space="0" w:color="auto"/>
      </w:divBdr>
    </w:div>
    <w:div w:id="880478856">
      <w:bodyDiv w:val="1"/>
      <w:marLeft w:val="0"/>
      <w:marRight w:val="0"/>
      <w:marTop w:val="0"/>
      <w:marBottom w:val="0"/>
      <w:divBdr>
        <w:top w:val="none" w:sz="0" w:space="0" w:color="auto"/>
        <w:left w:val="none" w:sz="0" w:space="0" w:color="auto"/>
        <w:bottom w:val="none" w:sz="0" w:space="0" w:color="auto"/>
        <w:right w:val="none" w:sz="0" w:space="0" w:color="auto"/>
      </w:divBdr>
    </w:div>
    <w:div w:id="881137888">
      <w:bodyDiv w:val="1"/>
      <w:marLeft w:val="0"/>
      <w:marRight w:val="0"/>
      <w:marTop w:val="0"/>
      <w:marBottom w:val="0"/>
      <w:divBdr>
        <w:top w:val="none" w:sz="0" w:space="0" w:color="auto"/>
        <w:left w:val="none" w:sz="0" w:space="0" w:color="auto"/>
        <w:bottom w:val="none" w:sz="0" w:space="0" w:color="auto"/>
        <w:right w:val="none" w:sz="0" w:space="0" w:color="auto"/>
      </w:divBdr>
    </w:div>
    <w:div w:id="882062973">
      <w:bodyDiv w:val="1"/>
      <w:marLeft w:val="0"/>
      <w:marRight w:val="0"/>
      <w:marTop w:val="0"/>
      <w:marBottom w:val="0"/>
      <w:divBdr>
        <w:top w:val="none" w:sz="0" w:space="0" w:color="auto"/>
        <w:left w:val="none" w:sz="0" w:space="0" w:color="auto"/>
        <w:bottom w:val="none" w:sz="0" w:space="0" w:color="auto"/>
        <w:right w:val="none" w:sz="0" w:space="0" w:color="auto"/>
      </w:divBdr>
    </w:div>
    <w:div w:id="882255529">
      <w:bodyDiv w:val="1"/>
      <w:marLeft w:val="0"/>
      <w:marRight w:val="0"/>
      <w:marTop w:val="0"/>
      <w:marBottom w:val="0"/>
      <w:divBdr>
        <w:top w:val="none" w:sz="0" w:space="0" w:color="auto"/>
        <w:left w:val="none" w:sz="0" w:space="0" w:color="auto"/>
        <w:bottom w:val="none" w:sz="0" w:space="0" w:color="auto"/>
        <w:right w:val="none" w:sz="0" w:space="0" w:color="auto"/>
      </w:divBdr>
      <w:divsChild>
        <w:div w:id="462428103">
          <w:marLeft w:val="0"/>
          <w:marRight w:val="0"/>
          <w:marTop w:val="0"/>
          <w:marBottom w:val="0"/>
          <w:divBdr>
            <w:top w:val="none" w:sz="0" w:space="0" w:color="auto"/>
            <w:left w:val="none" w:sz="0" w:space="0" w:color="auto"/>
            <w:bottom w:val="none" w:sz="0" w:space="0" w:color="auto"/>
            <w:right w:val="none" w:sz="0" w:space="0" w:color="auto"/>
          </w:divBdr>
          <w:divsChild>
            <w:div w:id="545533832">
              <w:marLeft w:val="0"/>
              <w:marRight w:val="0"/>
              <w:marTop w:val="0"/>
              <w:marBottom w:val="0"/>
              <w:divBdr>
                <w:top w:val="none" w:sz="0" w:space="0" w:color="auto"/>
                <w:left w:val="none" w:sz="0" w:space="0" w:color="auto"/>
                <w:bottom w:val="none" w:sz="0" w:space="0" w:color="auto"/>
                <w:right w:val="none" w:sz="0" w:space="0" w:color="auto"/>
              </w:divBdr>
              <w:divsChild>
                <w:div w:id="7658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5366">
      <w:bodyDiv w:val="1"/>
      <w:marLeft w:val="0"/>
      <w:marRight w:val="0"/>
      <w:marTop w:val="0"/>
      <w:marBottom w:val="0"/>
      <w:divBdr>
        <w:top w:val="none" w:sz="0" w:space="0" w:color="auto"/>
        <w:left w:val="none" w:sz="0" w:space="0" w:color="auto"/>
        <w:bottom w:val="none" w:sz="0" w:space="0" w:color="auto"/>
        <w:right w:val="none" w:sz="0" w:space="0" w:color="auto"/>
      </w:divBdr>
    </w:div>
    <w:div w:id="884490077">
      <w:bodyDiv w:val="1"/>
      <w:marLeft w:val="0"/>
      <w:marRight w:val="0"/>
      <w:marTop w:val="0"/>
      <w:marBottom w:val="0"/>
      <w:divBdr>
        <w:top w:val="none" w:sz="0" w:space="0" w:color="auto"/>
        <w:left w:val="none" w:sz="0" w:space="0" w:color="auto"/>
        <w:bottom w:val="none" w:sz="0" w:space="0" w:color="auto"/>
        <w:right w:val="none" w:sz="0" w:space="0" w:color="auto"/>
      </w:divBdr>
    </w:div>
    <w:div w:id="885334896">
      <w:bodyDiv w:val="1"/>
      <w:marLeft w:val="0"/>
      <w:marRight w:val="0"/>
      <w:marTop w:val="0"/>
      <w:marBottom w:val="0"/>
      <w:divBdr>
        <w:top w:val="none" w:sz="0" w:space="0" w:color="auto"/>
        <w:left w:val="none" w:sz="0" w:space="0" w:color="auto"/>
        <w:bottom w:val="none" w:sz="0" w:space="0" w:color="auto"/>
        <w:right w:val="none" w:sz="0" w:space="0" w:color="auto"/>
      </w:divBdr>
    </w:div>
    <w:div w:id="891772016">
      <w:bodyDiv w:val="1"/>
      <w:marLeft w:val="0"/>
      <w:marRight w:val="0"/>
      <w:marTop w:val="0"/>
      <w:marBottom w:val="0"/>
      <w:divBdr>
        <w:top w:val="none" w:sz="0" w:space="0" w:color="auto"/>
        <w:left w:val="none" w:sz="0" w:space="0" w:color="auto"/>
        <w:bottom w:val="none" w:sz="0" w:space="0" w:color="auto"/>
        <w:right w:val="none" w:sz="0" w:space="0" w:color="auto"/>
      </w:divBdr>
    </w:div>
    <w:div w:id="892812537">
      <w:bodyDiv w:val="1"/>
      <w:marLeft w:val="0"/>
      <w:marRight w:val="0"/>
      <w:marTop w:val="0"/>
      <w:marBottom w:val="0"/>
      <w:divBdr>
        <w:top w:val="none" w:sz="0" w:space="0" w:color="auto"/>
        <w:left w:val="none" w:sz="0" w:space="0" w:color="auto"/>
        <w:bottom w:val="none" w:sz="0" w:space="0" w:color="auto"/>
        <w:right w:val="none" w:sz="0" w:space="0" w:color="auto"/>
      </w:divBdr>
      <w:divsChild>
        <w:div w:id="958952574">
          <w:marLeft w:val="0"/>
          <w:marRight w:val="0"/>
          <w:marTop w:val="0"/>
          <w:marBottom w:val="0"/>
          <w:divBdr>
            <w:top w:val="none" w:sz="0" w:space="0" w:color="auto"/>
            <w:left w:val="none" w:sz="0" w:space="0" w:color="auto"/>
            <w:bottom w:val="none" w:sz="0" w:space="0" w:color="auto"/>
            <w:right w:val="none" w:sz="0" w:space="0" w:color="auto"/>
          </w:divBdr>
          <w:divsChild>
            <w:div w:id="552277435">
              <w:marLeft w:val="0"/>
              <w:marRight w:val="0"/>
              <w:marTop w:val="0"/>
              <w:marBottom w:val="0"/>
              <w:divBdr>
                <w:top w:val="none" w:sz="0" w:space="0" w:color="auto"/>
                <w:left w:val="none" w:sz="0" w:space="0" w:color="auto"/>
                <w:bottom w:val="none" w:sz="0" w:space="0" w:color="auto"/>
                <w:right w:val="none" w:sz="0" w:space="0" w:color="auto"/>
              </w:divBdr>
              <w:divsChild>
                <w:div w:id="17898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58111">
      <w:bodyDiv w:val="1"/>
      <w:marLeft w:val="0"/>
      <w:marRight w:val="0"/>
      <w:marTop w:val="0"/>
      <w:marBottom w:val="0"/>
      <w:divBdr>
        <w:top w:val="none" w:sz="0" w:space="0" w:color="auto"/>
        <w:left w:val="none" w:sz="0" w:space="0" w:color="auto"/>
        <w:bottom w:val="none" w:sz="0" w:space="0" w:color="auto"/>
        <w:right w:val="none" w:sz="0" w:space="0" w:color="auto"/>
      </w:divBdr>
    </w:div>
    <w:div w:id="897133407">
      <w:bodyDiv w:val="1"/>
      <w:marLeft w:val="0"/>
      <w:marRight w:val="0"/>
      <w:marTop w:val="0"/>
      <w:marBottom w:val="0"/>
      <w:divBdr>
        <w:top w:val="none" w:sz="0" w:space="0" w:color="auto"/>
        <w:left w:val="none" w:sz="0" w:space="0" w:color="auto"/>
        <w:bottom w:val="none" w:sz="0" w:space="0" w:color="auto"/>
        <w:right w:val="none" w:sz="0" w:space="0" w:color="auto"/>
      </w:divBdr>
    </w:div>
    <w:div w:id="897203404">
      <w:bodyDiv w:val="1"/>
      <w:marLeft w:val="0"/>
      <w:marRight w:val="0"/>
      <w:marTop w:val="0"/>
      <w:marBottom w:val="0"/>
      <w:divBdr>
        <w:top w:val="none" w:sz="0" w:space="0" w:color="auto"/>
        <w:left w:val="none" w:sz="0" w:space="0" w:color="auto"/>
        <w:bottom w:val="none" w:sz="0" w:space="0" w:color="auto"/>
        <w:right w:val="none" w:sz="0" w:space="0" w:color="auto"/>
      </w:divBdr>
      <w:divsChild>
        <w:div w:id="1997760450">
          <w:marLeft w:val="0"/>
          <w:marRight w:val="0"/>
          <w:marTop w:val="0"/>
          <w:marBottom w:val="0"/>
          <w:divBdr>
            <w:top w:val="none" w:sz="0" w:space="0" w:color="auto"/>
            <w:left w:val="none" w:sz="0" w:space="0" w:color="auto"/>
            <w:bottom w:val="none" w:sz="0" w:space="0" w:color="auto"/>
            <w:right w:val="none" w:sz="0" w:space="0" w:color="auto"/>
          </w:divBdr>
          <w:divsChild>
            <w:div w:id="548424399">
              <w:marLeft w:val="0"/>
              <w:marRight w:val="0"/>
              <w:marTop w:val="0"/>
              <w:marBottom w:val="0"/>
              <w:divBdr>
                <w:top w:val="none" w:sz="0" w:space="0" w:color="auto"/>
                <w:left w:val="none" w:sz="0" w:space="0" w:color="auto"/>
                <w:bottom w:val="none" w:sz="0" w:space="0" w:color="auto"/>
                <w:right w:val="none" w:sz="0" w:space="0" w:color="auto"/>
              </w:divBdr>
              <w:divsChild>
                <w:div w:id="7773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6241">
      <w:bodyDiv w:val="1"/>
      <w:marLeft w:val="0"/>
      <w:marRight w:val="0"/>
      <w:marTop w:val="0"/>
      <w:marBottom w:val="0"/>
      <w:divBdr>
        <w:top w:val="none" w:sz="0" w:space="0" w:color="auto"/>
        <w:left w:val="none" w:sz="0" w:space="0" w:color="auto"/>
        <w:bottom w:val="none" w:sz="0" w:space="0" w:color="auto"/>
        <w:right w:val="none" w:sz="0" w:space="0" w:color="auto"/>
      </w:divBdr>
    </w:div>
    <w:div w:id="906844787">
      <w:bodyDiv w:val="1"/>
      <w:marLeft w:val="0"/>
      <w:marRight w:val="0"/>
      <w:marTop w:val="0"/>
      <w:marBottom w:val="0"/>
      <w:divBdr>
        <w:top w:val="none" w:sz="0" w:space="0" w:color="auto"/>
        <w:left w:val="none" w:sz="0" w:space="0" w:color="auto"/>
        <w:bottom w:val="none" w:sz="0" w:space="0" w:color="auto"/>
        <w:right w:val="none" w:sz="0" w:space="0" w:color="auto"/>
      </w:divBdr>
    </w:div>
    <w:div w:id="907810982">
      <w:bodyDiv w:val="1"/>
      <w:marLeft w:val="0"/>
      <w:marRight w:val="0"/>
      <w:marTop w:val="0"/>
      <w:marBottom w:val="0"/>
      <w:divBdr>
        <w:top w:val="none" w:sz="0" w:space="0" w:color="auto"/>
        <w:left w:val="none" w:sz="0" w:space="0" w:color="auto"/>
        <w:bottom w:val="none" w:sz="0" w:space="0" w:color="auto"/>
        <w:right w:val="none" w:sz="0" w:space="0" w:color="auto"/>
      </w:divBdr>
    </w:div>
    <w:div w:id="910819455">
      <w:bodyDiv w:val="1"/>
      <w:marLeft w:val="0"/>
      <w:marRight w:val="0"/>
      <w:marTop w:val="0"/>
      <w:marBottom w:val="0"/>
      <w:divBdr>
        <w:top w:val="none" w:sz="0" w:space="0" w:color="auto"/>
        <w:left w:val="none" w:sz="0" w:space="0" w:color="auto"/>
        <w:bottom w:val="none" w:sz="0" w:space="0" w:color="auto"/>
        <w:right w:val="none" w:sz="0" w:space="0" w:color="auto"/>
      </w:divBdr>
    </w:div>
    <w:div w:id="911349301">
      <w:bodyDiv w:val="1"/>
      <w:marLeft w:val="0"/>
      <w:marRight w:val="0"/>
      <w:marTop w:val="0"/>
      <w:marBottom w:val="0"/>
      <w:divBdr>
        <w:top w:val="none" w:sz="0" w:space="0" w:color="auto"/>
        <w:left w:val="none" w:sz="0" w:space="0" w:color="auto"/>
        <w:bottom w:val="none" w:sz="0" w:space="0" w:color="auto"/>
        <w:right w:val="none" w:sz="0" w:space="0" w:color="auto"/>
      </w:divBdr>
    </w:div>
    <w:div w:id="913053698">
      <w:bodyDiv w:val="1"/>
      <w:marLeft w:val="0"/>
      <w:marRight w:val="0"/>
      <w:marTop w:val="0"/>
      <w:marBottom w:val="0"/>
      <w:divBdr>
        <w:top w:val="none" w:sz="0" w:space="0" w:color="auto"/>
        <w:left w:val="none" w:sz="0" w:space="0" w:color="auto"/>
        <w:bottom w:val="none" w:sz="0" w:space="0" w:color="auto"/>
        <w:right w:val="none" w:sz="0" w:space="0" w:color="auto"/>
      </w:divBdr>
      <w:divsChild>
        <w:div w:id="547685027">
          <w:marLeft w:val="0"/>
          <w:marRight w:val="0"/>
          <w:marTop w:val="0"/>
          <w:marBottom w:val="0"/>
          <w:divBdr>
            <w:top w:val="none" w:sz="0" w:space="0" w:color="auto"/>
            <w:left w:val="none" w:sz="0" w:space="0" w:color="auto"/>
            <w:bottom w:val="none" w:sz="0" w:space="0" w:color="auto"/>
            <w:right w:val="none" w:sz="0" w:space="0" w:color="auto"/>
          </w:divBdr>
          <w:divsChild>
            <w:div w:id="1545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0295">
      <w:bodyDiv w:val="1"/>
      <w:marLeft w:val="0"/>
      <w:marRight w:val="0"/>
      <w:marTop w:val="0"/>
      <w:marBottom w:val="0"/>
      <w:divBdr>
        <w:top w:val="none" w:sz="0" w:space="0" w:color="auto"/>
        <w:left w:val="none" w:sz="0" w:space="0" w:color="auto"/>
        <w:bottom w:val="none" w:sz="0" w:space="0" w:color="auto"/>
        <w:right w:val="none" w:sz="0" w:space="0" w:color="auto"/>
      </w:divBdr>
      <w:divsChild>
        <w:div w:id="1470660435">
          <w:marLeft w:val="0"/>
          <w:marRight w:val="0"/>
          <w:marTop w:val="0"/>
          <w:marBottom w:val="0"/>
          <w:divBdr>
            <w:top w:val="none" w:sz="0" w:space="0" w:color="auto"/>
            <w:left w:val="none" w:sz="0" w:space="0" w:color="auto"/>
            <w:bottom w:val="none" w:sz="0" w:space="0" w:color="auto"/>
            <w:right w:val="none" w:sz="0" w:space="0" w:color="auto"/>
          </w:divBdr>
          <w:divsChild>
            <w:div w:id="1128472971">
              <w:marLeft w:val="0"/>
              <w:marRight w:val="0"/>
              <w:marTop w:val="0"/>
              <w:marBottom w:val="0"/>
              <w:divBdr>
                <w:top w:val="none" w:sz="0" w:space="0" w:color="auto"/>
                <w:left w:val="none" w:sz="0" w:space="0" w:color="auto"/>
                <w:bottom w:val="none" w:sz="0" w:space="0" w:color="auto"/>
                <w:right w:val="none" w:sz="0" w:space="0" w:color="auto"/>
              </w:divBdr>
              <w:divsChild>
                <w:div w:id="1109549985">
                  <w:marLeft w:val="0"/>
                  <w:marRight w:val="0"/>
                  <w:marTop w:val="0"/>
                  <w:marBottom w:val="0"/>
                  <w:divBdr>
                    <w:top w:val="none" w:sz="0" w:space="0" w:color="auto"/>
                    <w:left w:val="none" w:sz="0" w:space="0" w:color="auto"/>
                    <w:bottom w:val="none" w:sz="0" w:space="0" w:color="auto"/>
                    <w:right w:val="none" w:sz="0" w:space="0" w:color="auto"/>
                  </w:divBdr>
                  <w:divsChild>
                    <w:div w:id="706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981820">
      <w:bodyDiv w:val="1"/>
      <w:marLeft w:val="0"/>
      <w:marRight w:val="0"/>
      <w:marTop w:val="0"/>
      <w:marBottom w:val="0"/>
      <w:divBdr>
        <w:top w:val="none" w:sz="0" w:space="0" w:color="auto"/>
        <w:left w:val="none" w:sz="0" w:space="0" w:color="auto"/>
        <w:bottom w:val="none" w:sz="0" w:space="0" w:color="auto"/>
        <w:right w:val="none" w:sz="0" w:space="0" w:color="auto"/>
      </w:divBdr>
    </w:div>
    <w:div w:id="917249107">
      <w:bodyDiv w:val="1"/>
      <w:marLeft w:val="0"/>
      <w:marRight w:val="0"/>
      <w:marTop w:val="0"/>
      <w:marBottom w:val="0"/>
      <w:divBdr>
        <w:top w:val="none" w:sz="0" w:space="0" w:color="auto"/>
        <w:left w:val="none" w:sz="0" w:space="0" w:color="auto"/>
        <w:bottom w:val="none" w:sz="0" w:space="0" w:color="auto"/>
        <w:right w:val="none" w:sz="0" w:space="0" w:color="auto"/>
      </w:divBdr>
    </w:div>
    <w:div w:id="918371887">
      <w:bodyDiv w:val="1"/>
      <w:marLeft w:val="0"/>
      <w:marRight w:val="0"/>
      <w:marTop w:val="0"/>
      <w:marBottom w:val="0"/>
      <w:divBdr>
        <w:top w:val="none" w:sz="0" w:space="0" w:color="auto"/>
        <w:left w:val="none" w:sz="0" w:space="0" w:color="auto"/>
        <w:bottom w:val="none" w:sz="0" w:space="0" w:color="auto"/>
        <w:right w:val="none" w:sz="0" w:space="0" w:color="auto"/>
      </w:divBdr>
      <w:divsChild>
        <w:div w:id="111484077">
          <w:marLeft w:val="0"/>
          <w:marRight w:val="0"/>
          <w:marTop w:val="0"/>
          <w:marBottom w:val="0"/>
          <w:divBdr>
            <w:top w:val="none" w:sz="0" w:space="0" w:color="auto"/>
            <w:left w:val="none" w:sz="0" w:space="0" w:color="auto"/>
            <w:bottom w:val="none" w:sz="0" w:space="0" w:color="auto"/>
            <w:right w:val="none" w:sz="0" w:space="0" w:color="auto"/>
          </w:divBdr>
          <w:divsChild>
            <w:div w:id="1064136228">
              <w:marLeft w:val="0"/>
              <w:marRight w:val="0"/>
              <w:marTop w:val="0"/>
              <w:marBottom w:val="0"/>
              <w:divBdr>
                <w:top w:val="none" w:sz="0" w:space="0" w:color="auto"/>
                <w:left w:val="none" w:sz="0" w:space="0" w:color="auto"/>
                <w:bottom w:val="none" w:sz="0" w:space="0" w:color="auto"/>
                <w:right w:val="none" w:sz="0" w:space="0" w:color="auto"/>
              </w:divBdr>
              <w:divsChild>
                <w:div w:id="8661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72983">
      <w:bodyDiv w:val="1"/>
      <w:marLeft w:val="0"/>
      <w:marRight w:val="0"/>
      <w:marTop w:val="0"/>
      <w:marBottom w:val="0"/>
      <w:divBdr>
        <w:top w:val="none" w:sz="0" w:space="0" w:color="auto"/>
        <w:left w:val="none" w:sz="0" w:space="0" w:color="auto"/>
        <w:bottom w:val="none" w:sz="0" w:space="0" w:color="auto"/>
        <w:right w:val="none" w:sz="0" w:space="0" w:color="auto"/>
      </w:divBdr>
    </w:div>
    <w:div w:id="925916942">
      <w:bodyDiv w:val="1"/>
      <w:marLeft w:val="0"/>
      <w:marRight w:val="0"/>
      <w:marTop w:val="0"/>
      <w:marBottom w:val="0"/>
      <w:divBdr>
        <w:top w:val="none" w:sz="0" w:space="0" w:color="auto"/>
        <w:left w:val="none" w:sz="0" w:space="0" w:color="auto"/>
        <w:bottom w:val="none" w:sz="0" w:space="0" w:color="auto"/>
        <w:right w:val="none" w:sz="0" w:space="0" w:color="auto"/>
      </w:divBdr>
    </w:div>
    <w:div w:id="927353228">
      <w:bodyDiv w:val="1"/>
      <w:marLeft w:val="0"/>
      <w:marRight w:val="0"/>
      <w:marTop w:val="0"/>
      <w:marBottom w:val="0"/>
      <w:divBdr>
        <w:top w:val="none" w:sz="0" w:space="0" w:color="auto"/>
        <w:left w:val="none" w:sz="0" w:space="0" w:color="auto"/>
        <w:bottom w:val="none" w:sz="0" w:space="0" w:color="auto"/>
        <w:right w:val="none" w:sz="0" w:space="0" w:color="auto"/>
      </w:divBdr>
    </w:div>
    <w:div w:id="928925651">
      <w:bodyDiv w:val="1"/>
      <w:marLeft w:val="0"/>
      <w:marRight w:val="0"/>
      <w:marTop w:val="0"/>
      <w:marBottom w:val="0"/>
      <w:divBdr>
        <w:top w:val="none" w:sz="0" w:space="0" w:color="auto"/>
        <w:left w:val="none" w:sz="0" w:space="0" w:color="auto"/>
        <w:bottom w:val="none" w:sz="0" w:space="0" w:color="auto"/>
        <w:right w:val="none" w:sz="0" w:space="0" w:color="auto"/>
      </w:divBdr>
      <w:divsChild>
        <w:div w:id="1587231182">
          <w:marLeft w:val="0"/>
          <w:marRight w:val="0"/>
          <w:marTop w:val="0"/>
          <w:marBottom w:val="0"/>
          <w:divBdr>
            <w:top w:val="none" w:sz="0" w:space="0" w:color="auto"/>
            <w:left w:val="none" w:sz="0" w:space="0" w:color="auto"/>
            <w:bottom w:val="none" w:sz="0" w:space="0" w:color="auto"/>
            <w:right w:val="none" w:sz="0" w:space="0" w:color="auto"/>
          </w:divBdr>
          <w:divsChild>
            <w:div w:id="1690329364">
              <w:marLeft w:val="0"/>
              <w:marRight w:val="0"/>
              <w:marTop w:val="0"/>
              <w:marBottom w:val="0"/>
              <w:divBdr>
                <w:top w:val="none" w:sz="0" w:space="0" w:color="auto"/>
                <w:left w:val="none" w:sz="0" w:space="0" w:color="auto"/>
                <w:bottom w:val="none" w:sz="0" w:space="0" w:color="auto"/>
                <w:right w:val="none" w:sz="0" w:space="0" w:color="auto"/>
              </w:divBdr>
              <w:divsChild>
                <w:div w:id="645860465">
                  <w:marLeft w:val="0"/>
                  <w:marRight w:val="0"/>
                  <w:marTop w:val="0"/>
                  <w:marBottom w:val="0"/>
                  <w:divBdr>
                    <w:top w:val="none" w:sz="0" w:space="0" w:color="auto"/>
                    <w:left w:val="none" w:sz="0" w:space="0" w:color="auto"/>
                    <w:bottom w:val="none" w:sz="0" w:space="0" w:color="auto"/>
                    <w:right w:val="none" w:sz="0" w:space="0" w:color="auto"/>
                  </w:divBdr>
                  <w:divsChild>
                    <w:div w:id="8869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23758">
      <w:bodyDiv w:val="1"/>
      <w:marLeft w:val="0"/>
      <w:marRight w:val="0"/>
      <w:marTop w:val="0"/>
      <w:marBottom w:val="0"/>
      <w:divBdr>
        <w:top w:val="none" w:sz="0" w:space="0" w:color="auto"/>
        <w:left w:val="none" w:sz="0" w:space="0" w:color="auto"/>
        <w:bottom w:val="none" w:sz="0" w:space="0" w:color="auto"/>
        <w:right w:val="none" w:sz="0" w:space="0" w:color="auto"/>
      </w:divBdr>
    </w:div>
    <w:div w:id="933634949">
      <w:bodyDiv w:val="1"/>
      <w:marLeft w:val="0"/>
      <w:marRight w:val="0"/>
      <w:marTop w:val="0"/>
      <w:marBottom w:val="0"/>
      <w:divBdr>
        <w:top w:val="none" w:sz="0" w:space="0" w:color="auto"/>
        <w:left w:val="none" w:sz="0" w:space="0" w:color="auto"/>
        <w:bottom w:val="none" w:sz="0" w:space="0" w:color="auto"/>
        <w:right w:val="none" w:sz="0" w:space="0" w:color="auto"/>
      </w:divBdr>
      <w:divsChild>
        <w:div w:id="601380214">
          <w:marLeft w:val="0"/>
          <w:marRight w:val="0"/>
          <w:marTop w:val="0"/>
          <w:marBottom w:val="0"/>
          <w:divBdr>
            <w:top w:val="none" w:sz="0" w:space="0" w:color="auto"/>
            <w:left w:val="none" w:sz="0" w:space="0" w:color="auto"/>
            <w:bottom w:val="none" w:sz="0" w:space="0" w:color="auto"/>
            <w:right w:val="none" w:sz="0" w:space="0" w:color="auto"/>
          </w:divBdr>
        </w:div>
      </w:divsChild>
    </w:div>
    <w:div w:id="933978990">
      <w:bodyDiv w:val="1"/>
      <w:marLeft w:val="0"/>
      <w:marRight w:val="0"/>
      <w:marTop w:val="0"/>
      <w:marBottom w:val="0"/>
      <w:divBdr>
        <w:top w:val="none" w:sz="0" w:space="0" w:color="auto"/>
        <w:left w:val="none" w:sz="0" w:space="0" w:color="auto"/>
        <w:bottom w:val="none" w:sz="0" w:space="0" w:color="auto"/>
        <w:right w:val="none" w:sz="0" w:space="0" w:color="auto"/>
      </w:divBdr>
      <w:divsChild>
        <w:div w:id="1061754032">
          <w:marLeft w:val="0"/>
          <w:marRight w:val="0"/>
          <w:marTop w:val="0"/>
          <w:marBottom w:val="0"/>
          <w:divBdr>
            <w:top w:val="none" w:sz="0" w:space="0" w:color="auto"/>
            <w:left w:val="none" w:sz="0" w:space="0" w:color="auto"/>
            <w:bottom w:val="none" w:sz="0" w:space="0" w:color="auto"/>
            <w:right w:val="none" w:sz="0" w:space="0" w:color="auto"/>
          </w:divBdr>
          <w:divsChild>
            <w:div w:id="6152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01727">
      <w:bodyDiv w:val="1"/>
      <w:marLeft w:val="0"/>
      <w:marRight w:val="0"/>
      <w:marTop w:val="0"/>
      <w:marBottom w:val="0"/>
      <w:divBdr>
        <w:top w:val="none" w:sz="0" w:space="0" w:color="auto"/>
        <w:left w:val="none" w:sz="0" w:space="0" w:color="auto"/>
        <w:bottom w:val="none" w:sz="0" w:space="0" w:color="auto"/>
        <w:right w:val="none" w:sz="0" w:space="0" w:color="auto"/>
      </w:divBdr>
      <w:divsChild>
        <w:div w:id="893589640">
          <w:marLeft w:val="0"/>
          <w:marRight w:val="0"/>
          <w:marTop w:val="0"/>
          <w:marBottom w:val="0"/>
          <w:divBdr>
            <w:top w:val="none" w:sz="0" w:space="0" w:color="auto"/>
            <w:left w:val="none" w:sz="0" w:space="0" w:color="auto"/>
            <w:bottom w:val="none" w:sz="0" w:space="0" w:color="auto"/>
            <w:right w:val="none" w:sz="0" w:space="0" w:color="auto"/>
          </w:divBdr>
        </w:div>
      </w:divsChild>
    </w:div>
    <w:div w:id="942416489">
      <w:bodyDiv w:val="1"/>
      <w:marLeft w:val="0"/>
      <w:marRight w:val="0"/>
      <w:marTop w:val="0"/>
      <w:marBottom w:val="0"/>
      <w:divBdr>
        <w:top w:val="none" w:sz="0" w:space="0" w:color="auto"/>
        <w:left w:val="none" w:sz="0" w:space="0" w:color="auto"/>
        <w:bottom w:val="none" w:sz="0" w:space="0" w:color="auto"/>
        <w:right w:val="none" w:sz="0" w:space="0" w:color="auto"/>
      </w:divBdr>
    </w:div>
    <w:div w:id="944118506">
      <w:bodyDiv w:val="1"/>
      <w:marLeft w:val="0"/>
      <w:marRight w:val="0"/>
      <w:marTop w:val="0"/>
      <w:marBottom w:val="0"/>
      <w:divBdr>
        <w:top w:val="none" w:sz="0" w:space="0" w:color="auto"/>
        <w:left w:val="none" w:sz="0" w:space="0" w:color="auto"/>
        <w:bottom w:val="none" w:sz="0" w:space="0" w:color="auto"/>
        <w:right w:val="none" w:sz="0" w:space="0" w:color="auto"/>
      </w:divBdr>
    </w:div>
    <w:div w:id="945424716">
      <w:bodyDiv w:val="1"/>
      <w:marLeft w:val="0"/>
      <w:marRight w:val="0"/>
      <w:marTop w:val="0"/>
      <w:marBottom w:val="0"/>
      <w:divBdr>
        <w:top w:val="none" w:sz="0" w:space="0" w:color="auto"/>
        <w:left w:val="none" w:sz="0" w:space="0" w:color="auto"/>
        <w:bottom w:val="none" w:sz="0" w:space="0" w:color="auto"/>
        <w:right w:val="none" w:sz="0" w:space="0" w:color="auto"/>
      </w:divBdr>
    </w:div>
    <w:div w:id="946038481">
      <w:bodyDiv w:val="1"/>
      <w:marLeft w:val="0"/>
      <w:marRight w:val="0"/>
      <w:marTop w:val="0"/>
      <w:marBottom w:val="0"/>
      <w:divBdr>
        <w:top w:val="none" w:sz="0" w:space="0" w:color="auto"/>
        <w:left w:val="none" w:sz="0" w:space="0" w:color="auto"/>
        <w:bottom w:val="none" w:sz="0" w:space="0" w:color="auto"/>
        <w:right w:val="none" w:sz="0" w:space="0" w:color="auto"/>
      </w:divBdr>
    </w:div>
    <w:div w:id="948663949">
      <w:bodyDiv w:val="1"/>
      <w:marLeft w:val="0"/>
      <w:marRight w:val="0"/>
      <w:marTop w:val="0"/>
      <w:marBottom w:val="0"/>
      <w:divBdr>
        <w:top w:val="none" w:sz="0" w:space="0" w:color="auto"/>
        <w:left w:val="none" w:sz="0" w:space="0" w:color="auto"/>
        <w:bottom w:val="none" w:sz="0" w:space="0" w:color="auto"/>
        <w:right w:val="none" w:sz="0" w:space="0" w:color="auto"/>
      </w:divBdr>
    </w:div>
    <w:div w:id="949318410">
      <w:bodyDiv w:val="1"/>
      <w:marLeft w:val="0"/>
      <w:marRight w:val="0"/>
      <w:marTop w:val="0"/>
      <w:marBottom w:val="0"/>
      <w:divBdr>
        <w:top w:val="none" w:sz="0" w:space="0" w:color="auto"/>
        <w:left w:val="none" w:sz="0" w:space="0" w:color="auto"/>
        <w:bottom w:val="none" w:sz="0" w:space="0" w:color="auto"/>
        <w:right w:val="none" w:sz="0" w:space="0" w:color="auto"/>
      </w:divBdr>
      <w:divsChild>
        <w:div w:id="135147558">
          <w:marLeft w:val="0"/>
          <w:marRight w:val="0"/>
          <w:marTop w:val="0"/>
          <w:marBottom w:val="0"/>
          <w:divBdr>
            <w:top w:val="none" w:sz="0" w:space="0" w:color="auto"/>
            <w:left w:val="none" w:sz="0" w:space="0" w:color="auto"/>
            <w:bottom w:val="none" w:sz="0" w:space="0" w:color="auto"/>
            <w:right w:val="none" w:sz="0" w:space="0" w:color="auto"/>
          </w:divBdr>
          <w:divsChild>
            <w:div w:id="15430868">
              <w:marLeft w:val="0"/>
              <w:marRight w:val="0"/>
              <w:marTop w:val="0"/>
              <w:marBottom w:val="0"/>
              <w:divBdr>
                <w:top w:val="none" w:sz="0" w:space="0" w:color="auto"/>
                <w:left w:val="none" w:sz="0" w:space="0" w:color="auto"/>
                <w:bottom w:val="none" w:sz="0" w:space="0" w:color="auto"/>
                <w:right w:val="none" w:sz="0" w:space="0" w:color="auto"/>
              </w:divBdr>
              <w:divsChild>
                <w:div w:id="929704422">
                  <w:marLeft w:val="0"/>
                  <w:marRight w:val="0"/>
                  <w:marTop w:val="0"/>
                  <w:marBottom w:val="0"/>
                  <w:divBdr>
                    <w:top w:val="none" w:sz="0" w:space="0" w:color="auto"/>
                    <w:left w:val="none" w:sz="0" w:space="0" w:color="auto"/>
                    <w:bottom w:val="none" w:sz="0" w:space="0" w:color="auto"/>
                    <w:right w:val="none" w:sz="0" w:space="0" w:color="auto"/>
                  </w:divBdr>
                  <w:divsChild>
                    <w:div w:id="1107771214">
                      <w:marLeft w:val="0"/>
                      <w:marRight w:val="0"/>
                      <w:marTop w:val="0"/>
                      <w:marBottom w:val="0"/>
                      <w:divBdr>
                        <w:top w:val="none" w:sz="0" w:space="0" w:color="auto"/>
                        <w:left w:val="none" w:sz="0" w:space="0" w:color="auto"/>
                        <w:bottom w:val="none" w:sz="0" w:space="0" w:color="auto"/>
                        <w:right w:val="none" w:sz="0" w:space="0" w:color="auto"/>
                      </w:divBdr>
                      <w:divsChild>
                        <w:div w:id="1360475138">
                          <w:marLeft w:val="0"/>
                          <w:marRight w:val="0"/>
                          <w:marTop w:val="0"/>
                          <w:marBottom w:val="0"/>
                          <w:divBdr>
                            <w:top w:val="none" w:sz="0" w:space="0" w:color="auto"/>
                            <w:left w:val="none" w:sz="0" w:space="0" w:color="auto"/>
                            <w:bottom w:val="none" w:sz="0" w:space="0" w:color="auto"/>
                            <w:right w:val="none" w:sz="0" w:space="0" w:color="auto"/>
                          </w:divBdr>
                          <w:divsChild>
                            <w:div w:id="11162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13476">
              <w:marLeft w:val="0"/>
              <w:marRight w:val="0"/>
              <w:marTop w:val="0"/>
              <w:marBottom w:val="0"/>
              <w:divBdr>
                <w:top w:val="none" w:sz="0" w:space="0" w:color="auto"/>
                <w:left w:val="none" w:sz="0" w:space="0" w:color="auto"/>
                <w:bottom w:val="none" w:sz="0" w:space="0" w:color="auto"/>
                <w:right w:val="none" w:sz="0" w:space="0" w:color="auto"/>
              </w:divBdr>
              <w:divsChild>
                <w:div w:id="4974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370">
          <w:marLeft w:val="0"/>
          <w:marRight w:val="0"/>
          <w:marTop w:val="0"/>
          <w:marBottom w:val="0"/>
          <w:divBdr>
            <w:top w:val="none" w:sz="0" w:space="0" w:color="auto"/>
            <w:left w:val="none" w:sz="0" w:space="0" w:color="auto"/>
            <w:bottom w:val="none" w:sz="0" w:space="0" w:color="auto"/>
            <w:right w:val="none" w:sz="0" w:space="0" w:color="auto"/>
          </w:divBdr>
          <w:divsChild>
            <w:div w:id="2075539122">
              <w:marLeft w:val="0"/>
              <w:marRight w:val="0"/>
              <w:marTop w:val="0"/>
              <w:marBottom w:val="0"/>
              <w:divBdr>
                <w:top w:val="none" w:sz="0" w:space="0" w:color="auto"/>
                <w:left w:val="none" w:sz="0" w:space="0" w:color="auto"/>
                <w:bottom w:val="none" w:sz="0" w:space="0" w:color="auto"/>
                <w:right w:val="none" w:sz="0" w:space="0" w:color="auto"/>
              </w:divBdr>
              <w:divsChild>
                <w:div w:id="1117530004">
                  <w:marLeft w:val="0"/>
                  <w:marRight w:val="0"/>
                  <w:marTop w:val="0"/>
                  <w:marBottom w:val="0"/>
                  <w:divBdr>
                    <w:top w:val="none" w:sz="0" w:space="0" w:color="auto"/>
                    <w:left w:val="none" w:sz="0" w:space="0" w:color="auto"/>
                    <w:bottom w:val="none" w:sz="0" w:space="0" w:color="auto"/>
                    <w:right w:val="none" w:sz="0" w:space="0" w:color="auto"/>
                  </w:divBdr>
                  <w:divsChild>
                    <w:div w:id="2091343243">
                      <w:marLeft w:val="0"/>
                      <w:marRight w:val="0"/>
                      <w:marTop w:val="0"/>
                      <w:marBottom w:val="0"/>
                      <w:divBdr>
                        <w:top w:val="none" w:sz="0" w:space="0" w:color="auto"/>
                        <w:left w:val="none" w:sz="0" w:space="0" w:color="auto"/>
                        <w:bottom w:val="none" w:sz="0" w:space="0" w:color="auto"/>
                        <w:right w:val="none" w:sz="0" w:space="0" w:color="auto"/>
                      </w:divBdr>
                      <w:divsChild>
                        <w:div w:id="470750074">
                          <w:marLeft w:val="0"/>
                          <w:marRight w:val="0"/>
                          <w:marTop w:val="0"/>
                          <w:marBottom w:val="0"/>
                          <w:divBdr>
                            <w:top w:val="none" w:sz="0" w:space="0" w:color="auto"/>
                            <w:left w:val="none" w:sz="0" w:space="0" w:color="auto"/>
                            <w:bottom w:val="none" w:sz="0" w:space="0" w:color="auto"/>
                            <w:right w:val="none" w:sz="0" w:space="0" w:color="auto"/>
                          </w:divBdr>
                          <w:divsChild>
                            <w:div w:id="1635405687">
                              <w:marLeft w:val="0"/>
                              <w:marRight w:val="0"/>
                              <w:marTop w:val="0"/>
                              <w:marBottom w:val="0"/>
                              <w:divBdr>
                                <w:top w:val="none" w:sz="0" w:space="0" w:color="auto"/>
                                <w:left w:val="none" w:sz="0" w:space="0" w:color="auto"/>
                                <w:bottom w:val="none" w:sz="0" w:space="0" w:color="auto"/>
                                <w:right w:val="none" w:sz="0" w:space="0" w:color="auto"/>
                              </w:divBdr>
                              <w:divsChild>
                                <w:div w:id="2089888361">
                                  <w:marLeft w:val="0"/>
                                  <w:marRight w:val="0"/>
                                  <w:marTop w:val="0"/>
                                  <w:marBottom w:val="0"/>
                                  <w:divBdr>
                                    <w:top w:val="none" w:sz="0" w:space="0" w:color="auto"/>
                                    <w:left w:val="none" w:sz="0" w:space="0" w:color="auto"/>
                                    <w:bottom w:val="none" w:sz="0" w:space="0" w:color="auto"/>
                                    <w:right w:val="none" w:sz="0" w:space="0" w:color="auto"/>
                                  </w:divBdr>
                                  <w:divsChild>
                                    <w:div w:id="1540389423">
                                      <w:marLeft w:val="0"/>
                                      <w:marRight w:val="0"/>
                                      <w:marTop w:val="0"/>
                                      <w:marBottom w:val="0"/>
                                      <w:divBdr>
                                        <w:top w:val="none" w:sz="0" w:space="0" w:color="auto"/>
                                        <w:left w:val="none" w:sz="0" w:space="0" w:color="auto"/>
                                        <w:bottom w:val="none" w:sz="0" w:space="0" w:color="auto"/>
                                        <w:right w:val="none" w:sz="0" w:space="0" w:color="auto"/>
                                      </w:divBdr>
                                      <w:divsChild>
                                        <w:div w:id="1596481388">
                                          <w:marLeft w:val="0"/>
                                          <w:marRight w:val="0"/>
                                          <w:marTop w:val="0"/>
                                          <w:marBottom w:val="0"/>
                                          <w:divBdr>
                                            <w:top w:val="none" w:sz="0" w:space="0" w:color="auto"/>
                                            <w:left w:val="none" w:sz="0" w:space="0" w:color="auto"/>
                                            <w:bottom w:val="none" w:sz="0" w:space="0" w:color="auto"/>
                                            <w:right w:val="none" w:sz="0" w:space="0" w:color="auto"/>
                                          </w:divBdr>
                                          <w:divsChild>
                                            <w:div w:id="1122529947">
                                              <w:marLeft w:val="0"/>
                                              <w:marRight w:val="0"/>
                                              <w:marTop w:val="0"/>
                                              <w:marBottom w:val="0"/>
                                              <w:divBdr>
                                                <w:top w:val="none" w:sz="0" w:space="0" w:color="auto"/>
                                                <w:left w:val="none" w:sz="0" w:space="0" w:color="auto"/>
                                                <w:bottom w:val="none" w:sz="0" w:space="0" w:color="auto"/>
                                                <w:right w:val="none" w:sz="0" w:space="0" w:color="auto"/>
                                              </w:divBdr>
                                              <w:divsChild>
                                                <w:div w:id="631327172">
                                                  <w:marLeft w:val="0"/>
                                                  <w:marRight w:val="0"/>
                                                  <w:marTop w:val="0"/>
                                                  <w:marBottom w:val="0"/>
                                                  <w:divBdr>
                                                    <w:top w:val="none" w:sz="0" w:space="0" w:color="auto"/>
                                                    <w:left w:val="none" w:sz="0" w:space="0" w:color="auto"/>
                                                    <w:bottom w:val="none" w:sz="0" w:space="0" w:color="auto"/>
                                                    <w:right w:val="none" w:sz="0" w:space="0" w:color="auto"/>
                                                  </w:divBdr>
                                                  <w:divsChild>
                                                    <w:div w:id="1044135077">
                                                      <w:marLeft w:val="0"/>
                                                      <w:marRight w:val="0"/>
                                                      <w:marTop w:val="0"/>
                                                      <w:marBottom w:val="0"/>
                                                      <w:divBdr>
                                                        <w:top w:val="none" w:sz="0" w:space="0" w:color="auto"/>
                                                        <w:left w:val="none" w:sz="0" w:space="0" w:color="auto"/>
                                                        <w:bottom w:val="none" w:sz="0" w:space="0" w:color="auto"/>
                                                        <w:right w:val="none" w:sz="0" w:space="0" w:color="auto"/>
                                                      </w:divBdr>
                                                    </w:div>
                                                  </w:divsChild>
                                                </w:div>
                                                <w:div w:id="385955325">
                                                  <w:marLeft w:val="0"/>
                                                  <w:marRight w:val="0"/>
                                                  <w:marTop w:val="0"/>
                                                  <w:marBottom w:val="0"/>
                                                  <w:divBdr>
                                                    <w:top w:val="none" w:sz="0" w:space="0" w:color="auto"/>
                                                    <w:left w:val="none" w:sz="0" w:space="0" w:color="auto"/>
                                                    <w:bottom w:val="none" w:sz="0" w:space="0" w:color="auto"/>
                                                    <w:right w:val="none" w:sz="0" w:space="0" w:color="auto"/>
                                                  </w:divBdr>
                                                  <w:divsChild>
                                                    <w:div w:id="1556969761">
                                                      <w:marLeft w:val="0"/>
                                                      <w:marRight w:val="0"/>
                                                      <w:marTop w:val="0"/>
                                                      <w:marBottom w:val="0"/>
                                                      <w:divBdr>
                                                        <w:top w:val="none" w:sz="0" w:space="0" w:color="auto"/>
                                                        <w:left w:val="none" w:sz="0" w:space="0" w:color="auto"/>
                                                        <w:bottom w:val="none" w:sz="0" w:space="0" w:color="auto"/>
                                                        <w:right w:val="none" w:sz="0" w:space="0" w:color="auto"/>
                                                      </w:divBdr>
                                                      <w:divsChild>
                                                        <w:div w:id="737018926">
                                                          <w:marLeft w:val="0"/>
                                                          <w:marRight w:val="0"/>
                                                          <w:marTop w:val="0"/>
                                                          <w:marBottom w:val="0"/>
                                                          <w:divBdr>
                                                            <w:top w:val="none" w:sz="0" w:space="0" w:color="auto"/>
                                                            <w:left w:val="none" w:sz="0" w:space="0" w:color="auto"/>
                                                            <w:bottom w:val="none" w:sz="0" w:space="0" w:color="auto"/>
                                                            <w:right w:val="none" w:sz="0" w:space="0" w:color="auto"/>
                                                          </w:divBdr>
                                                          <w:divsChild>
                                                            <w:div w:id="2554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91515">
                                  <w:marLeft w:val="0"/>
                                  <w:marRight w:val="0"/>
                                  <w:marTop w:val="0"/>
                                  <w:marBottom w:val="0"/>
                                  <w:divBdr>
                                    <w:top w:val="none" w:sz="0" w:space="0" w:color="auto"/>
                                    <w:left w:val="none" w:sz="0" w:space="0" w:color="auto"/>
                                    <w:bottom w:val="none" w:sz="0" w:space="0" w:color="auto"/>
                                    <w:right w:val="none" w:sz="0" w:space="0" w:color="auto"/>
                                  </w:divBdr>
                                  <w:divsChild>
                                    <w:div w:id="1674065578">
                                      <w:marLeft w:val="0"/>
                                      <w:marRight w:val="0"/>
                                      <w:marTop w:val="0"/>
                                      <w:marBottom w:val="0"/>
                                      <w:divBdr>
                                        <w:top w:val="none" w:sz="0" w:space="0" w:color="auto"/>
                                        <w:left w:val="none" w:sz="0" w:space="0" w:color="auto"/>
                                        <w:bottom w:val="none" w:sz="0" w:space="0" w:color="auto"/>
                                        <w:right w:val="none" w:sz="0" w:space="0" w:color="auto"/>
                                      </w:divBdr>
                                      <w:divsChild>
                                        <w:div w:id="410543607">
                                          <w:marLeft w:val="0"/>
                                          <w:marRight w:val="0"/>
                                          <w:marTop w:val="0"/>
                                          <w:marBottom w:val="0"/>
                                          <w:divBdr>
                                            <w:top w:val="none" w:sz="0" w:space="0" w:color="auto"/>
                                            <w:left w:val="none" w:sz="0" w:space="0" w:color="auto"/>
                                            <w:bottom w:val="none" w:sz="0" w:space="0" w:color="auto"/>
                                            <w:right w:val="none" w:sz="0" w:space="0" w:color="auto"/>
                                          </w:divBdr>
                                          <w:divsChild>
                                            <w:div w:id="139076704">
                                              <w:marLeft w:val="0"/>
                                              <w:marRight w:val="0"/>
                                              <w:marTop w:val="0"/>
                                              <w:marBottom w:val="0"/>
                                              <w:divBdr>
                                                <w:top w:val="none" w:sz="0" w:space="0" w:color="auto"/>
                                                <w:left w:val="none" w:sz="0" w:space="0" w:color="auto"/>
                                                <w:bottom w:val="none" w:sz="0" w:space="0" w:color="auto"/>
                                                <w:right w:val="none" w:sz="0" w:space="0" w:color="auto"/>
                                              </w:divBdr>
                                              <w:divsChild>
                                                <w:div w:id="2689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22599">
                                      <w:marLeft w:val="0"/>
                                      <w:marRight w:val="0"/>
                                      <w:marTop w:val="0"/>
                                      <w:marBottom w:val="0"/>
                                      <w:divBdr>
                                        <w:top w:val="none" w:sz="0" w:space="0" w:color="auto"/>
                                        <w:left w:val="none" w:sz="0" w:space="0" w:color="auto"/>
                                        <w:bottom w:val="none" w:sz="0" w:space="0" w:color="auto"/>
                                        <w:right w:val="none" w:sz="0" w:space="0" w:color="auto"/>
                                      </w:divBdr>
                                      <w:divsChild>
                                        <w:div w:id="553658184">
                                          <w:marLeft w:val="0"/>
                                          <w:marRight w:val="0"/>
                                          <w:marTop w:val="0"/>
                                          <w:marBottom w:val="0"/>
                                          <w:divBdr>
                                            <w:top w:val="none" w:sz="0" w:space="0" w:color="auto"/>
                                            <w:left w:val="none" w:sz="0" w:space="0" w:color="auto"/>
                                            <w:bottom w:val="none" w:sz="0" w:space="0" w:color="auto"/>
                                            <w:right w:val="none" w:sz="0" w:space="0" w:color="auto"/>
                                          </w:divBdr>
                                          <w:divsChild>
                                            <w:div w:id="10385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743340">
                          <w:marLeft w:val="0"/>
                          <w:marRight w:val="0"/>
                          <w:marTop w:val="0"/>
                          <w:marBottom w:val="0"/>
                          <w:divBdr>
                            <w:top w:val="none" w:sz="0" w:space="0" w:color="auto"/>
                            <w:left w:val="none" w:sz="0" w:space="0" w:color="auto"/>
                            <w:bottom w:val="none" w:sz="0" w:space="0" w:color="auto"/>
                            <w:right w:val="none" w:sz="0" w:space="0" w:color="auto"/>
                          </w:divBdr>
                          <w:divsChild>
                            <w:div w:id="1737705785">
                              <w:marLeft w:val="0"/>
                              <w:marRight w:val="0"/>
                              <w:marTop w:val="0"/>
                              <w:marBottom w:val="0"/>
                              <w:divBdr>
                                <w:top w:val="none" w:sz="0" w:space="0" w:color="auto"/>
                                <w:left w:val="none" w:sz="0" w:space="0" w:color="auto"/>
                                <w:bottom w:val="none" w:sz="0" w:space="0" w:color="auto"/>
                                <w:right w:val="none" w:sz="0" w:space="0" w:color="auto"/>
                              </w:divBdr>
                              <w:divsChild>
                                <w:div w:id="71397723">
                                  <w:marLeft w:val="0"/>
                                  <w:marRight w:val="0"/>
                                  <w:marTop w:val="0"/>
                                  <w:marBottom w:val="0"/>
                                  <w:divBdr>
                                    <w:top w:val="none" w:sz="0" w:space="0" w:color="auto"/>
                                    <w:left w:val="none" w:sz="0" w:space="0" w:color="auto"/>
                                    <w:bottom w:val="none" w:sz="0" w:space="0" w:color="auto"/>
                                    <w:right w:val="none" w:sz="0" w:space="0" w:color="auto"/>
                                  </w:divBdr>
                                  <w:divsChild>
                                    <w:div w:id="1548831062">
                                      <w:marLeft w:val="0"/>
                                      <w:marRight w:val="0"/>
                                      <w:marTop w:val="0"/>
                                      <w:marBottom w:val="0"/>
                                      <w:divBdr>
                                        <w:top w:val="none" w:sz="0" w:space="0" w:color="auto"/>
                                        <w:left w:val="none" w:sz="0" w:space="0" w:color="auto"/>
                                        <w:bottom w:val="none" w:sz="0" w:space="0" w:color="auto"/>
                                        <w:right w:val="none" w:sz="0" w:space="0" w:color="auto"/>
                                      </w:divBdr>
                                      <w:divsChild>
                                        <w:div w:id="1783576005">
                                          <w:marLeft w:val="0"/>
                                          <w:marRight w:val="0"/>
                                          <w:marTop w:val="0"/>
                                          <w:marBottom w:val="0"/>
                                          <w:divBdr>
                                            <w:top w:val="none" w:sz="0" w:space="0" w:color="auto"/>
                                            <w:left w:val="none" w:sz="0" w:space="0" w:color="auto"/>
                                            <w:bottom w:val="none" w:sz="0" w:space="0" w:color="auto"/>
                                            <w:right w:val="none" w:sz="0" w:space="0" w:color="auto"/>
                                          </w:divBdr>
                                          <w:divsChild>
                                            <w:div w:id="359132">
                                              <w:marLeft w:val="0"/>
                                              <w:marRight w:val="0"/>
                                              <w:marTop w:val="0"/>
                                              <w:marBottom w:val="0"/>
                                              <w:divBdr>
                                                <w:top w:val="none" w:sz="0" w:space="0" w:color="auto"/>
                                                <w:left w:val="none" w:sz="0" w:space="0" w:color="auto"/>
                                                <w:bottom w:val="none" w:sz="0" w:space="0" w:color="auto"/>
                                                <w:right w:val="none" w:sz="0" w:space="0" w:color="auto"/>
                                              </w:divBdr>
                                              <w:divsChild>
                                                <w:div w:id="12601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42468">
                          <w:marLeft w:val="0"/>
                          <w:marRight w:val="0"/>
                          <w:marTop w:val="0"/>
                          <w:marBottom w:val="0"/>
                          <w:divBdr>
                            <w:top w:val="none" w:sz="0" w:space="0" w:color="auto"/>
                            <w:left w:val="none" w:sz="0" w:space="0" w:color="auto"/>
                            <w:bottom w:val="none" w:sz="0" w:space="0" w:color="auto"/>
                            <w:right w:val="none" w:sz="0" w:space="0" w:color="auto"/>
                          </w:divBdr>
                          <w:divsChild>
                            <w:div w:id="37320256">
                              <w:marLeft w:val="0"/>
                              <w:marRight w:val="0"/>
                              <w:marTop w:val="0"/>
                              <w:marBottom w:val="0"/>
                              <w:divBdr>
                                <w:top w:val="none" w:sz="0" w:space="0" w:color="auto"/>
                                <w:left w:val="none" w:sz="0" w:space="0" w:color="auto"/>
                                <w:bottom w:val="none" w:sz="0" w:space="0" w:color="auto"/>
                                <w:right w:val="none" w:sz="0" w:space="0" w:color="auto"/>
                              </w:divBdr>
                              <w:divsChild>
                                <w:div w:id="1733044353">
                                  <w:marLeft w:val="0"/>
                                  <w:marRight w:val="0"/>
                                  <w:marTop w:val="0"/>
                                  <w:marBottom w:val="0"/>
                                  <w:divBdr>
                                    <w:top w:val="none" w:sz="0" w:space="0" w:color="auto"/>
                                    <w:left w:val="none" w:sz="0" w:space="0" w:color="auto"/>
                                    <w:bottom w:val="none" w:sz="0" w:space="0" w:color="auto"/>
                                    <w:right w:val="none" w:sz="0" w:space="0" w:color="auto"/>
                                  </w:divBdr>
                                  <w:divsChild>
                                    <w:div w:id="973103234">
                                      <w:marLeft w:val="0"/>
                                      <w:marRight w:val="0"/>
                                      <w:marTop w:val="0"/>
                                      <w:marBottom w:val="0"/>
                                      <w:divBdr>
                                        <w:top w:val="none" w:sz="0" w:space="0" w:color="auto"/>
                                        <w:left w:val="none" w:sz="0" w:space="0" w:color="auto"/>
                                        <w:bottom w:val="none" w:sz="0" w:space="0" w:color="auto"/>
                                        <w:right w:val="none" w:sz="0" w:space="0" w:color="auto"/>
                                      </w:divBdr>
                                      <w:divsChild>
                                        <w:div w:id="704715282">
                                          <w:marLeft w:val="0"/>
                                          <w:marRight w:val="0"/>
                                          <w:marTop w:val="0"/>
                                          <w:marBottom w:val="0"/>
                                          <w:divBdr>
                                            <w:top w:val="none" w:sz="0" w:space="0" w:color="auto"/>
                                            <w:left w:val="none" w:sz="0" w:space="0" w:color="auto"/>
                                            <w:bottom w:val="none" w:sz="0" w:space="0" w:color="auto"/>
                                            <w:right w:val="none" w:sz="0" w:space="0" w:color="auto"/>
                                          </w:divBdr>
                                          <w:divsChild>
                                            <w:div w:id="592326537">
                                              <w:marLeft w:val="0"/>
                                              <w:marRight w:val="0"/>
                                              <w:marTop w:val="0"/>
                                              <w:marBottom w:val="0"/>
                                              <w:divBdr>
                                                <w:top w:val="none" w:sz="0" w:space="0" w:color="auto"/>
                                                <w:left w:val="none" w:sz="0" w:space="0" w:color="auto"/>
                                                <w:bottom w:val="none" w:sz="0" w:space="0" w:color="auto"/>
                                                <w:right w:val="none" w:sz="0" w:space="0" w:color="auto"/>
                                              </w:divBdr>
                                              <w:divsChild>
                                                <w:div w:id="6731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63217">
                                      <w:marLeft w:val="0"/>
                                      <w:marRight w:val="0"/>
                                      <w:marTop w:val="0"/>
                                      <w:marBottom w:val="0"/>
                                      <w:divBdr>
                                        <w:top w:val="none" w:sz="0" w:space="0" w:color="auto"/>
                                        <w:left w:val="none" w:sz="0" w:space="0" w:color="auto"/>
                                        <w:bottom w:val="none" w:sz="0" w:space="0" w:color="auto"/>
                                        <w:right w:val="none" w:sz="0" w:space="0" w:color="auto"/>
                                      </w:divBdr>
                                      <w:divsChild>
                                        <w:div w:id="583495446">
                                          <w:marLeft w:val="0"/>
                                          <w:marRight w:val="0"/>
                                          <w:marTop w:val="0"/>
                                          <w:marBottom w:val="0"/>
                                          <w:divBdr>
                                            <w:top w:val="none" w:sz="0" w:space="0" w:color="auto"/>
                                            <w:left w:val="none" w:sz="0" w:space="0" w:color="auto"/>
                                            <w:bottom w:val="none" w:sz="0" w:space="0" w:color="auto"/>
                                            <w:right w:val="none" w:sz="0" w:space="0" w:color="auto"/>
                                          </w:divBdr>
                                          <w:divsChild>
                                            <w:div w:id="20307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26625">
                          <w:marLeft w:val="0"/>
                          <w:marRight w:val="0"/>
                          <w:marTop w:val="0"/>
                          <w:marBottom w:val="0"/>
                          <w:divBdr>
                            <w:top w:val="none" w:sz="0" w:space="0" w:color="auto"/>
                            <w:left w:val="none" w:sz="0" w:space="0" w:color="auto"/>
                            <w:bottom w:val="none" w:sz="0" w:space="0" w:color="auto"/>
                            <w:right w:val="none" w:sz="0" w:space="0" w:color="auto"/>
                          </w:divBdr>
                          <w:divsChild>
                            <w:div w:id="2133477583">
                              <w:marLeft w:val="0"/>
                              <w:marRight w:val="0"/>
                              <w:marTop w:val="0"/>
                              <w:marBottom w:val="0"/>
                              <w:divBdr>
                                <w:top w:val="none" w:sz="0" w:space="0" w:color="auto"/>
                                <w:left w:val="none" w:sz="0" w:space="0" w:color="auto"/>
                                <w:bottom w:val="none" w:sz="0" w:space="0" w:color="auto"/>
                                <w:right w:val="none" w:sz="0" w:space="0" w:color="auto"/>
                              </w:divBdr>
                              <w:divsChild>
                                <w:div w:id="1696077842">
                                  <w:marLeft w:val="0"/>
                                  <w:marRight w:val="0"/>
                                  <w:marTop w:val="0"/>
                                  <w:marBottom w:val="0"/>
                                  <w:divBdr>
                                    <w:top w:val="none" w:sz="0" w:space="0" w:color="auto"/>
                                    <w:left w:val="none" w:sz="0" w:space="0" w:color="auto"/>
                                    <w:bottom w:val="none" w:sz="0" w:space="0" w:color="auto"/>
                                    <w:right w:val="none" w:sz="0" w:space="0" w:color="auto"/>
                                  </w:divBdr>
                                  <w:divsChild>
                                    <w:div w:id="1622685185">
                                      <w:marLeft w:val="0"/>
                                      <w:marRight w:val="0"/>
                                      <w:marTop w:val="0"/>
                                      <w:marBottom w:val="0"/>
                                      <w:divBdr>
                                        <w:top w:val="none" w:sz="0" w:space="0" w:color="auto"/>
                                        <w:left w:val="none" w:sz="0" w:space="0" w:color="auto"/>
                                        <w:bottom w:val="none" w:sz="0" w:space="0" w:color="auto"/>
                                        <w:right w:val="none" w:sz="0" w:space="0" w:color="auto"/>
                                      </w:divBdr>
                                      <w:divsChild>
                                        <w:div w:id="770122617">
                                          <w:marLeft w:val="0"/>
                                          <w:marRight w:val="0"/>
                                          <w:marTop w:val="0"/>
                                          <w:marBottom w:val="0"/>
                                          <w:divBdr>
                                            <w:top w:val="none" w:sz="0" w:space="0" w:color="auto"/>
                                            <w:left w:val="none" w:sz="0" w:space="0" w:color="auto"/>
                                            <w:bottom w:val="none" w:sz="0" w:space="0" w:color="auto"/>
                                            <w:right w:val="none" w:sz="0" w:space="0" w:color="auto"/>
                                          </w:divBdr>
                                          <w:divsChild>
                                            <w:div w:id="782654925">
                                              <w:marLeft w:val="0"/>
                                              <w:marRight w:val="0"/>
                                              <w:marTop w:val="0"/>
                                              <w:marBottom w:val="0"/>
                                              <w:divBdr>
                                                <w:top w:val="none" w:sz="0" w:space="0" w:color="auto"/>
                                                <w:left w:val="none" w:sz="0" w:space="0" w:color="auto"/>
                                                <w:bottom w:val="none" w:sz="0" w:space="0" w:color="auto"/>
                                                <w:right w:val="none" w:sz="0" w:space="0" w:color="auto"/>
                                              </w:divBdr>
                                              <w:divsChild>
                                                <w:div w:id="828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2265">
                          <w:marLeft w:val="0"/>
                          <w:marRight w:val="0"/>
                          <w:marTop w:val="0"/>
                          <w:marBottom w:val="0"/>
                          <w:divBdr>
                            <w:top w:val="none" w:sz="0" w:space="0" w:color="auto"/>
                            <w:left w:val="none" w:sz="0" w:space="0" w:color="auto"/>
                            <w:bottom w:val="none" w:sz="0" w:space="0" w:color="auto"/>
                            <w:right w:val="none" w:sz="0" w:space="0" w:color="auto"/>
                          </w:divBdr>
                          <w:divsChild>
                            <w:div w:id="322514651">
                              <w:marLeft w:val="0"/>
                              <w:marRight w:val="0"/>
                              <w:marTop w:val="0"/>
                              <w:marBottom w:val="0"/>
                              <w:divBdr>
                                <w:top w:val="none" w:sz="0" w:space="0" w:color="auto"/>
                                <w:left w:val="none" w:sz="0" w:space="0" w:color="auto"/>
                                <w:bottom w:val="none" w:sz="0" w:space="0" w:color="auto"/>
                                <w:right w:val="none" w:sz="0" w:space="0" w:color="auto"/>
                              </w:divBdr>
                              <w:divsChild>
                                <w:div w:id="2032995569">
                                  <w:marLeft w:val="0"/>
                                  <w:marRight w:val="0"/>
                                  <w:marTop w:val="0"/>
                                  <w:marBottom w:val="0"/>
                                  <w:divBdr>
                                    <w:top w:val="none" w:sz="0" w:space="0" w:color="auto"/>
                                    <w:left w:val="none" w:sz="0" w:space="0" w:color="auto"/>
                                    <w:bottom w:val="none" w:sz="0" w:space="0" w:color="auto"/>
                                    <w:right w:val="none" w:sz="0" w:space="0" w:color="auto"/>
                                  </w:divBdr>
                                  <w:divsChild>
                                    <w:div w:id="755637041">
                                      <w:marLeft w:val="0"/>
                                      <w:marRight w:val="0"/>
                                      <w:marTop w:val="0"/>
                                      <w:marBottom w:val="0"/>
                                      <w:divBdr>
                                        <w:top w:val="none" w:sz="0" w:space="0" w:color="auto"/>
                                        <w:left w:val="none" w:sz="0" w:space="0" w:color="auto"/>
                                        <w:bottom w:val="none" w:sz="0" w:space="0" w:color="auto"/>
                                        <w:right w:val="none" w:sz="0" w:space="0" w:color="auto"/>
                                      </w:divBdr>
                                      <w:divsChild>
                                        <w:div w:id="2101556322">
                                          <w:marLeft w:val="0"/>
                                          <w:marRight w:val="0"/>
                                          <w:marTop w:val="0"/>
                                          <w:marBottom w:val="0"/>
                                          <w:divBdr>
                                            <w:top w:val="none" w:sz="0" w:space="0" w:color="auto"/>
                                            <w:left w:val="none" w:sz="0" w:space="0" w:color="auto"/>
                                            <w:bottom w:val="none" w:sz="0" w:space="0" w:color="auto"/>
                                            <w:right w:val="none" w:sz="0" w:space="0" w:color="auto"/>
                                          </w:divBdr>
                                          <w:divsChild>
                                            <w:div w:id="1896428361">
                                              <w:marLeft w:val="0"/>
                                              <w:marRight w:val="0"/>
                                              <w:marTop w:val="0"/>
                                              <w:marBottom w:val="0"/>
                                              <w:divBdr>
                                                <w:top w:val="none" w:sz="0" w:space="0" w:color="auto"/>
                                                <w:left w:val="none" w:sz="0" w:space="0" w:color="auto"/>
                                                <w:bottom w:val="none" w:sz="0" w:space="0" w:color="auto"/>
                                                <w:right w:val="none" w:sz="0" w:space="0" w:color="auto"/>
                                              </w:divBdr>
                                              <w:divsChild>
                                                <w:div w:id="7350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1705">
                                      <w:marLeft w:val="0"/>
                                      <w:marRight w:val="0"/>
                                      <w:marTop w:val="0"/>
                                      <w:marBottom w:val="0"/>
                                      <w:divBdr>
                                        <w:top w:val="none" w:sz="0" w:space="0" w:color="auto"/>
                                        <w:left w:val="none" w:sz="0" w:space="0" w:color="auto"/>
                                        <w:bottom w:val="none" w:sz="0" w:space="0" w:color="auto"/>
                                        <w:right w:val="none" w:sz="0" w:space="0" w:color="auto"/>
                                      </w:divBdr>
                                      <w:divsChild>
                                        <w:div w:id="1043405764">
                                          <w:marLeft w:val="0"/>
                                          <w:marRight w:val="0"/>
                                          <w:marTop w:val="0"/>
                                          <w:marBottom w:val="0"/>
                                          <w:divBdr>
                                            <w:top w:val="none" w:sz="0" w:space="0" w:color="auto"/>
                                            <w:left w:val="none" w:sz="0" w:space="0" w:color="auto"/>
                                            <w:bottom w:val="none" w:sz="0" w:space="0" w:color="auto"/>
                                            <w:right w:val="none" w:sz="0" w:space="0" w:color="auto"/>
                                          </w:divBdr>
                                          <w:divsChild>
                                            <w:div w:id="12151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1250">
                          <w:marLeft w:val="0"/>
                          <w:marRight w:val="0"/>
                          <w:marTop w:val="0"/>
                          <w:marBottom w:val="0"/>
                          <w:divBdr>
                            <w:top w:val="none" w:sz="0" w:space="0" w:color="auto"/>
                            <w:left w:val="none" w:sz="0" w:space="0" w:color="auto"/>
                            <w:bottom w:val="none" w:sz="0" w:space="0" w:color="auto"/>
                            <w:right w:val="none" w:sz="0" w:space="0" w:color="auto"/>
                          </w:divBdr>
                          <w:divsChild>
                            <w:div w:id="355885346">
                              <w:marLeft w:val="0"/>
                              <w:marRight w:val="0"/>
                              <w:marTop w:val="0"/>
                              <w:marBottom w:val="0"/>
                              <w:divBdr>
                                <w:top w:val="none" w:sz="0" w:space="0" w:color="auto"/>
                                <w:left w:val="none" w:sz="0" w:space="0" w:color="auto"/>
                                <w:bottom w:val="none" w:sz="0" w:space="0" w:color="auto"/>
                                <w:right w:val="none" w:sz="0" w:space="0" w:color="auto"/>
                              </w:divBdr>
                              <w:divsChild>
                                <w:div w:id="231892419">
                                  <w:marLeft w:val="0"/>
                                  <w:marRight w:val="0"/>
                                  <w:marTop w:val="0"/>
                                  <w:marBottom w:val="0"/>
                                  <w:divBdr>
                                    <w:top w:val="none" w:sz="0" w:space="0" w:color="auto"/>
                                    <w:left w:val="none" w:sz="0" w:space="0" w:color="auto"/>
                                    <w:bottom w:val="none" w:sz="0" w:space="0" w:color="auto"/>
                                    <w:right w:val="none" w:sz="0" w:space="0" w:color="auto"/>
                                  </w:divBdr>
                                  <w:divsChild>
                                    <w:div w:id="933980815">
                                      <w:marLeft w:val="0"/>
                                      <w:marRight w:val="0"/>
                                      <w:marTop w:val="0"/>
                                      <w:marBottom w:val="0"/>
                                      <w:divBdr>
                                        <w:top w:val="none" w:sz="0" w:space="0" w:color="auto"/>
                                        <w:left w:val="none" w:sz="0" w:space="0" w:color="auto"/>
                                        <w:bottom w:val="none" w:sz="0" w:space="0" w:color="auto"/>
                                        <w:right w:val="none" w:sz="0" w:space="0" w:color="auto"/>
                                      </w:divBdr>
                                      <w:divsChild>
                                        <w:div w:id="894856198">
                                          <w:marLeft w:val="0"/>
                                          <w:marRight w:val="0"/>
                                          <w:marTop w:val="0"/>
                                          <w:marBottom w:val="0"/>
                                          <w:divBdr>
                                            <w:top w:val="none" w:sz="0" w:space="0" w:color="auto"/>
                                            <w:left w:val="none" w:sz="0" w:space="0" w:color="auto"/>
                                            <w:bottom w:val="none" w:sz="0" w:space="0" w:color="auto"/>
                                            <w:right w:val="none" w:sz="0" w:space="0" w:color="auto"/>
                                          </w:divBdr>
                                          <w:divsChild>
                                            <w:div w:id="172963975">
                                              <w:marLeft w:val="0"/>
                                              <w:marRight w:val="0"/>
                                              <w:marTop w:val="0"/>
                                              <w:marBottom w:val="0"/>
                                              <w:divBdr>
                                                <w:top w:val="none" w:sz="0" w:space="0" w:color="auto"/>
                                                <w:left w:val="none" w:sz="0" w:space="0" w:color="auto"/>
                                                <w:bottom w:val="none" w:sz="0" w:space="0" w:color="auto"/>
                                                <w:right w:val="none" w:sz="0" w:space="0" w:color="auto"/>
                                              </w:divBdr>
                                              <w:divsChild>
                                                <w:div w:id="20118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437198">
      <w:bodyDiv w:val="1"/>
      <w:marLeft w:val="0"/>
      <w:marRight w:val="0"/>
      <w:marTop w:val="0"/>
      <w:marBottom w:val="0"/>
      <w:divBdr>
        <w:top w:val="none" w:sz="0" w:space="0" w:color="auto"/>
        <w:left w:val="none" w:sz="0" w:space="0" w:color="auto"/>
        <w:bottom w:val="none" w:sz="0" w:space="0" w:color="auto"/>
        <w:right w:val="none" w:sz="0" w:space="0" w:color="auto"/>
      </w:divBdr>
      <w:divsChild>
        <w:div w:id="874343480">
          <w:marLeft w:val="0"/>
          <w:marRight w:val="0"/>
          <w:marTop w:val="0"/>
          <w:marBottom w:val="0"/>
          <w:divBdr>
            <w:top w:val="none" w:sz="0" w:space="0" w:color="auto"/>
            <w:left w:val="none" w:sz="0" w:space="0" w:color="auto"/>
            <w:bottom w:val="none" w:sz="0" w:space="0" w:color="auto"/>
            <w:right w:val="none" w:sz="0" w:space="0" w:color="auto"/>
          </w:divBdr>
          <w:divsChild>
            <w:div w:id="1216620448">
              <w:marLeft w:val="0"/>
              <w:marRight w:val="0"/>
              <w:marTop w:val="0"/>
              <w:marBottom w:val="0"/>
              <w:divBdr>
                <w:top w:val="none" w:sz="0" w:space="0" w:color="auto"/>
                <w:left w:val="none" w:sz="0" w:space="0" w:color="auto"/>
                <w:bottom w:val="none" w:sz="0" w:space="0" w:color="auto"/>
                <w:right w:val="none" w:sz="0" w:space="0" w:color="auto"/>
              </w:divBdr>
              <w:divsChild>
                <w:div w:id="8319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3002">
      <w:bodyDiv w:val="1"/>
      <w:marLeft w:val="0"/>
      <w:marRight w:val="0"/>
      <w:marTop w:val="0"/>
      <w:marBottom w:val="0"/>
      <w:divBdr>
        <w:top w:val="none" w:sz="0" w:space="0" w:color="auto"/>
        <w:left w:val="none" w:sz="0" w:space="0" w:color="auto"/>
        <w:bottom w:val="none" w:sz="0" w:space="0" w:color="auto"/>
        <w:right w:val="none" w:sz="0" w:space="0" w:color="auto"/>
      </w:divBdr>
    </w:div>
    <w:div w:id="955060660">
      <w:bodyDiv w:val="1"/>
      <w:marLeft w:val="0"/>
      <w:marRight w:val="0"/>
      <w:marTop w:val="0"/>
      <w:marBottom w:val="0"/>
      <w:divBdr>
        <w:top w:val="none" w:sz="0" w:space="0" w:color="auto"/>
        <w:left w:val="none" w:sz="0" w:space="0" w:color="auto"/>
        <w:bottom w:val="none" w:sz="0" w:space="0" w:color="auto"/>
        <w:right w:val="none" w:sz="0" w:space="0" w:color="auto"/>
      </w:divBdr>
    </w:div>
    <w:div w:id="958295174">
      <w:bodyDiv w:val="1"/>
      <w:marLeft w:val="0"/>
      <w:marRight w:val="0"/>
      <w:marTop w:val="0"/>
      <w:marBottom w:val="0"/>
      <w:divBdr>
        <w:top w:val="none" w:sz="0" w:space="0" w:color="auto"/>
        <w:left w:val="none" w:sz="0" w:space="0" w:color="auto"/>
        <w:bottom w:val="none" w:sz="0" w:space="0" w:color="auto"/>
        <w:right w:val="none" w:sz="0" w:space="0" w:color="auto"/>
      </w:divBdr>
      <w:divsChild>
        <w:div w:id="1110972259">
          <w:marLeft w:val="0"/>
          <w:marRight w:val="0"/>
          <w:marTop w:val="0"/>
          <w:marBottom w:val="0"/>
          <w:divBdr>
            <w:top w:val="none" w:sz="0" w:space="0" w:color="3D3D3D"/>
            <w:left w:val="none" w:sz="0" w:space="0" w:color="3D3D3D"/>
            <w:bottom w:val="none" w:sz="0" w:space="0" w:color="3D3D3D"/>
            <w:right w:val="none" w:sz="0" w:space="0" w:color="3D3D3D"/>
          </w:divBdr>
        </w:div>
      </w:divsChild>
    </w:div>
    <w:div w:id="958949264">
      <w:bodyDiv w:val="1"/>
      <w:marLeft w:val="0"/>
      <w:marRight w:val="0"/>
      <w:marTop w:val="0"/>
      <w:marBottom w:val="0"/>
      <w:divBdr>
        <w:top w:val="none" w:sz="0" w:space="0" w:color="auto"/>
        <w:left w:val="none" w:sz="0" w:space="0" w:color="auto"/>
        <w:bottom w:val="none" w:sz="0" w:space="0" w:color="auto"/>
        <w:right w:val="none" w:sz="0" w:space="0" w:color="auto"/>
      </w:divBdr>
      <w:divsChild>
        <w:div w:id="1546914778">
          <w:marLeft w:val="0"/>
          <w:marRight w:val="0"/>
          <w:marTop w:val="0"/>
          <w:marBottom w:val="0"/>
          <w:divBdr>
            <w:top w:val="none" w:sz="0" w:space="0" w:color="auto"/>
            <w:left w:val="none" w:sz="0" w:space="0" w:color="auto"/>
            <w:bottom w:val="none" w:sz="0" w:space="0" w:color="auto"/>
            <w:right w:val="none" w:sz="0" w:space="0" w:color="auto"/>
          </w:divBdr>
          <w:divsChild>
            <w:div w:id="1970430975">
              <w:marLeft w:val="0"/>
              <w:marRight w:val="0"/>
              <w:marTop w:val="0"/>
              <w:marBottom w:val="0"/>
              <w:divBdr>
                <w:top w:val="none" w:sz="0" w:space="0" w:color="auto"/>
                <w:left w:val="none" w:sz="0" w:space="0" w:color="auto"/>
                <w:bottom w:val="none" w:sz="0" w:space="0" w:color="auto"/>
                <w:right w:val="none" w:sz="0" w:space="0" w:color="auto"/>
              </w:divBdr>
              <w:divsChild>
                <w:div w:id="17436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0653">
      <w:bodyDiv w:val="1"/>
      <w:marLeft w:val="0"/>
      <w:marRight w:val="0"/>
      <w:marTop w:val="0"/>
      <w:marBottom w:val="0"/>
      <w:divBdr>
        <w:top w:val="none" w:sz="0" w:space="0" w:color="auto"/>
        <w:left w:val="none" w:sz="0" w:space="0" w:color="auto"/>
        <w:bottom w:val="none" w:sz="0" w:space="0" w:color="auto"/>
        <w:right w:val="none" w:sz="0" w:space="0" w:color="auto"/>
      </w:divBdr>
      <w:divsChild>
        <w:div w:id="1735615710">
          <w:marLeft w:val="0"/>
          <w:marRight w:val="0"/>
          <w:marTop w:val="0"/>
          <w:marBottom w:val="0"/>
          <w:divBdr>
            <w:top w:val="none" w:sz="0" w:space="0" w:color="auto"/>
            <w:left w:val="none" w:sz="0" w:space="0" w:color="auto"/>
            <w:bottom w:val="none" w:sz="0" w:space="0" w:color="auto"/>
            <w:right w:val="none" w:sz="0" w:space="0" w:color="auto"/>
          </w:divBdr>
          <w:divsChild>
            <w:div w:id="1182165502">
              <w:marLeft w:val="0"/>
              <w:marRight w:val="0"/>
              <w:marTop w:val="0"/>
              <w:marBottom w:val="0"/>
              <w:divBdr>
                <w:top w:val="none" w:sz="0" w:space="0" w:color="auto"/>
                <w:left w:val="none" w:sz="0" w:space="0" w:color="auto"/>
                <w:bottom w:val="none" w:sz="0" w:space="0" w:color="auto"/>
                <w:right w:val="none" w:sz="0" w:space="0" w:color="auto"/>
              </w:divBdr>
              <w:divsChild>
                <w:div w:id="1829788013">
                  <w:marLeft w:val="0"/>
                  <w:marRight w:val="0"/>
                  <w:marTop w:val="0"/>
                  <w:marBottom w:val="0"/>
                  <w:divBdr>
                    <w:top w:val="none" w:sz="0" w:space="0" w:color="auto"/>
                    <w:left w:val="none" w:sz="0" w:space="0" w:color="auto"/>
                    <w:bottom w:val="none" w:sz="0" w:space="0" w:color="auto"/>
                    <w:right w:val="none" w:sz="0" w:space="0" w:color="auto"/>
                  </w:divBdr>
                  <w:divsChild>
                    <w:div w:id="20654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07232">
      <w:bodyDiv w:val="1"/>
      <w:marLeft w:val="0"/>
      <w:marRight w:val="0"/>
      <w:marTop w:val="0"/>
      <w:marBottom w:val="0"/>
      <w:divBdr>
        <w:top w:val="none" w:sz="0" w:space="0" w:color="auto"/>
        <w:left w:val="none" w:sz="0" w:space="0" w:color="auto"/>
        <w:bottom w:val="none" w:sz="0" w:space="0" w:color="auto"/>
        <w:right w:val="none" w:sz="0" w:space="0" w:color="auto"/>
      </w:divBdr>
    </w:div>
    <w:div w:id="965238299">
      <w:bodyDiv w:val="1"/>
      <w:marLeft w:val="0"/>
      <w:marRight w:val="0"/>
      <w:marTop w:val="0"/>
      <w:marBottom w:val="0"/>
      <w:divBdr>
        <w:top w:val="none" w:sz="0" w:space="0" w:color="auto"/>
        <w:left w:val="none" w:sz="0" w:space="0" w:color="auto"/>
        <w:bottom w:val="none" w:sz="0" w:space="0" w:color="auto"/>
        <w:right w:val="none" w:sz="0" w:space="0" w:color="auto"/>
      </w:divBdr>
    </w:div>
    <w:div w:id="965507041">
      <w:bodyDiv w:val="1"/>
      <w:marLeft w:val="0"/>
      <w:marRight w:val="0"/>
      <w:marTop w:val="0"/>
      <w:marBottom w:val="0"/>
      <w:divBdr>
        <w:top w:val="none" w:sz="0" w:space="0" w:color="auto"/>
        <w:left w:val="none" w:sz="0" w:space="0" w:color="auto"/>
        <w:bottom w:val="none" w:sz="0" w:space="0" w:color="auto"/>
        <w:right w:val="none" w:sz="0" w:space="0" w:color="auto"/>
      </w:divBdr>
    </w:div>
    <w:div w:id="966399235">
      <w:bodyDiv w:val="1"/>
      <w:marLeft w:val="0"/>
      <w:marRight w:val="0"/>
      <w:marTop w:val="0"/>
      <w:marBottom w:val="0"/>
      <w:divBdr>
        <w:top w:val="none" w:sz="0" w:space="0" w:color="auto"/>
        <w:left w:val="none" w:sz="0" w:space="0" w:color="auto"/>
        <w:bottom w:val="none" w:sz="0" w:space="0" w:color="auto"/>
        <w:right w:val="none" w:sz="0" w:space="0" w:color="auto"/>
      </w:divBdr>
    </w:div>
    <w:div w:id="966622042">
      <w:bodyDiv w:val="1"/>
      <w:marLeft w:val="0"/>
      <w:marRight w:val="0"/>
      <w:marTop w:val="0"/>
      <w:marBottom w:val="0"/>
      <w:divBdr>
        <w:top w:val="none" w:sz="0" w:space="0" w:color="auto"/>
        <w:left w:val="none" w:sz="0" w:space="0" w:color="auto"/>
        <w:bottom w:val="none" w:sz="0" w:space="0" w:color="auto"/>
        <w:right w:val="none" w:sz="0" w:space="0" w:color="auto"/>
      </w:divBdr>
      <w:divsChild>
        <w:div w:id="253829551">
          <w:marLeft w:val="0"/>
          <w:marRight w:val="0"/>
          <w:marTop w:val="0"/>
          <w:marBottom w:val="0"/>
          <w:divBdr>
            <w:top w:val="none" w:sz="0" w:space="0" w:color="auto"/>
            <w:left w:val="none" w:sz="0" w:space="0" w:color="auto"/>
            <w:bottom w:val="none" w:sz="0" w:space="0" w:color="auto"/>
            <w:right w:val="none" w:sz="0" w:space="0" w:color="auto"/>
          </w:divBdr>
          <w:divsChild>
            <w:div w:id="617952407">
              <w:marLeft w:val="0"/>
              <w:marRight w:val="0"/>
              <w:marTop w:val="0"/>
              <w:marBottom w:val="0"/>
              <w:divBdr>
                <w:top w:val="none" w:sz="0" w:space="0" w:color="auto"/>
                <w:left w:val="none" w:sz="0" w:space="0" w:color="auto"/>
                <w:bottom w:val="none" w:sz="0" w:space="0" w:color="auto"/>
                <w:right w:val="none" w:sz="0" w:space="0" w:color="auto"/>
              </w:divBdr>
              <w:divsChild>
                <w:div w:id="15186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22828">
      <w:bodyDiv w:val="1"/>
      <w:marLeft w:val="0"/>
      <w:marRight w:val="0"/>
      <w:marTop w:val="0"/>
      <w:marBottom w:val="0"/>
      <w:divBdr>
        <w:top w:val="none" w:sz="0" w:space="0" w:color="auto"/>
        <w:left w:val="none" w:sz="0" w:space="0" w:color="auto"/>
        <w:bottom w:val="none" w:sz="0" w:space="0" w:color="auto"/>
        <w:right w:val="none" w:sz="0" w:space="0" w:color="auto"/>
      </w:divBdr>
    </w:div>
    <w:div w:id="967010845">
      <w:bodyDiv w:val="1"/>
      <w:marLeft w:val="0"/>
      <w:marRight w:val="0"/>
      <w:marTop w:val="0"/>
      <w:marBottom w:val="0"/>
      <w:divBdr>
        <w:top w:val="none" w:sz="0" w:space="0" w:color="auto"/>
        <w:left w:val="none" w:sz="0" w:space="0" w:color="auto"/>
        <w:bottom w:val="none" w:sz="0" w:space="0" w:color="auto"/>
        <w:right w:val="none" w:sz="0" w:space="0" w:color="auto"/>
      </w:divBdr>
    </w:div>
    <w:div w:id="968971139">
      <w:bodyDiv w:val="1"/>
      <w:marLeft w:val="0"/>
      <w:marRight w:val="0"/>
      <w:marTop w:val="0"/>
      <w:marBottom w:val="0"/>
      <w:divBdr>
        <w:top w:val="none" w:sz="0" w:space="0" w:color="auto"/>
        <w:left w:val="none" w:sz="0" w:space="0" w:color="auto"/>
        <w:bottom w:val="none" w:sz="0" w:space="0" w:color="auto"/>
        <w:right w:val="none" w:sz="0" w:space="0" w:color="auto"/>
      </w:divBdr>
    </w:div>
    <w:div w:id="971062938">
      <w:bodyDiv w:val="1"/>
      <w:marLeft w:val="0"/>
      <w:marRight w:val="0"/>
      <w:marTop w:val="0"/>
      <w:marBottom w:val="0"/>
      <w:divBdr>
        <w:top w:val="none" w:sz="0" w:space="0" w:color="auto"/>
        <w:left w:val="none" w:sz="0" w:space="0" w:color="auto"/>
        <w:bottom w:val="none" w:sz="0" w:space="0" w:color="auto"/>
        <w:right w:val="none" w:sz="0" w:space="0" w:color="auto"/>
      </w:divBdr>
      <w:divsChild>
        <w:div w:id="1697194114">
          <w:marLeft w:val="0"/>
          <w:marRight w:val="0"/>
          <w:marTop w:val="0"/>
          <w:marBottom w:val="0"/>
          <w:divBdr>
            <w:top w:val="none" w:sz="0" w:space="0" w:color="auto"/>
            <w:left w:val="none" w:sz="0" w:space="0" w:color="auto"/>
            <w:bottom w:val="none" w:sz="0" w:space="0" w:color="auto"/>
            <w:right w:val="none" w:sz="0" w:space="0" w:color="auto"/>
          </w:divBdr>
          <w:divsChild>
            <w:div w:id="1985548845">
              <w:marLeft w:val="0"/>
              <w:marRight w:val="0"/>
              <w:marTop w:val="0"/>
              <w:marBottom w:val="0"/>
              <w:divBdr>
                <w:top w:val="none" w:sz="0" w:space="0" w:color="auto"/>
                <w:left w:val="none" w:sz="0" w:space="0" w:color="auto"/>
                <w:bottom w:val="none" w:sz="0" w:space="0" w:color="auto"/>
                <w:right w:val="none" w:sz="0" w:space="0" w:color="auto"/>
              </w:divBdr>
              <w:divsChild>
                <w:div w:id="592785985">
                  <w:marLeft w:val="0"/>
                  <w:marRight w:val="0"/>
                  <w:marTop w:val="0"/>
                  <w:marBottom w:val="0"/>
                  <w:divBdr>
                    <w:top w:val="none" w:sz="0" w:space="0" w:color="auto"/>
                    <w:left w:val="none" w:sz="0" w:space="0" w:color="auto"/>
                    <w:bottom w:val="none" w:sz="0" w:space="0" w:color="auto"/>
                    <w:right w:val="none" w:sz="0" w:space="0" w:color="auto"/>
                  </w:divBdr>
                  <w:divsChild>
                    <w:div w:id="12250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99937">
          <w:marLeft w:val="0"/>
          <w:marRight w:val="0"/>
          <w:marTop w:val="0"/>
          <w:marBottom w:val="0"/>
          <w:divBdr>
            <w:top w:val="none" w:sz="0" w:space="0" w:color="auto"/>
            <w:left w:val="none" w:sz="0" w:space="0" w:color="auto"/>
            <w:bottom w:val="none" w:sz="0" w:space="0" w:color="auto"/>
            <w:right w:val="none" w:sz="0" w:space="0" w:color="auto"/>
          </w:divBdr>
          <w:divsChild>
            <w:div w:id="1725062321">
              <w:marLeft w:val="0"/>
              <w:marRight w:val="0"/>
              <w:marTop w:val="0"/>
              <w:marBottom w:val="0"/>
              <w:divBdr>
                <w:top w:val="none" w:sz="0" w:space="0" w:color="auto"/>
                <w:left w:val="none" w:sz="0" w:space="0" w:color="auto"/>
                <w:bottom w:val="none" w:sz="0" w:space="0" w:color="auto"/>
                <w:right w:val="none" w:sz="0" w:space="0" w:color="auto"/>
              </w:divBdr>
              <w:divsChild>
                <w:div w:id="719134071">
                  <w:marLeft w:val="0"/>
                  <w:marRight w:val="0"/>
                  <w:marTop w:val="0"/>
                  <w:marBottom w:val="0"/>
                  <w:divBdr>
                    <w:top w:val="none" w:sz="0" w:space="0" w:color="auto"/>
                    <w:left w:val="none" w:sz="0" w:space="0" w:color="auto"/>
                    <w:bottom w:val="none" w:sz="0" w:space="0" w:color="auto"/>
                    <w:right w:val="none" w:sz="0" w:space="0" w:color="auto"/>
                  </w:divBdr>
                  <w:divsChild>
                    <w:div w:id="9421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60623">
      <w:bodyDiv w:val="1"/>
      <w:marLeft w:val="0"/>
      <w:marRight w:val="0"/>
      <w:marTop w:val="0"/>
      <w:marBottom w:val="0"/>
      <w:divBdr>
        <w:top w:val="none" w:sz="0" w:space="0" w:color="auto"/>
        <w:left w:val="none" w:sz="0" w:space="0" w:color="auto"/>
        <w:bottom w:val="none" w:sz="0" w:space="0" w:color="auto"/>
        <w:right w:val="none" w:sz="0" w:space="0" w:color="auto"/>
      </w:divBdr>
      <w:divsChild>
        <w:div w:id="91173903">
          <w:marLeft w:val="0"/>
          <w:marRight w:val="0"/>
          <w:marTop w:val="0"/>
          <w:marBottom w:val="0"/>
          <w:divBdr>
            <w:top w:val="none" w:sz="0" w:space="0" w:color="auto"/>
            <w:left w:val="none" w:sz="0" w:space="0" w:color="auto"/>
            <w:bottom w:val="none" w:sz="0" w:space="0" w:color="auto"/>
            <w:right w:val="none" w:sz="0" w:space="0" w:color="auto"/>
          </w:divBdr>
          <w:divsChild>
            <w:div w:id="625819669">
              <w:marLeft w:val="0"/>
              <w:marRight w:val="0"/>
              <w:marTop w:val="0"/>
              <w:marBottom w:val="0"/>
              <w:divBdr>
                <w:top w:val="none" w:sz="0" w:space="0" w:color="auto"/>
                <w:left w:val="none" w:sz="0" w:space="0" w:color="auto"/>
                <w:bottom w:val="none" w:sz="0" w:space="0" w:color="auto"/>
                <w:right w:val="none" w:sz="0" w:space="0" w:color="auto"/>
              </w:divBdr>
              <w:divsChild>
                <w:div w:id="985083918">
                  <w:marLeft w:val="0"/>
                  <w:marRight w:val="0"/>
                  <w:marTop w:val="0"/>
                  <w:marBottom w:val="0"/>
                  <w:divBdr>
                    <w:top w:val="none" w:sz="0" w:space="0" w:color="auto"/>
                    <w:left w:val="none" w:sz="0" w:space="0" w:color="auto"/>
                    <w:bottom w:val="none" w:sz="0" w:space="0" w:color="auto"/>
                    <w:right w:val="none" w:sz="0" w:space="0" w:color="auto"/>
                  </w:divBdr>
                  <w:divsChild>
                    <w:div w:id="10318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04597">
      <w:bodyDiv w:val="1"/>
      <w:marLeft w:val="0"/>
      <w:marRight w:val="0"/>
      <w:marTop w:val="0"/>
      <w:marBottom w:val="0"/>
      <w:divBdr>
        <w:top w:val="none" w:sz="0" w:space="0" w:color="auto"/>
        <w:left w:val="none" w:sz="0" w:space="0" w:color="auto"/>
        <w:bottom w:val="none" w:sz="0" w:space="0" w:color="auto"/>
        <w:right w:val="none" w:sz="0" w:space="0" w:color="auto"/>
      </w:divBdr>
      <w:divsChild>
        <w:div w:id="678235742">
          <w:marLeft w:val="0"/>
          <w:marRight w:val="0"/>
          <w:marTop w:val="0"/>
          <w:marBottom w:val="0"/>
          <w:divBdr>
            <w:top w:val="none" w:sz="0" w:space="0" w:color="auto"/>
            <w:left w:val="none" w:sz="0" w:space="0" w:color="auto"/>
            <w:bottom w:val="none" w:sz="0" w:space="0" w:color="auto"/>
            <w:right w:val="none" w:sz="0" w:space="0" w:color="auto"/>
          </w:divBdr>
          <w:divsChild>
            <w:div w:id="723988618">
              <w:marLeft w:val="0"/>
              <w:marRight w:val="0"/>
              <w:marTop w:val="0"/>
              <w:marBottom w:val="0"/>
              <w:divBdr>
                <w:top w:val="none" w:sz="0" w:space="0" w:color="auto"/>
                <w:left w:val="none" w:sz="0" w:space="0" w:color="auto"/>
                <w:bottom w:val="none" w:sz="0" w:space="0" w:color="auto"/>
                <w:right w:val="none" w:sz="0" w:space="0" w:color="auto"/>
              </w:divBdr>
              <w:divsChild>
                <w:div w:id="2088845171">
                  <w:marLeft w:val="0"/>
                  <w:marRight w:val="0"/>
                  <w:marTop w:val="0"/>
                  <w:marBottom w:val="0"/>
                  <w:divBdr>
                    <w:top w:val="none" w:sz="0" w:space="0" w:color="auto"/>
                    <w:left w:val="none" w:sz="0" w:space="0" w:color="auto"/>
                    <w:bottom w:val="none" w:sz="0" w:space="0" w:color="auto"/>
                    <w:right w:val="none" w:sz="0" w:space="0" w:color="auto"/>
                  </w:divBdr>
                  <w:divsChild>
                    <w:div w:id="10094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76240">
      <w:bodyDiv w:val="1"/>
      <w:marLeft w:val="0"/>
      <w:marRight w:val="0"/>
      <w:marTop w:val="0"/>
      <w:marBottom w:val="0"/>
      <w:divBdr>
        <w:top w:val="none" w:sz="0" w:space="0" w:color="auto"/>
        <w:left w:val="none" w:sz="0" w:space="0" w:color="auto"/>
        <w:bottom w:val="none" w:sz="0" w:space="0" w:color="auto"/>
        <w:right w:val="none" w:sz="0" w:space="0" w:color="auto"/>
      </w:divBdr>
      <w:divsChild>
        <w:div w:id="821585715">
          <w:marLeft w:val="0"/>
          <w:marRight w:val="0"/>
          <w:marTop w:val="0"/>
          <w:marBottom w:val="0"/>
          <w:divBdr>
            <w:top w:val="none" w:sz="0" w:space="0" w:color="auto"/>
            <w:left w:val="none" w:sz="0" w:space="0" w:color="auto"/>
            <w:bottom w:val="none" w:sz="0" w:space="0" w:color="auto"/>
            <w:right w:val="none" w:sz="0" w:space="0" w:color="auto"/>
          </w:divBdr>
          <w:divsChild>
            <w:div w:id="263729457">
              <w:marLeft w:val="0"/>
              <w:marRight w:val="0"/>
              <w:marTop w:val="0"/>
              <w:marBottom w:val="0"/>
              <w:divBdr>
                <w:top w:val="none" w:sz="0" w:space="0" w:color="auto"/>
                <w:left w:val="none" w:sz="0" w:space="0" w:color="auto"/>
                <w:bottom w:val="none" w:sz="0" w:space="0" w:color="auto"/>
                <w:right w:val="none" w:sz="0" w:space="0" w:color="auto"/>
              </w:divBdr>
              <w:divsChild>
                <w:div w:id="21253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84163">
      <w:bodyDiv w:val="1"/>
      <w:marLeft w:val="0"/>
      <w:marRight w:val="0"/>
      <w:marTop w:val="0"/>
      <w:marBottom w:val="0"/>
      <w:divBdr>
        <w:top w:val="none" w:sz="0" w:space="0" w:color="auto"/>
        <w:left w:val="none" w:sz="0" w:space="0" w:color="auto"/>
        <w:bottom w:val="none" w:sz="0" w:space="0" w:color="auto"/>
        <w:right w:val="none" w:sz="0" w:space="0" w:color="auto"/>
      </w:divBdr>
    </w:div>
    <w:div w:id="980117373">
      <w:bodyDiv w:val="1"/>
      <w:marLeft w:val="0"/>
      <w:marRight w:val="0"/>
      <w:marTop w:val="0"/>
      <w:marBottom w:val="0"/>
      <w:divBdr>
        <w:top w:val="none" w:sz="0" w:space="0" w:color="auto"/>
        <w:left w:val="none" w:sz="0" w:space="0" w:color="auto"/>
        <w:bottom w:val="none" w:sz="0" w:space="0" w:color="auto"/>
        <w:right w:val="none" w:sz="0" w:space="0" w:color="auto"/>
      </w:divBdr>
    </w:div>
    <w:div w:id="981151286">
      <w:bodyDiv w:val="1"/>
      <w:marLeft w:val="0"/>
      <w:marRight w:val="0"/>
      <w:marTop w:val="0"/>
      <w:marBottom w:val="0"/>
      <w:divBdr>
        <w:top w:val="none" w:sz="0" w:space="0" w:color="auto"/>
        <w:left w:val="none" w:sz="0" w:space="0" w:color="auto"/>
        <w:bottom w:val="none" w:sz="0" w:space="0" w:color="auto"/>
        <w:right w:val="none" w:sz="0" w:space="0" w:color="auto"/>
      </w:divBdr>
      <w:divsChild>
        <w:div w:id="1087770877">
          <w:marLeft w:val="0"/>
          <w:marRight w:val="0"/>
          <w:marTop w:val="0"/>
          <w:marBottom w:val="0"/>
          <w:divBdr>
            <w:top w:val="none" w:sz="0" w:space="0" w:color="auto"/>
            <w:left w:val="none" w:sz="0" w:space="0" w:color="auto"/>
            <w:bottom w:val="none" w:sz="0" w:space="0" w:color="auto"/>
            <w:right w:val="none" w:sz="0" w:space="0" w:color="auto"/>
          </w:divBdr>
          <w:divsChild>
            <w:div w:id="446504156">
              <w:marLeft w:val="0"/>
              <w:marRight w:val="0"/>
              <w:marTop w:val="0"/>
              <w:marBottom w:val="0"/>
              <w:divBdr>
                <w:top w:val="none" w:sz="0" w:space="0" w:color="auto"/>
                <w:left w:val="none" w:sz="0" w:space="0" w:color="auto"/>
                <w:bottom w:val="none" w:sz="0" w:space="0" w:color="auto"/>
                <w:right w:val="none" w:sz="0" w:space="0" w:color="auto"/>
              </w:divBdr>
              <w:divsChild>
                <w:div w:id="582031916">
                  <w:marLeft w:val="0"/>
                  <w:marRight w:val="0"/>
                  <w:marTop w:val="0"/>
                  <w:marBottom w:val="0"/>
                  <w:divBdr>
                    <w:top w:val="none" w:sz="0" w:space="0" w:color="auto"/>
                    <w:left w:val="none" w:sz="0" w:space="0" w:color="auto"/>
                    <w:bottom w:val="none" w:sz="0" w:space="0" w:color="auto"/>
                    <w:right w:val="none" w:sz="0" w:space="0" w:color="auto"/>
                  </w:divBdr>
                  <w:divsChild>
                    <w:div w:id="4862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817328">
      <w:bodyDiv w:val="1"/>
      <w:marLeft w:val="0"/>
      <w:marRight w:val="0"/>
      <w:marTop w:val="0"/>
      <w:marBottom w:val="0"/>
      <w:divBdr>
        <w:top w:val="none" w:sz="0" w:space="0" w:color="auto"/>
        <w:left w:val="none" w:sz="0" w:space="0" w:color="auto"/>
        <w:bottom w:val="none" w:sz="0" w:space="0" w:color="auto"/>
        <w:right w:val="none" w:sz="0" w:space="0" w:color="auto"/>
      </w:divBdr>
    </w:div>
    <w:div w:id="986131263">
      <w:bodyDiv w:val="1"/>
      <w:marLeft w:val="0"/>
      <w:marRight w:val="0"/>
      <w:marTop w:val="0"/>
      <w:marBottom w:val="0"/>
      <w:divBdr>
        <w:top w:val="none" w:sz="0" w:space="0" w:color="auto"/>
        <w:left w:val="none" w:sz="0" w:space="0" w:color="auto"/>
        <w:bottom w:val="none" w:sz="0" w:space="0" w:color="auto"/>
        <w:right w:val="none" w:sz="0" w:space="0" w:color="auto"/>
      </w:divBdr>
      <w:divsChild>
        <w:div w:id="1089546685">
          <w:marLeft w:val="0"/>
          <w:marRight w:val="0"/>
          <w:marTop w:val="0"/>
          <w:marBottom w:val="0"/>
          <w:divBdr>
            <w:top w:val="none" w:sz="0" w:space="0" w:color="auto"/>
            <w:left w:val="none" w:sz="0" w:space="0" w:color="auto"/>
            <w:bottom w:val="none" w:sz="0" w:space="0" w:color="auto"/>
            <w:right w:val="none" w:sz="0" w:space="0" w:color="auto"/>
          </w:divBdr>
          <w:divsChild>
            <w:div w:id="1447239784">
              <w:marLeft w:val="0"/>
              <w:marRight w:val="0"/>
              <w:marTop w:val="0"/>
              <w:marBottom w:val="0"/>
              <w:divBdr>
                <w:top w:val="none" w:sz="0" w:space="0" w:color="auto"/>
                <w:left w:val="none" w:sz="0" w:space="0" w:color="auto"/>
                <w:bottom w:val="none" w:sz="0" w:space="0" w:color="auto"/>
                <w:right w:val="none" w:sz="0" w:space="0" w:color="auto"/>
              </w:divBdr>
              <w:divsChild>
                <w:div w:id="14293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67495">
      <w:bodyDiv w:val="1"/>
      <w:marLeft w:val="0"/>
      <w:marRight w:val="0"/>
      <w:marTop w:val="0"/>
      <w:marBottom w:val="0"/>
      <w:divBdr>
        <w:top w:val="none" w:sz="0" w:space="0" w:color="auto"/>
        <w:left w:val="none" w:sz="0" w:space="0" w:color="auto"/>
        <w:bottom w:val="none" w:sz="0" w:space="0" w:color="auto"/>
        <w:right w:val="none" w:sz="0" w:space="0" w:color="auto"/>
      </w:divBdr>
      <w:divsChild>
        <w:div w:id="812605919">
          <w:marLeft w:val="0"/>
          <w:marRight w:val="0"/>
          <w:marTop w:val="0"/>
          <w:marBottom w:val="0"/>
          <w:divBdr>
            <w:top w:val="none" w:sz="0" w:space="0" w:color="auto"/>
            <w:left w:val="none" w:sz="0" w:space="0" w:color="auto"/>
            <w:bottom w:val="none" w:sz="0" w:space="0" w:color="auto"/>
            <w:right w:val="none" w:sz="0" w:space="0" w:color="auto"/>
          </w:divBdr>
        </w:div>
        <w:div w:id="1533958755">
          <w:marLeft w:val="0"/>
          <w:marRight w:val="0"/>
          <w:marTop w:val="0"/>
          <w:marBottom w:val="0"/>
          <w:divBdr>
            <w:top w:val="none" w:sz="0" w:space="0" w:color="auto"/>
            <w:left w:val="none" w:sz="0" w:space="0" w:color="auto"/>
            <w:bottom w:val="none" w:sz="0" w:space="0" w:color="auto"/>
            <w:right w:val="none" w:sz="0" w:space="0" w:color="auto"/>
          </w:divBdr>
        </w:div>
      </w:divsChild>
    </w:div>
    <w:div w:id="988554906">
      <w:bodyDiv w:val="1"/>
      <w:marLeft w:val="0"/>
      <w:marRight w:val="0"/>
      <w:marTop w:val="0"/>
      <w:marBottom w:val="0"/>
      <w:divBdr>
        <w:top w:val="none" w:sz="0" w:space="0" w:color="auto"/>
        <w:left w:val="none" w:sz="0" w:space="0" w:color="auto"/>
        <w:bottom w:val="none" w:sz="0" w:space="0" w:color="auto"/>
        <w:right w:val="none" w:sz="0" w:space="0" w:color="auto"/>
      </w:divBdr>
    </w:div>
    <w:div w:id="989865028">
      <w:bodyDiv w:val="1"/>
      <w:marLeft w:val="0"/>
      <w:marRight w:val="0"/>
      <w:marTop w:val="0"/>
      <w:marBottom w:val="0"/>
      <w:divBdr>
        <w:top w:val="none" w:sz="0" w:space="0" w:color="auto"/>
        <w:left w:val="none" w:sz="0" w:space="0" w:color="auto"/>
        <w:bottom w:val="none" w:sz="0" w:space="0" w:color="auto"/>
        <w:right w:val="none" w:sz="0" w:space="0" w:color="auto"/>
      </w:divBdr>
    </w:div>
    <w:div w:id="993798530">
      <w:bodyDiv w:val="1"/>
      <w:marLeft w:val="0"/>
      <w:marRight w:val="0"/>
      <w:marTop w:val="0"/>
      <w:marBottom w:val="0"/>
      <w:divBdr>
        <w:top w:val="none" w:sz="0" w:space="0" w:color="auto"/>
        <w:left w:val="none" w:sz="0" w:space="0" w:color="auto"/>
        <w:bottom w:val="none" w:sz="0" w:space="0" w:color="auto"/>
        <w:right w:val="none" w:sz="0" w:space="0" w:color="auto"/>
      </w:divBdr>
    </w:div>
    <w:div w:id="996688388">
      <w:bodyDiv w:val="1"/>
      <w:marLeft w:val="0"/>
      <w:marRight w:val="0"/>
      <w:marTop w:val="0"/>
      <w:marBottom w:val="0"/>
      <w:divBdr>
        <w:top w:val="none" w:sz="0" w:space="0" w:color="auto"/>
        <w:left w:val="none" w:sz="0" w:space="0" w:color="auto"/>
        <w:bottom w:val="none" w:sz="0" w:space="0" w:color="auto"/>
        <w:right w:val="none" w:sz="0" w:space="0" w:color="auto"/>
      </w:divBdr>
      <w:divsChild>
        <w:div w:id="205146856">
          <w:marLeft w:val="0"/>
          <w:marRight w:val="0"/>
          <w:marTop w:val="0"/>
          <w:marBottom w:val="0"/>
          <w:divBdr>
            <w:top w:val="none" w:sz="0" w:space="0" w:color="auto"/>
            <w:left w:val="none" w:sz="0" w:space="0" w:color="auto"/>
            <w:bottom w:val="none" w:sz="0" w:space="0" w:color="auto"/>
            <w:right w:val="none" w:sz="0" w:space="0" w:color="auto"/>
          </w:divBdr>
          <w:divsChild>
            <w:div w:id="778260366">
              <w:marLeft w:val="0"/>
              <w:marRight w:val="0"/>
              <w:marTop w:val="0"/>
              <w:marBottom w:val="0"/>
              <w:divBdr>
                <w:top w:val="none" w:sz="0" w:space="0" w:color="auto"/>
                <w:left w:val="none" w:sz="0" w:space="0" w:color="auto"/>
                <w:bottom w:val="none" w:sz="0" w:space="0" w:color="auto"/>
                <w:right w:val="none" w:sz="0" w:space="0" w:color="auto"/>
              </w:divBdr>
              <w:divsChild>
                <w:div w:id="3233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79886">
      <w:bodyDiv w:val="1"/>
      <w:marLeft w:val="0"/>
      <w:marRight w:val="0"/>
      <w:marTop w:val="0"/>
      <w:marBottom w:val="0"/>
      <w:divBdr>
        <w:top w:val="none" w:sz="0" w:space="0" w:color="auto"/>
        <w:left w:val="none" w:sz="0" w:space="0" w:color="auto"/>
        <w:bottom w:val="none" w:sz="0" w:space="0" w:color="auto"/>
        <w:right w:val="none" w:sz="0" w:space="0" w:color="auto"/>
      </w:divBdr>
    </w:div>
    <w:div w:id="1007900008">
      <w:bodyDiv w:val="1"/>
      <w:marLeft w:val="0"/>
      <w:marRight w:val="0"/>
      <w:marTop w:val="0"/>
      <w:marBottom w:val="0"/>
      <w:divBdr>
        <w:top w:val="none" w:sz="0" w:space="0" w:color="auto"/>
        <w:left w:val="none" w:sz="0" w:space="0" w:color="auto"/>
        <w:bottom w:val="none" w:sz="0" w:space="0" w:color="auto"/>
        <w:right w:val="none" w:sz="0" w:space="0" w:color="auto"/>
      </w:divBdr>
      <w:divsChild>
        <w:div w:id="531724341">
          <w:marLeft w:val="0"/>
          <w:marRight w:val="0"/>
          <w:marTop w:val="0"/>
          <w:marBottom w:val="0"/>
          <w:divBdr>
            <w:top w:val="none" w:sz="0" w:space="0" w:color="auto"/>
            <w:left w:val="none" w:sz="0" w:space="0" w:color="auto"/>
            <w:bottom w:val="none" w:sz="0" w:space="0" w:color="auto"/>
            <w:right w:val="none" w:sz="0" w:space="0" w:color="auto"/>
          </w:divBdr>
          <w:divsChild>
            <w:div w:id="53163232">
              <w:marLeft w:val="0"/>
              <w:marRight w:val="0"/>
              <w:marTop w:val="0"/>
              <w:marBottom w:val="0"/>
              <w:divBdr>
                <w:top w:val="none" w:sz="0" w:space="0" w:color="auto"/>
                <w:left w:val="none" w:sz="0" w:space="0" w:color="auto"/>
                <w:bottom w:val="none" w:sz="0" w:space="0" w:color="auto"/>
                <w:right w:val="none" w:sz="0" w:space="0" w:color="auto"/>
              </w:divBdr>
              <w:divsChild>
                <w:div w:id="20827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134730">
      <w:bodyDiv w:val="1"/>
      <w:marLeft w:val="0"/>
      <w:marRight w:val="0"/>
      <w:marTop w:val="0"/>
      <w:marBottom w:val="0"/>
      <w:divBdr>
        <w:top w:val="none" w:sz="0" w:space="0" w:color="auto"/>
        <w:left w:val="none" w:sz="0" w:space="0" w:color="auto"/>
        <w:bottom w:val="none" w:sz="0" w:space="0" w:color="auto"/>
        <w:right w:val="none" w:sz="0" w:space="0" w:color="auto"/>
      </w:divBdr>
      <w:divsChild>
        <w:div w:id="1686594742">
          <w:marLeft w:val="0"/>
          <w:marRight w:val="0"/>
          <w:marTop w:val="0"/>
          <w:marBottom w:val="0"/>
          <w:divBdr>
            <w:top w:val="none" w:sz="0" w:space="0" w:color="auto"/>
            <w:left w:val="none" w:sz="0" w:space="0" w:color="auto"/>
            <w:bottom w:val="none" w:sz="0" w:space="0" w:color="auto"/>
            <w:right w:val="none" w:sz="0" w:space="0" w:color="auto"/>
          </w:divBdr>
          <w:divsChild>
            <w:div w:id="1883401563">
              <w:marLeft w:val="0"/>
              <w:marRight w:val="0"/>
              <w:marTop w:val="0"/>
              <w:marBottom w:val="0"/>
              <w:divBdr>
                <w:top w:val="none" w:sz="0" w:space="0" w:color="auto"/>
                <w:left w:val="none" w:sz="0" w:space="0" w:color="auto"/>
                <w:bottom w:val="none" w:sz="0" w:space="0" w:color="auto"/>
                <w:right w:val="none" w:sz="0" w:space="0" w:color="auto"/>
              </w:divBdr>
              <w:divsChild>
                <w:div w:id="950362745">
                  <w:marLeft w:val="0"/>
                  <w:marRight w:val="0"/>
                  <w:marTop w:val="0"/>
                  <w:marBottom w:val="0"/>
                  <w:divBdr>
                    <w:top w:val="none" w:sz="0" w:space="0" w:color="auto"/>
                    <w:left w:val="none" w:sz="0" w:space="0" w:color="auto"/>
                    <w:bottom w:val="none" w:sz="0" w:space="0" w:color="auto"/>
                    <w:right w:val="none" w:sz="0" w:space="0" w:color="auto"/>
                  </w:divBdr>
                  <w:divsChild>
                    <w:div w:id="126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64660">
      <w:bodyDiv w:val="1"/>
      <w:marLeft w:val="0"/>
      <w:marRight w:val="0"/>
      <w:marTop w:val="0"/>
      <w:marBottom w:val="0"/>
      <w:divBdr>
        <w:top w:val="none" w:sz="0" w:space="0" w:color="auto"/>
        <w:left w:val="none" w:sz="0" w:space="0" w:color="auto"/>
        <w:bottom w:val="none" w:sz="0" w:space="0" w:color="auto"/>
        <w:right w:val="none" w:sz="0" w:space="0" w:color="auto"/>
      </w:divBdr>
    </w:div>
    <w:div w:id="1014577636">
      <w:bodyDiv w:val="1"/>
      <w:marLeft w:val="0"/>
      <w:marRight w:val="0"/>
      <w:marTop w:val="0"/>
      <w:marBottom w:val="0"/>
      <w:divBdr>
        <w:top w:val="none" w:sz="0" w:space="0" w:color="auto"/>
        <w:left w:val="none" w:sz="0" w:space="0" w:color="auto"/>
        <w:bottom w:val="none" w:sz="0" w:space="0" w:color="auto"/>
        <w:right w:val="none" w:sz="0" w:space="0" w:color="auto"/>
      </w:divBdr>
    </w:div>
    <w:div w:id="1016225964">
      <w:bodyDiv w:val="1"/>
      <w:marLeft w:val="0"/>
      <w:marRight w:val="0"/>
      <w:marTop w:val="0"/>
      <w:marBottom w:val="0"/>
      <w:divBdr>
        <w:top w:val="none" w:sz="0" w:space="0" w:color="auto"/>
        <w:left w:val="none" w:sz="0" w:space="0" w:color="auto"/>
        <w:bottom w:val="none" w:sz="0" w:space="0" w:color="auto"/>
        <w:right w:val="none" w:sz="0" w:space="0" w:color="auto"/>
      </w:divBdr>
    </w:div>
    <w:div w:id="1017778023">
      <w:bodyDiv w:val="1"/>
      <w:marLeft w:val="0"/>
      <w:marRight w:val="0"/>
      <w:marTop w:val="0"/>
      <w:marBottom w:val="0"/>
      <w:divBdr>
        <w:top w:val="none" w:sz="0" w:space="0" w:color="auto"/>
        <w:left w:val="none" w:sz="0" w:space="0" w:color="auto"/>
        <w:bottom w:val="none" w:sz="0" w:space="0" w:color="auto"/>
        <w:right w:val="none" w:sz="0" w:space="0" w:color="auto"/>
      </w:divBdr>
      <w:divsChild>
        <w:div w:id="1451129079">
          <w:marLeft w:val="0"/>
          <w:marRight w:val="0"/>
          <w:marTop w:val="0"/>
          <w:marBottom w:val="0"/>
          <w:divBdr>
            <w:top w:val="none" w:sz="0" w:space="0" w:color="auto"/>
            <w:left w:val="none" w:sz="0" w:space="0" w:color="auto"/>
            <w:bottom w:val="none" w:sz="0" w:space="0" w:color="auto"/>
            <w:right w:val="none" w:sz="0" w:space="0" w:color="auto"/>
          </w:divBdr>
          <w:divsChild>
            <w:div w:id="391999465">
              <w:marLeft w:val="0"/>
              <w:marRight w:val="0"/>
              <w:marTop w:val="0"/>
              <w:marBottom w:val="0"/>
              <w:divBdr>
                <w:top w:val="none" w:sz="0" w:space="0" w:color="auto"/>
                <w:left w:val="none" w:sz="0" w:space="0" w:color="auto"/>
                <w:bottom w:val="none" w:sz="0" w:space="0" w:color="auto"/>
                <w:right w:val="none" w:sz="0" w:space="0" w:color="auto"/>
              </w:divBdr>
              <w:divsChild>
                <w:div w:id="16314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16970">
      <w:bodyDiv w:val="1"/>
      <w:marLeft w:val="0"/>
      <w:marRight w:val="0"/>
      <w:marTop w:val="0"/>
      <w:marBottom w:val="0"/>
      <w:divBdr>
        <w:top w:val="none" w:sz="0" w:space="0" w:color="auto"/>
        <w:left w:val="none" w:sz="0" w:space="0" w:color="auto"/>
        <w:bottom w:val="none" w:sz="0" w:space="0" w:color="auto"/>
        <w:right w:val="none" w:sz="0" w:space="0" w:color="auto"/>
      </w:divBdr>
      <w:divsChild>
        <w:div w:id="969170432">
          <w:marLeft w:val="0"/>
          <w:marRight w:val="0"/>
          <w:marTop w:val="0"/>
          <w:marBottom w:val="0"/>
          <w:divBdr>
            <w:top w:val="none" w:sz="0" w:space="0" w:color="auto"/>
            <w:left w:val="none" w:sz="0" w:space="0" w:color="auto"/>
            <w:bottom w:val="none" w:sz="0" w:space="0" w:color="auto"/>
            <w:right w:val="none" w:sz="0" w:space="0" w:color="auto"/>
          </w:divBdr>
          <w:divsChild>
            <w:div w:id="1022704762">
              <w:marLeft w:val="0"/>
              <w:marRight w:val="0"/>
              <w:marTop w:val="0"/>
              <w:marBottom w:val="0"/>
              <w:divBdr>
                <w:top w:val="none" w:sz="0" w:space="0" w:color="auto"/>
                <w:left w:val="none" w:sz="0" w:space="0" w:color="auto"/>
                <w:bottom w:val="none" w:sz="0" w:space="0" w:color="auto"/>
                <w:right w:val="none" w:sz="0" w:space="0" w:color="auto"/>
              </w:divBdr>
              <w:divsChild>
                <w:div w:id="10584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74570">
      <w:bodyDiv w:val="1"/>
      <w:marLeft w:val="0"/>
      <w:marRight w:val="0"/>
      <w:marTop w:val="0"/>
      <w:marBottom w:val="0"/>
      <w:divBdr>
        <w:top w:val="none" w:sz="0" w:space="0" w:color="auto"/>
        <w:left w:val="none" w:sz="0" w:space="0" w:color="auto"/>
        <w:bottom w:val="none" w:sz="0" w:space="0" w:color="auto"/>
        <w:right w:val="none" w:sz="0" w:space="0" w:color="auto"/>
      </w:divBdr>
    </w:div>
    <w:div w:id="1027562639">
      <w:bodyDiv w:val="1"/>
      <w:marLeft w:val="0"/>
      <w:marRight w:val="0"/>
      <w:marTop w:val="0"/>
      <w:marBottom w:val="0"/>
      <w:divBdr>
        <w:top w:val="none" w:sz="0" w:space="0" w:color="auto"/>
        <w:left w:val="none" w:sz="0" w:space="0" w:color="auto"/>
        <w:bottom w:val="none" w:sz="0" w:space="0" w:color="auto"/>
        <w:right w:val="none" w:sz="0" w:space="0" w:color="auto"/>
      </w:divBdr>
    </w:div>
    <w:div w:id="1031421344">
      <w:bodyDiv w:val="1"/>
      <w:marLeft w:val="0"/>
      <w:marRight w:val="0"/>
      <w:marTop w:val="0"/>
      <w:marBottom w:val="0"/>
      <w:divBdr>
        <w:top w:val="none" w:sz="0" w:space="0" w:color="auto"/>
        <w:left w:val="none" w:sz="0" w:space="0" w:color="auto"/>
        <w:bottom w:val="none" w:sz="0" w:space="0" w:color="auto"/>
        <w:right w:val="none" w:sz="0" w:space="0" w:color="auto"/>
      </w:divBdr>
      <w:divsChild>
        <w:div w:id="1106073251">
          <w:marLeft w:val="0"/>
          <w:marRight w:val="0"/>
          <w:marTop w:val="0"/>
          <w:marBottom w:val="0"/>
          <w:divBdr>
            <w:top w:val="none" w:sz="0" w:space="0" w:color="auto"/>
            <w:left w:val="none" w:sz="0" w:space="0" w:color="auto"/>
            <w:bottom w:val="none" w:sz="0" w:space="0" w:color="auto"/>
            <w:right w:val="none" w:sz="0" w:space="0" w:color="auto"/>
          </w:divBdr>
          <w:divsChild>
            <w:div w:id="892425467">
              <w:marLeft w:val="0"/>
              <w:marRight w:val="0"/>
              <w:marTop w:val="0"/>
              <w:marBottom w:val="0"/>
              <w:divBdr>
                <w:top w:val="none" w:sz="0" w:space="0" w:color="auto"/>
                <w:left w:val="none" w:sz="0" w:space="0" w:color="auto"/>
                <w:bottom w:val="none" w:sz="0" w:space="0" w:color="auto"/>
                <w:right w:val="none" w:sz="0" w:space="0" w:color="auto"/>
              </w:divBdr>
              <w:divsChild>
                <w:div w:id="16578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3274">
      <w:bodyDiv w:val="1"/>
      <w:marLeft w:val="0"/>
      <w:marRight w:val="0"/>
      <w:marTop w:val="0"/>
      <w:marBottom w:val="0"/>
      <w:divBdr>
        <w:top w:val="none" w:sz="0" w:space="0" w:color="auto"/>
        <w:left w:val="none" w:sz="0" w:space="0" w:color="auto"/>
        <w:bottom w:val="none" w:sz="0" w:space="0" w:color="auto"/>
        <w:right w:val="none" w:sz="0" w:space="0" w:color="auto"/>
      </w:divBdr>
    </w:div>
    <w:div w:id="1033925312">
      <w:bodyDiv w:val="1"/>
      <w:marLeft w:val="0"/>
      <w:marRight w:val="0"/>
      <w:marTop w:val="0"/>
      <w:marBottom w:val="0"/>
      <w:divBdr>
        <w:top w:val="none" w:sz="0" w:space="0" w:color="auto"/>
        <w:left w:val="none" w:sz="0" w:space="0" w:color="auto"/>
        <w:bottom w:val="none" w:sz="0" w:space="0" w:color="auto"/>
        <w:right w:val="none" w:sz="0" w:space="0" w:color="auto"/>
      </w:divBdr>
      <w:divsChild>
        <w:div w:id="580140999">
          <w:marLeft w:val="0"/>
          <w:marRight w:val="0"/>
          <w:marTop w:val="0"/>
          <w:marBottom w:val="0"/>
          <w:divBdr>
            <w:top w:val="none" w:sz="0" w:space="0" w:color="auto"/>
            <w:left w:val="none" w:sz="0" w:space="0" w:color="auto"/>
            <w:bottom w:val="none" w:sz="0" w:space="0" w:color="auto"/>
            <w:right w:val="none" w:sz="0" w:space="0" w:color="auto"/>
          </w:divBdr>
        </w:div>
        <w:div w:id="1036270831">
          <w:marLeft w:val="0"/>
          <w:marRight w:val="0"/>
          <w:marTop w:val="0"/>
          <w:marBottom w:val="0"/>
          <w:divBdr>
            <w:top w:val="none" w:sz="0" w:space="0" w:color="auto"/>
            <w:left w:val="none" w:sz="0" w:space="0" w:color="auto"/>
            <w:bottom w:val="none" w:sz="0" w:space="0" w:color="auto"/>
            <w:right w:val="none" w:sz="0" w:space="0" w:color="auto"/>
          </w:divBdr>
        </w:div>
        <w:div w:id="722604745">
          <w:marLeft w:val="0"/>
          <w:marRight w:val="0"/>
          <w:marTop w:val="0"/>
          <w:marBottom w:val="0"/>
          <w:divBdr>
            <w:top w:val="none" w:sz="0" w:space="0" w:color="auto"/>
            <w:left w:val="none" w:sz="0" w:space="0" w:color="auto"/>
            <w:bottom w:val="none" w:sz="0" w:space="0" w:color="auto"/>
            <w:right w:val="none" w:sz="0" w:space="0" w:color="auto"/>
          </w:divBdr>
        </w:div>
      </w:divsChild>
    </w:div>
    <w:div w:id="1034843125">
      <w:bodyDiv w:val="1"/>
      <w:marLeft w:val="0"/>
      <w:marRight w:val="0"/>
      <w:marTop w:val="0"/>
      <w:marBottom w:val="0"/>
      <w:divBdr>
        <w:top w:val="none" w:sz="0" w:space="0" w:color="auto"/>
        <w:left w:val="none" w:sz="0" w:space="0" w:color="auto"/>
        <w:bottom w:val="none" w:sz="0" w:space="0" w:color="auto"/>
        <w:right w:val="none" w:sz="0" w:space="0" w:color="auto"/>
      </w:divBdr>
      <w:divsChild>
        <w:div w:id="444424721">
          <w:marLeft w:val="0"/>
          <w:marRight w:val="0"/>
          <w:marTop w:val="0"/>
          <w:marBottom w:val="0"/>
          <w:divBdr>
            <w:top w:val="none" w:sz="0" w:space="0" w:color="auto"/>
            <w:left w:val="none" w:sz="0" w:space="0" w:color="auto"/>
            <w:bottom w:val="none" w:sz="0" w:space="0" w:color="auto"/>
            <w:right w:val="none" w:sz="0" w:space="0" w:color="auto"/>
          </w:divBdr>
          <w:divsChild>
            <w:div w:id="511458466">
              <w:marLeft w:val="0"/>
              <w:marRight w:val="0"/>
              <w:marTop w:val="0"/>
              <w:marBottom w:val="0"/>
              <w:divBdr>
                <w:top w:val="none" w:sz="0" w:space="0" w:color="auto"/>
                <w:left w:val="none" w:sz="0" w:space="0" w:color="auto"/>
                <w:bottom w:val="none" w:sz="0" w:space="0" w:color="auto"/>
                <w:right w:val="none" w:sz="0" w:space="0" w:color="auto"/>
              </w:divBdr>
              <w:divsChild>
                <w:div w:id="556211049">
                  <w:marLeft w:val="0"/>
                  <w:marRight w:val="0"/>
                  <w:marTop w:val="0"/>
                  <w:marBottom w:val="0"/>
                  <w:divBdr>
                    <w:top w:val="none" w:sz="0" w:space="0" w:color="auto"/>
                    <w:left w:val="none" w:sz="0" w:space="0" w:color="auto"/>
                    <w:bottom w:val="none" w:sz="0" w:space="0" w:color="auto"/>
                    <w:right w:val="none" w:sz="0" w:space="0" w:color="auto"/>
                  </w:divBdr>
                  <w:divsChild>
                    <w:div w:id="17139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84851">
      <w:bodyDiv w:val="1"/>
      <w:marLeft w:val="0"/>
      <w:marRight w:val="0"/>
      <w:marTop w:val="0"/>
      <w:marBottom w:val="0"/>
      <w:divBdr>
        <w:top w:val="none" w:sz="0" w:space="0" w:color="auto"/>
        <w:left w:val="none" w:sz="0" w:space="0" w:color="auto"/>
        <w:bottom w:val="none" w:sz="0" w:space="0" w:color="auto"/>
        <w:right w:val="none" w:sz="0" w:space="0" w:color="auto"/>
      </w:divBdr>
    </w:div>
    <w:div w:id="1037969454">
      <w:bodyDiv w:val="1"/>
      <w:marLeft w:val="0"/>
      <w:marRight w:val="0"/>
      <w:marTop w:val="0"/>
      <w:marBottom w:val="0"/>
      <w:divBdr>
        <w:top w:val="none" w:sz="0" w:space="0" w:color="auto"/>
        <w:left w:val="none" w:sz="0" w:space="0" w:color="auto"/>
        <w:bottom w:val="none" w:sz="0" w:space="0" w:color="auto"/>
        <w:right w:val="none" w:sz="0" w:space="0" w:color="auto"/>
      </w:divBdr>
    </w:div>
    <w:div w:id="1038553269">
      <w:bodyDiv w:val="1"/>
      <w:marLeft w:val="0"/>
      <w:marRight w:val="0"/>
      <w:marTop w:val="0"/>
      <w:marBottom w:val="0"/>
      <w:divBdr>
        <w:top w:val="none" w:sz="0" w:space="0" w:color="auto"/>
        <w:left w:val="none" w:sz="0" w:space="0" w:color="auto"/>
        <w:bottom w:val="none" w:sz="0" w:space="0" w:color="auto"/>
        <w:right w:val="none" w:sz="0" w:space="0" w:color="auto"/>
      </w:divBdr>
      <w:divsChild>
        <w:div w:id="1173255558">
          <w:marLeft w:val="0"/>
          <w:marRight w:val="0"/>
          <w:marTop w:val="0"/>
          <w:marBottom w:val="0"/>
          <w:divBdr>
            <w:top w:val="none" w:sz="0" w:space="0" w:color="auto"/>
            <w:left w:val="none" w:sz="0" w:space="0" w:color="auto"/>
            <w:bottom w:val="none" w:sz="0" w:space="0" w:color="auto"/>
            <w:right w:val="none" w:sz="0" w:space="0" w:color="auto"/>
          </w:divBdr>
          <w:divsChild>
            <w:div w:id="156919673">
              <w:marLeft w:val="0"/>
              <w:marRight w:val="0"/>
              <w:marTop w:val="0"/>
              <w:marBottom w:val="0"/>
              <w:divBdr>
                <w:top w:val="none" w:sz="0" w:space="0" w:color="auto"/>
                <w:left w:val="none" w:sz="0" w:space="0" w:color="auto"/>
                <w:bottom w:val="none" w:sz="0" w:space="0" w:color="auto"/>
                <w:right w:val="none" w:sz="0" w:space="0" w:color="auto"/>
              </w:divBdr>
              <w:divsChild>
                <w:div w:id="17598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4408">
      <w:bodyDiv w:val="1"/>
      <w:marLeft w:val="0"/>
      <w:marRight w:val="0"/>
      <w:marTop w:val="0"/>
      <w:marBottom w:val="0"/>
      <w:divBdr>
        <w:top w:val="none" w:sz="0" w:space="0" w:color="auto"/>
        <w:left w:val="none" w:sz="0" w:space="0" w:color="auto"/>
        <w:bottom w:val="none" w:sz="0" w:space="0" w:color="auto"/>
        <w:right w:val="none" w:sz="0" w:space="0" w:color="auto"/>
      </w:divBdr>
    </w:div>
    <w:div w:id="1040208258">
      <w:bodyDiv w:val="1"/>
      <w:marLeft w:val="0"/>
      <w:marRight w:val="0"/>
      <w:marTop w:val="0"/>
      <w:marBottom w:val="0"/>
      <w:divBdr>
        <w:top w:val="none" w:sz="0" w:space="0" w:color="auto"/>
        <w:left w:val="none" w:sz="0" w:space="0" w:color="auto"/>
        <w:bottom w:val="none" w:sz="0" w:space="0" w:color="auto"/>
        <w:right w:val="none" w:sz="0" w:space="0" w:color="auto"/>
      </w:divBdr>
    </w:div>
    <w:div w:id="1042367748">
      <w:bodyDiv w:val="1"/>
      <w:marLeft w:val="0"/>
      <w:marRight w:val="0"/>
      <w:marTop w:val="0"/>
      <w:marBottom w:val="0"/>
      <w:divBdr>
        <w:top w:val="none" w:sz="0" w:space="0" w:color="auto"/>
        <w:left w:val="none" w:sz="0" w:space="0" w:color="auto"/>
        <w:bottom w:val="none" w:sz="0" w:space="0" w:color="auto"/>
        <w:right w:val="none" w:sz="0" w:space="0" w:color="auto"/>
      </w:divBdr>
    </w:div>
    <w:div w:id="1043559500">
      <w:bodyDiv w:val="1"/>
      <w:marLeft w:val="0"/>
      <w:marRight w:val="0"/>
      <w:marTop w:val="0"/>
      <w:marBottom w:val="0"/>
      <w:divBdr>
        <w:top w:val="none" w:sz="0" w:space="0" w:color="auto"/>
        <w:left w:val="none" w:sz="0" w:space="0" w:color="auto"/>
        <w:bottom w:val="none" w:sz="0" w:space="0" w:color="auto"/>
        <w:right w:val="none" w:sz="0" w:space="0" w:color="auto"/>
      </w:divBdr>
    </w:div>
    <w:div w:id="1045108169">
      <w:bodyDiv w:val="1"/>
      <w:marLeft w:val="0"/>
      <w:marRight w:val="0"/>
      <w:marTop w:val="0"/>
      <w:marBottom w:val="0"/>
      <w:divBdr>
        <w:top w:val="none" w:sz="0" w:space="0" w:color="auto"/>
        <w:left w:val="none" w:sz="0" w:space="0" w:color="auto"/>
        <w:bottom w:val="none" w:sz="0" w:space="0" w:color="auto"/>
        <w:right w:val="none" w:sz="0" w:space="0" w:color="auto"/>
      </w:divBdr>
      <w:divsChild>
        <w:div w:id="2078360122">
          <w:marLeft w:val="0"/>
          <w:marRight w:val="0"/>
          <w:marTop w:val="0"/>
          <w:marBottom w:val="0"/>
          <w:divBdr>
            <w:top w:val="none" w:sz="0" w:space="0" w:color="auto"/>
            <w:left w:val="none" w:sz="0" w:space="0" w:color="auto"/>
            <w:bottom w:val="none" w:sz="0" w:space="0" w:color="auto"/>
            <w:right w:val="none" w:sz="0" w:space="0" w:color="auto"/>
          </w:divBdr>
        </w:div>
      </w:divsChild>
    </w:div>
    <w:div w:id="1047072696">
      <w:bodyDiv w:val="1"/>
      <w:marLeft w:val="0"/>
      <w:marRight w:val="0"/>
      <w:marTop w:val="0"/>
      <w:marBottom w:val="0"/>
      <w:divBdr>
        <w:top w:val="none" w:sz="0" w:space="0" w:color="auto"/>
        <w:left w:val="none" w:sz="0" w:space="0" w:color="auto"/>
        <w:bottom w:val="none" w:sz="0" w:space="0" w:color="auto"/>
        <w:right w:val="none" w:sz="0" w:space="0" w:color="auto"/>
      </w:divBdr>
      <w:divsChild>
        <w:div w:id="2071223557">
          <w:marLeft w:val="0"/>
          <w:marRight w:val="0"/>
          <w:marTop w:val="0"/>
          <w:marBottom w:val="0"/>
          <w:divBdr>
            <w:top w:val="none" w:sz="0" w:space="0" w:color="auto"/>
            <w:left w:val="none" w:sz="0" w:space="0" w:color="auto"/>
            <w:bottom w:val="none" w:sz="0" w:space="0" w:color="auto"/>
            <w:right w:val="none" w:sz="0" w:space="0" w:color="auto"/>
          </w:divBdr>
          <w:divsChild>
            <w:div w:id="1408041724">
              <w:marLeft w:val="0"/>
              <w:marRight w:val="0"/>
              <w:marTop w:val="0"/>
              <w:marBottom w:val="0"/>
              <w:divBdr>
                <w:top w:val="none" w:sz="0" w:space="0" w:color="auto"/>
                <w:left w:val="none" w:sz="0" w:space="0" w:color="auto"/>
                <w:bottom w:val="none" w:sz="0" w:space="0" w:color="auto"/>
                <w:right w:val="none" w:sz="0" w:space="0" w:color="auto"/>
              </w:divBdr>
              <w:divsChild>
                <w:div w:id="11164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39018">
      <w:bodyDiv w:val="1"/>
      <w:marLeft w:val="0"/>
      <w:marRight w:val="0"/>
      <w:marTop w:val="0"/>
      <w:marBottom w:val="0"/>
      <w:divBdr>
        <w:top w:val="none" w:sz="0" w:space="0" w:color="auto"/>
        <w:left w:val="none" w:sz="0" w:space="0" w:color="auto"/>
        <w:bottom w:val="none" w:sz="0" w:space="0" w:color="auto"/>
        <w:right w:val="none" w:sz="0" w:space="0" w:color="auto"/>
      </w:divBdr>
      <w:divsChild>
        <w:div w:id="1880699235">
          <w:marLeft w:val="0"/>
          <w:marRight w:val="0"/>
          <w:marTop w:val="0"/>
          <w:marBottom w:val="0"/>
          <w:divBdr>
            <w:top w:val="none" w:sz="0" w:space="0" w:color="auto"/>
            <w:left w:val="none" w:sz="0" w:space="0" w:color="auto"/>
            <w:bottom w:val="none" w:sz="0" w:space="0" w:color="auto"/>
            <w:right w:val="none" w:sz="0" w:space="0" w:color="auto"/>
          </w:divBdr>
          <w:divsChild>
            <w:div w:id="930941011">
              <w:marLeft w:val="0"/>
              <w:marRight w:val="0"/>
              <w:marTop w:val="0"/>
              <w:marBottom w:val="0"/>
              <w:divBdr>
                <w:top w:val="none" w:sz="0" w:space="0" w:color="auto"/>
                <w:left w:val="none" w:sz="0" w:space="0" w:color="auto"/>
                <w:bottom w:val="none" w:sz="0" w:space="0" w:color="auto"/>
                <w:right w:val="none" w:sz="0" w:space="0" w:color="auto"/>
              </w:divBdr>
              <w:divsChild>
                <w:div w:id="7964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81326">
      <w:bodyDiv w:val="1"/>
      <w:marLeft w:val="0"/>
      <w:marRight w:val="0"/>
      <w:marTop w:val="0"/>
      <w:marBottom w:val="0"/>
      <w:divBdr>
        <w:top w:val="none" w:sz="0" w:space="0" w:color="auto"/>
        <w:left w:val="none" w:sz="0" w:space="0" w:color="auto"/>
        <w:bottom w:val="none" w:sz="0" w:space="0" w:color="auto"/>
        <w:right w:val="none" w:sz="0" w:space="0" w:color="auto"/>
      </w:divBdr>
    </w:div>
    <w:div w:id="1055737576">
      <w:bodyDiv w:val="1"/>
      <w:marLeft w:val="0"/>
      <w:marRight w:val="0"/>
      <w:marTop w:val="0"/>
      <w:marBottom w:val="0"/>
      <w:divBdr>
        <w:top w:val="none" w:sz="0" w:space="0" w:color="auto"/>
        <w:left w:val="none" w:sz="0" w:space="0" w:color="auto"/>
        <w:bottom w:val="none" w:sz="0" w:space="0" w:color="auto"/>
        <w:right w:val="none" w:sz="0" w:space="0" w:color="auto"/>
      </w:divBdr>
    </w:div>
    <w:div w:id="1056197789">
      <w:bodyDiv w:val="1"/>
      <w:marLeft w:val="0"/>
      <w:marRight w:val="0"/>
      <w:marTop w:val="0"/>
      <w:marBottom w:val="0"/>
      <w:divBdr>
        <w:top w:val="none" w:sz="0" w:space="0" w:color="auto"/>
        <w:left w:val="none" w:sz="0" w:space="0" w:color="auto"/>
        <w:bottom w:val="none" w:sz="0" w:space="0" w:color="auto"/>
        <w:right w:val="none" w:sz="0" w:space="0" w:color="auto"/>
      </w:divBdr>
    </w:div>
    <w:div w:id="1056659125">
      <w:bodyDiv w:val="1"/>
      <w:marLeft w:val="0"/>
      <w:marRight w:val="0"/>
      <w:marTop w:val="0"/>
      <w:marBottom w:val="0"/>
      <w:divBdr>
        <w:top w:val="none" w:sz="0" w:space="0" w:color="auto"/>
        <w:left w:val="none" w:sz="0" w:space="0" w:color="auto"/>
        <w:bottom w:val="none" w:sz="0" w:space="0" w:color="auto"/>
        <w:right w:val="none" w:sz="0" w:space="0" w:color="auto"/>
      </w:divBdr>
      <w:divsChild>
        <w:div w:id="293757043">
          <w:marLeft w:val="0"/>
          <w:marRight w:val="0"/>
          <w:marTop w:val="0"/>
          <w:marBottom w:val="0"/>
          <w:divBdr>
            <w:top w:val="none" w:sz="0" w:space="0" w:color="auto"/>
            <w:left w:val="none" w:sz="0" w:space="0" w:color="auto"/>
            <w:bottom w:val="none" w:sz="0" w:space="0" w:color="auto"/>
            <w:right w:val="none" w:sz="0" w:space="0" w:color="auto"/>
          </w:divBdr>
          <w:divsChild>
            <w:div w:id="1472288344">
              <w:marLeft w:val="0"/>
              <w:marRight w:val="0"/>
              <w:marTop w:val="0"/>
              <w:marBottom w:val="0"/>
              <w:divBdr>
                <w:top w:val="none" w:sz="0" w:space="0" w:color="auto"/>
                <w:left w:val="none" w:sz="0" w:space="0" w:color="auto"/>
                <w:bottom w:val="none" w:sz="0" w:space="0" w:color="auto"/>
                <w:right w:val="none" w:sz="0" w:space="0" w:color="auto"/>
              </w:divBdr>
              <w:divsChild>
                <w:div w:id="1780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24901">
      <w:bodyDiv w:val="1"/>
      <w:marLeft w:val="0"/>
      <w:marRight w:val="0"/>
      <w:marTop w:val="0"/>
      <w:marBottom w:val="0"/>
      <w:divBdr>
        <w:top w:val="none" w:sz="0" w:space="0" w:color="auto"/>
        <w:left w:val="none" w:sz="0" w:space="0" w:color="auto"/>
        <w:bottom w:val="none" w:sz="0" w:space="0" w:color="auto"/>
        <w:right w:val="none" w:sz="0" w:space="0" w:color="auto"/>
      </w:divBdr>
      <w:divsChild>
        <w:div w:id="935305">
          <w:marLeft w:val="0"/>
          <w:marRight w:val="0"/>
          <w:marTop w:val="0"/>
          <w:marBottom w:val="0"/>
          <w:divBdr>
            <w:top w:val="none" w:sz="0" w:space="0" w:color="auto"/>
            <w:left w:val="none" w:sz="0" w:space="0" w:color="auto"/>
            <w:bottom w:val="none" w:sz="0" w:space="0" w:color="auto"/>
            <w:right w:val="none" w:sz="0" w:space="0" w:color="auto"/>
          </w:divBdr>
          <w:divsChild>
            <w:div w:id="626549130">
              <w:marLeft w:val="0"/>
              <w:marRight w:val="0"/>
              <w:marTop w:val="0"/>
              <w:marBottom w:val="0"/>
              <w:divBdr>
                <w:top w:val="none" w:sz="0" w:space="0" w:color="auto"/>
                <w:left w:val="none" w:sz="0" w:space="0" w:color="auto"/>
                <w:bottom w:val="none" w:sz="0" w:space="0" w:color="auto"/>
                <w:right w:val="none" w:sz="0" w:space="0" w:color="auto"/>
              </w:divBdr>
              <w:divsChild>
                <w:div w:id="15646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35032">
      <w:bodyDiv w:val="1"/>
      <w:marLeft w:val="0"/>
      <w:marRight w:val="0"/>
      <w:marTop w:val="0"/>
      <w:marBottom w:val="0"/>
      <w:divBdr>
        <w:top w:val="none" w:sz="0" w:space="0" w:color="auto"/>
        <w:left w:val="none" w:sz="0" w:space="0" w:color="auto"/>
        <w:bottom w:val="none" w:sz="0" w:space="0" w:color="auto"/>
        <w:right w:val="none" w:sz="0" w:space="0" w:color="auto"/>
      </w:divBdr>
    </w:div>
    <w:div w:id="1063715337">
      <w:bodyDiv w:val="1"/>
      <w:marLeft w:val="0"/>
      <w:marRight w:val="0"/>
      <w:marTop w:val="0"/>
      <w:marBottom w:val="0"/>
      <w:divBdr>
        <w:top w:val="none" w:sz="0" w:space="0" w:color="auto"/>
        <w:left w:val="none" w:sz="0" w:space="0" w:color="auto"/>
        <w:bottom w:val="none" w:sz="0" w:space="0" w:color="auto"/>
        <w:right w:val="none" w:sz="0" w:space="0" w:color="auto"/>
      </w:divBdr>
      <w:divsChild>
        <w:div w:id="566261390">
          <w:marLeft w:val="0"/>
          <w:marRight w:val="0"/>
          <w:marTop w:val="0"/>
          <w:marBottom w:val="0"/>
          <w:divBdr>
            <w:top w:val="none" w:sz="0" w:space="0" w:color="auto"/>
            <w:left w:val="none" w:sz="0" w:space="0" w:color="auto"/>
            <w:bottom w:val="none" w:sz="0" w:space="0" w:color="auto"/>
            <w:right w:val="none" w:sz="0" w:space="0" w:color="auto"/>
          </w:divBdr>
          <w:divsChild>
            <w:div w:id="1041395677">
              <w:marLeft w:val="0"/>
              <w:marRight w:val="0"/>
              <w:marTop w:val="0"/>
              <w:marBottom w:val="0"/>
              <w:divBdr>
                <w:top w:val="none" w:sz="0" w:space="0" w:color="auto"/>
                <w:left w:val="none" w:sz="0" w:space="0" w:color="auto"/>
                <w:bottom w:val="none" w:sz="0" w:space="0" w:color="auto"/>
                <w:right w:val="none" w:sz="0" w:space="0" w:color="auto"/>
              </w:divBdr>
              <w:divsChild>
                <w:div w:id="13946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40159">
      <w:bodyDiv w:val="1"/>
      <w:marLeft w:val="0"/>
      <w:marRight w:val="0"/>
      <w:marTop w:val="0"/>
      <w:marBottom w:val="0"/>
      <w:divBdr>
        <w:top w:val="none" w:sz="0" w:space="0" w:color="auto"/>
        <w:left w:val="none" w:sz="0" w:space="0" w:color="auto"/>
        <w:bottom w:val="none" w:sz="0" w:space="0" w:color="auto"/>
        <w:right w:val="none" w:sz="0" w:space="0" w:color="auto"/>
      </w:divBdr>
      <w:divsChild>
        <w:div w:id="770004536">
          <w:marLeft w:val="0"/>
          <w:marRight w:val="0"/>
          <w:marTop w:val="0"/>
          <w:marBottom w:val="0"/>
          <w:divBdr>
            <w:top w:val="none" w:sz="0" w:space="0" w:color="auto"/>
            <w:left w:val="none" w:sz="0" w:space="0" w:color="auto"/>
            <w:bottom w:val="none" w:sz="0" w:space="0" w:color="auto"/>
            <w:right w:val="none" w:sz="0" w:space="0" w:color="auto"/>
          </w:divBdr>
        </w:div>
        <w:div w:id="1246307949">
          <w:marLeft w:val="0"/>
          <w:marRight w:val="0"/>
          <w:marTop w:val="0"/>
          <w:marBottom w:val="0"/>
          <w:divBdr>
            <w:top w:val="none" w:sz="0" w:space="0" w:color="auto"/>
            <w:left w:val="none" w:sz="0" w:space="0" w:color="auto"/>
            <w:bottom w:val="none" w:sz="0" w:space="0" w:color="auto"/>
            <w:right w:val="none" w:sz="0" w:space="0" w:color="auto"/>
          </w:divBdr>
        </w:div>
      </w:divsChild>
    </w:div>
    <w:div w:id="1064447203">
      <w:bodyDiv w:val="1"/>
      <w:marLeft w:val="0"/>
      <w:marRight w:val="0"/>
      <w:marTop w:val="0"/>
      <w:marBottom w:val="0"/>
      <w:divBdr>
        <w:top w:val="none" w:sz="0" w:space="0" w:color="auto"/>
        <w:left w:val="none" w:sz="0" w:space="0" w:color="auto"/>
        <w:bottom w:val="none" w:sz="0" w:space="0" w:color="auto"/>
        <w:right w:val="none" w:sz="0" w:space="0" w:color="auto"/>
      </w:divBdr>
      <w:divsChild>
        <w:div w:id="1129326216">
          <w:marLeft w:val="0"/>
          <w:marRight w:val="0"/>
          <w:marTop w:val="0"/>
          <w:marBottom w:val="0"/>
          <w:divBdr>
            <w:top w:val="none" w:sz="0" w:space="0" w:color="auto"/>
            <w:left w:val="none" w:sz="0" w:space="0" w:color="auto"/>
            <w:bottom w:val="none" w:sz="0" w:space="0" w:color="auto"/>
            <w:right w:val="none" w:sz="0" w:space="0" w:color="auto"/>
          </w:divBdr>
        </w:div>
      </w:divsChild>
    </w:div>
    <w:div w:id="1066296200">
      <w:bodyDiv w:val="1"/>
      <w:marLeft w:val="0"/>
      <w:marRight w:val="0"/>
      <w:marTop w:val="0"/>
      <w:marBottom w:val="0"/>
      <w:divBdr>
        <w:top w:val="none" w:sz="0" w:space="0" w:color="auto"/>
        <w:left w:val="none" w:sz="0" w:space="0" w:color="auto"/>
        <w:bottom w:val="none" w:sz="0" w:space="0" w:color="auto"/>
        <w:right w:val="none" w:sz="0" w:space="0" w:color="auto"/>
      </w:divBdr>
    </w:div>
    <w:div w:id="1066534961">
      <w:bodyDiv w:val="1"/>
      <w:marLeft w:val="0"/>
      <w:marRight w:val="0"/>
      <w:marTop w:val="0"/>
      <w:marBottom w:val="0"/>
      <w:divBdr>
        <w:top w:val="none" w:sz="0" w:space="0" w:color="auto"/>
        <w:left w:val="none" w:sz="0" w:space="0" w:color="auto"/>
        <w:bottom w:val="none" w:sz="0" w:space="0" w:color="auto"/>
        <w:right w:val="none" w:sz="0" w:space="0" w:color="auto"/>
      </w:divBdr>
    </w:div>
    <w:div w:id="1067068811">
      <w:bodyDiv w:val="1"/>
      <w:marLeft w:val="0"/>
      <w:marRight w:val="0"/>
      <w:marTop w:val="0"/>
      <w:marBottom w:val="0"/>
      <w:divBdr>
        <w:top w:val="none" w:sz="0" w:space="0" w:color="auto"/>
        <w:left w:val="none" w:sz="0" w:space="0" w:color="auto"/>
        <w:bottom w:val="none" w:sz="0" w:space="0" w:color="auto"/>
        <w:right w:val="none" w:sz="0" w:space="0" w:color="auto"/>
      </w:divBdr>
      <w:divsChild>
        <w:div w:id="1171723053">
          <w:marLeft w:val="0"/>
          <w:marRight w:val="0"/>
          <w:marTop w:val="0"/>
          <w:marBottom w:val="0"/>
          <w:divBdr>
            <w:top w:val="none" w:sz="0" w:space="0" w:color="auto"/>
            <w:left w:val="none" w:sz="0" w:space="0" w:color="auto"/>
            <w:bottom w:val="none" w:sz="0" w:space="0" w:color="auto"/>
            <w:right w:val="none" w:sz="0" w:space="0" w:color="auto"/>
          </w:divBdr>
          <w:divsChild>
            <w:div w:id="2050186315">
              <w:marLeft w:val="0"/>
              <w:marRight w:val="0"/>
              <w:marTop w:val="0"/>
              <w:marBottom w:val="0"/>
              <w:divBdr>
                <w:top w:val="none" w:sz="0" w:space="0" w:color="auto"/>
                <w:left w:val="none" w:sz="0" w:space="0" w:color="auto"/>
                <w:bottom w:val="none" w:sz="0" w:space="0" w:color="auto"/>
                <w:right w:val="none" w:sz="0" w:space="0" w:color="auto"/>
              </w:divBdr>
              <w:divsChild>
                <w:div w:id="705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270850">
      <w:bodyDiv w:val="1"/>
      <w:marLeft w:val="0"/>
      <w:marRight w:val="0"/>
      <w:marTop w:val="0"/>
      <w:marBottom w:val="0"/>
      <w:divBdr>
        <w:top w:val="none" w:sz="0" w:space="0" w:color="auto"/>
        <w:left w:val="none" w:sz="0" w:space="0" w:color="auto"/>
        <w:bottom w:val="none" w:sz="0" w:space="0" w:color="auto"/>
        <w:right w:val="none" w:sz="0" w:space="0" w:color="auto"/>
      </w:divBdr>
      <w:divsChild>
        <w:div w:id="744297788">
          <w:marLeft w:val="0"/>
          <w:marRight w:val="0"/>
          <w:marTop w:val="0"/>
          <w:marBottom w:val="0"/>
          <w:divBdr>
            <w:top w:val="none" w:sz="0" w:space="0" w:color="auto"/>
            <w:left w:val="none" w:sz="0" w:space="0" w:color="auto"/>
            <w:bottom w:val="none" w:sz="0" w:space="0" w:color="auto"/>
            <w:right w:val="none" w:sz="0" w:space="0" w:color="auto"/>
          </w:divBdr>
        </w:div>
      </w:divsChild>
    </w:div>
    <w:div w:id="1070661858">
      <w:bodyDiv w:val="1"/>
      <w:marLeft w:val="0"/>
      <w:marRight w:val="0"/>
      <w:marTop w:val="0"/>
      <w:marBottom w:val="0"/>
      <w:divBdr>
        <w:top w:val="none" w:sz="0" w:space="0" w:color="auto"/>
        <w:left w:val="none" w:sz="0" w:space="0" w:color="auto"/>
        <w:bottom w:val="none" w:sz="0" w:space="0" w:color="auto"/>
        <w:right w:val="none" w:sz="0" w:space="0" w:color="auto"/>
      </w:divBdr>
    </w:div>
    <w:div w:id="1070730741">
      <w:bodyDiv w:val="1"/>
      <w:marLeft w:val="0"/>
      <w:marRight w:val="0"/>
      <w:marTop w:val="0"/>
      <w:marBottom w:val="0"/>
      <w:divBdr>
        <w:top w:val="none" w:sz="0" w:space="0" w:color="auto"/>
        <w:left w:val="none" w:sz="0" w:space="0" w:color="auto"/>
        <w:bottom w:val="none" w:sz="0" w:space="0" w:color="auto"/>
        <w:right w:val="none" w:sz="0" w:space="0" w:color="auto"/>
      </w:divBdr>
      <w:divsChild>
        <w:div w:id="90979394">
          <w:marLeft w:val="0"/>
          <w:marRight w:val="0"/>
          <w:marTop w:val="0"/>
          <w:marBottom w:val="0"/>
          <w:divBdr>
            <w:top w:val="none" w:sz="0" w:space="0" w:color="auto"/>
            <w:left w:val="none" w:sz="0" w:space="0" w:color="auto"/>
            <w:bottom w:val="none" w:sz="0" w:space="0" w:color="auto"/>
            <w:right w:val="none" w:sz="0" w:space="0" w:color="auto"/>
          </w:divBdr>
          <w:divsChild>
            <w:div w:id="2011903510">
              <w:marLeft w:val="0"/>
              <w:marRight w:val="0"/>
              <w:marTop w:val="0"/>
              <w:marBottom w:val="0"/>
              <w:divBdr>
                <w:top w:val="none" w:sz="0" w:space="0" w:color="auto"/>
                <w:left w:val="none" w:sz="0" w:space="0" w:color="auto"/>
                <w:bottom w:val="none" w:sz="0" w:space="0" w:color="auto"/>
                <w:right w:val="none" w:sz="0" w:space="0" w:color="auto"/>
              </w:divBdr>
              <w:divsChild>
                <w:div w:id="6039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6064">
      <w:bodyDiv w:val="1"/>
      <w:marLeft w:val="0"/>
      <w:marRight w:val="0"/>
      <w:marTop w:val="0"/>
      <w:marBottom w:val="0"/>
      <w:divBdr>
        <w:top w:val="none" w:sz="0" w:space="0" w:color="auto"/>
        <w:left w:val="none" w:sz="0" w:space="0" w:color="auto"/>
        <w:bottom w:val="none" w:sz="0" w:space="0" w:color="auto"/>
        <w:right w:val="none" w:sz="0" w:space="0" w:color="auto"/>
      </w:divBdr>
    </w:div>
    <w:div w:id="1083336439">
      <w:bodyDiv w:val="1"/>
      <w:marLeft w:val="0"/>
      <w:marRight w:val="0"/>
      <w:marTop w:val="0"/>
      <w:marBottom w:val="0"/>
      <w:divBdr>
        <w:top w:val="none" w:sz="0" w:space="0" w:color="auto"/>
        <w:left w:val="none" w:sz="0" w:space="0" w:color="auto"/>
        <w:bottom w:val="none" w:sz="0" w:space="0" w:color="auto"/>
        <w:right w:val="none" w:sz="0" w:space="0" w:color="auto"/>
      </w:divBdr>
    </w:div>
    <w:div w:id="1083339372">
      <w:bodyDiv w:val="1"/>
      <w:marLeft w:val="0"/>
      <w:marRight w:val="0"/>
      <w:marTop w:val="0"/>
      <w:marBottom w:val="0"/>
      <w:divBdr>
        <w:top w:val="none" w:sz="0" w:space="0" w:color="auto"/>
        <w:left w:val="none" w:sz="0" w:space="0" w:color="auto"/>
        <w:bottom w:val="none" w:sz="0" w:space="0" w:color="auto"/>
        <w:right w:val="none" w:sz="0" w:space="0" w:color="auto"/>
      </w:divBdr>
    </w:div>
    <w:div w:id="1085302709">
      <w:bodyDiv w:val="1"/>
      <w:marLeft w:val="0"/>
      <w:marRight w:val="0"/>
      <w:marTop w:val="0"/>
      <w:marBottom w:val="0"/>
      <w:divBdr>
        <w:top w:val="none" w:sz="0" w:space="0" w:color="auto"/>
        <w:left w:val="none" w:sz="0" w:space="0" w:color="auto"/>
        <w:bottom w:val="none" w:sz="0" w:space="0" w:color="auto"/>
        <w:right w:val="none" w:sz="0" w:space="0" w:color="auto"/>
      </w:divBdr>
      <w:divsChild>
        <w:div w:id="1373119522">
          <w:marLeft w:val="0"/>
          <w:marRight w:val="0"/>
          <w:marTop w:val="0"/>
          <w:marBottom w:val="0"/>
          <w:divBdr>
            <w:top w:val="none" w:sz="0" w:space="0" w:color="auto"/>
            <w:left w:val="none" w:sz="0" w:space="0" w:color="auto"/>
            <w:bottom w:val="none" w:sz="0" w:space="0" w:color="auto"/>
            <w:right w:val="none" w:sz="0" w:space="0" w:color="auto"/>
          </w:divBdr>
          <w:divsChild>
            <w:div w:id="2054035433">
              <w:marLeft w:val="0"/>
              <w:marRight w:val="0"/>
              <w:marTop w:val="0"/>
              <w:marBottom w:val="0"/>
              <w:divBdr>
                <w:top w:val="none" w:sz="0" w:space="0" w:color="auto"/>
                <w:left w:val="none" w:sz="0" w:space="0" w:color="auto"/>
                <w:bottom w:val="none" w:sz="0" w:space="0" w:color="auto"/>
                <w:right w:val="none" w:sz="0" w:space="0" w:color="auto"/>
              </w:divBdr>
              <w:divsChild>
                <w:div w:id="19330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5115">
      <w:bodyDiv w:val="1"/>
      <w:marLeft w:val="0"/>
      <w:marRight w:val="0"/>
      <w:marTop w:val="0"/>
      <w:marBottom w:val="0"/>
      <w:divBdr>
        <w:top w:val="none" w:sz="0" w:space="0" w:color="auto"/>
        <w:left w:val="none" w:sz="0" w:space="0" w:color="auto"/>
        <w:bottom w:val="none" w:sz="0" w:space="0" w:color="auto"/>
        <w:right w:val="none" w:sz="0" w:space="0" w:color="auto"/>
      </w:divBdr>
    </w:div>
    <w:div w:id="1093893252">
      <w:bodyDiv w:val="1"/>
      <w:marLeft w:val="0"/>
      <w:marRight w:val="0"/>
      <w:marTop w:val="0"/>
      <w:marBottom w:val="0"/>
      <w:divBdr>
        <w:top w:val="none" w:sz="0" w:space="0" w:color="auto"/>
        <w:left w:val="none" w:sz="0" w:space="0" w:color="auto"/>
        <w:bottom w:val="none" w:sz="0" w:space="0" w:color="auto"/>
        <w:right w:val="none" w:sz="0" w:space="0" w:color="auto"/>
      </w:divBdr>
      <w:divsChild>
        <w:div w:id="1220166192">
          <w:marLeft w:val="0"/>
          <w:marRight w:val="0"/>
          <w:marTop w:val="0"/>
          <w:marBottom w:val="0"/>
          <w:divBdr>
            <w:top w:val="none" w:sz="0" w:space="0" w:color="auto"/>
            <w:left w:val="none" w:sz="0" w:space="0" w:color="auto"/>
            <w:bottom w:val="none" w:sz="0" w:space="0" w:color="auto"/>
            <w:right w:val="none" w:sz="0" w:space="0" w:color="auto"/>
          </w:divBdr>
          <w:divsChild>
            <w:div w:id="1056926439">
              <w:marLeft w:val="0"/>
              <w:marRight w:val="0"/>
              <w:marTop w:val="0"/>
              <w:marBottom w:val="0"/>
              <w:divBdr>
                <w:top w:val="none" w:sz="0" w:space="0" w:color="auto"/>
                <w:left w:val="none" w:sz="0" w:space="0" w:color="auto"/>
                <w:bottom w:val="none" w:sz="0" w:space="0" w:color="auto"/>
                <w:right w:val="none" w:sz="0" w:space="0" w:color="auto"/>
              </w:divBdr>
              <w:divsChild>
                <w:div w:id="5879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0779">
      <w:bodyDiv w:val="1"/>
      <w:marLeft w:val="0"/>
      <w:marRight w:val="0"/>
      <w:marTop w:val="0"/>
      <w:marBottom w:val="0"/>
      <w:divBdr>
        <w:top w:val="none" w:sz="0" w:space="0" w:color="auto"/>
        <w:left w:val="none" w:sz="0" w:space="0" w:color="auto"/>
        <w:bottom w:val="none" w:sz="0" w:space="0" w:color="auto"/>
        <w:right w:val="none" w:sz="0" w:space="0" w:color="auto"/>
      </w:divBdr>
      <w:divsChild>
        <w:div w:id="22101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04761">
      <w:bodyDiv w:val="1"/>
      <w:marLeft w:val="0"/>
      <w:marRight w:val="0"/>
      <w:marTop w:val="0"/>
      <w:marBottom w:val="0"/>
      <w:divBdr>
        <w:top w:val="none" w:sz="0" w:space="0" w:color="auto"/>
        <w:left w:val="none" w:sz="0" w:space="0" w:color="auto"/>
        <w:bottom w:val="none" w:sz="0" w:space="0" w:color="auto"/>
        <w:right w:val="none" w:sz="0" w:space="0" w:color="auto"/>
      </w:divBdr>
    </w:div>
    <w:div w:id="1102141206">
      <w:bodyDiv w:val="1"/>
      <w:marLeft w:val="0"/>
      <w:marRight w:val="0"/>
      <w:marTop w:val="0"/>
      <w:marBottom w:val="0"/>
      <w:divBdr>
        <w:top w:val="none" w:sz="0" w:space="0" w:color="auto"/>
        <w:left w:val="none" w:sz="0" w:space="0" w:color="auto"/>
        <w:bottom w:val="none" w:sz="0" w:space="0" w:color="auto"/>
        <w:right w:val="none" w:sz="0" w:space="0" w:color="auto"/>
      </w:divBdr>
      <w:divsChild>
        <w:div w:id="2000887832">
          <w:marLeft w:val="0"/>
          <w:marRight w:val="0"/>
          <w:marTop w:val="0"/>
          <w:marBottom w:val="0"/>
          <w:divBdr>
            <w:top w:val="none" w:sz="0" w:space="0" w:color="auto"/>
            <w:left w:val="none" w:sz="0" w:space="0" w:color="auto"/>
            <w:bottom w:val="none" w:sz="0" w:space="0" w:color="auto"/>
            <w:right w:val="none" w:sz="0" w:space="0" w:color="auto"/>
          </w:divBdr>
          <w:divsChild>
            <w:div w:id="1641884164">
              <w:marLeft w:val="0"/>
              <w:marRight w:val="0"/>
              <w:marTop w:val="0"/>
              <w:marBottom w:val="0"/>
              <w:divBdr>
                <w:top w:val="none" w:sz="0" w:space="0" w:color="auto"/>
                <w:left w:val="none" w:sz="0" w:space="0" w:color="auto"/>
                <w:bottom w:val="none" w:sz="0" w:space="0" w:color="auto"/>
                <w:right w:val="none" w:sz="0" w:space="0" w:color="auto"/>
              </w:divBdr>
              <w:divsChild>
                <w:div w:id="210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29630">
      <w:bodyDiv w:val="1"/>
      <w:marLeft w:val="0"/>
      <w:marRight w:val="0"/>
      <w:marTop w:val="0"/>
      <w:marBottom w:val="0"/>
      <w:divBdr>
        <w:top w:val="none" w:sz="0" w:space="0" w:color="auto"/>
        <w:left w:val="none" w:sz="0" w:space="0" w:color="auto"/>
        <w:bottom w:val="none" w:sz="0" w:space="0" w:color="auto"/>
        <w:right w:val="none" w:sz="0" w:space="0" w:color="auto"/>
      </w:divBdr>
    </w:div>
    <w:div w:id="1104686836">
      <w:bodyDiv w:val="1"/>
      <w:marLeft w:val="0"/>
      <w:marRight w:val="0"/>
      <w:marTop w:val="0"/>
      <w:marBottom w:val="0"/>
      <w:divBdr>
        <w:top w:val="none" w:sz="0" w:space="0" w:color="auto"/>
        <w:left w:val="none" w:sz="0" w:space="0" w:color="auto"/>
        <w:bottom w:val="none" w:sz="0" w:space="0" w:color="auto"/>
        <w:right w:val="none" w:sz="0" w:space="0" w:color="auto"/>
      </w:divBdr>
    </w:div>
    <w:div w:id="1112433427">
      <w:bodyDiv w:val="1"/>
      <w:marLeft w:val="0"/>
      <w:marRight w:val="0"/>
      <w:marTop w:val="0"/>
      <w:marBottom w:val="0"/>
      <w:divBdr>
        <w:top w:val="none" w:sz="0" w:space="0" w:color="auto"/>
        <w:left w:val="none" w:sz="0" w:space="0" w:color="auto"/>
        <w:bottom w:val="none" w:sz="0" w:space="0" w:color="auto"/>
        <w:right w:val="none" w:sz="0" w:space="0" w:color="auto"/>
      </w:divBdr>
    </w:div>
    <w:div w:id="1116370806">
      <w:bodyDiv w:val="1"/>
      <w:marLeft w:val="0"/>
      <w:marRight w:val="0"/>
      <w:marTop w:val="0"/>
      <w:marBottom w:val="0"/>
      <w:divBdr>
        <w:top w:val="none" w:sz="0" w:space="0" w:color="auto"/>
        <w:left w:val="none" w:sz="0" w:space="0" w:color="auto"/>
        <w:bottom w:val="none" w:sz="0" w:space="0" w:color="auto"/>
        <w:right w:val="none" w:sz="0" w:space="0" w:color="auto"/>
      </w:divBdr>
    </w:div>
    <w:div w:id="1117676730">
      <w:bodyDiv w:val="1"/>
      <w:marLeft w:val="0"/>
      <w:marRight w:val="0"/>
      <w:marTop w:val="0"/>
      <w:marBottom w:val="0"/>
      <w:divBdr>
        <w:top w:val="none" w:sz="0" w:space="0" w:color="auto"/>
        <w:left w:val="none" w:sz="0" w:space="0" w:color="auto"/>
        <w:bottom w:val="none" w:sz="0" w:space="0" w:color="auto"/>
        <w:right w:val="none" w:sz="0" w:space="0" w:color="auto"/>
      </w:divBdr>
    </w:div>
    <w:div w:id="1123495713">
      <w:bodyDiv w:val="1"/>
      <w:marLeft w:val="0"/>
      <w:marRight w:val="0"/>
      <w:marTop w:val="0"/>
      <w:marBottom w:val="0"/>
      <w:divBdr>
        <w:top w:val="none" w:sz="0" w:space="0" w:color="auto"/>
        <w:left w:val="none" w:sz="0" w:space="0" w:color="auto"/>
        <w:bottom w:val="none" w:sz="0" w:space="0" w:color="auto"/>
        <w:right w:val="none" w:sz="0" w:space="0" w:color="auto"/>
      </w:divBdr>
      <w:divsChild>
        <w:div w:id="1806046645">
          <w:marLeft w:val="0"/>
          <w:marRight w:val="0"/>
          <w:marTop w:val="0"/>
          <w:marBottom w:val="0"/>
          <w:divBdr>
            <w:top w:val="none" w:sz="0" w:space="0" w:color="auto"/>
            <w:left w:val="none" w:sz="0" w:space="0" w:color="auto"/>
            <w:bottom w:val="none" w:sz="0" w:space="0" w:color="auto"/>
            <w:right w:val="none" w:sz="0" w:space="0" w:color="auto"/>
          </w:divBdr>
          <w:divsChild>
            <w:div w:id="1869562370">
              <w:marLeft w:val="0"/>
              <w:marRight w:val="0"/>
              <w:marTop w:val="0"/>
              <w:marBottom w:val="0"/>
              <w:divBdr>
                <w:top w:val="none" w:sz="0" w:space="0" w:color="auto"/>
                <w:left w:val="none" w:sz="0" w:space="0" w:color="auto"/>
                <w:bottom w:val="none" w:sz="0" w:space="0" w:color="auto"/>
                <w:right w:val="none" w:sz="0" w:space="0" w:color="auto"/>
              </w:divBdr>
              <w:divsChild>
                <w:div w:id="1404110738">
                  <w:marLeft w:val="0"/>
                  <w:marRight w:val="0"/>
                  <w:marTop w:val="0"/>
                  <w:marBottom w:val="0"/>
                  <w:divBdr>
                    <w:top w:val="none" w:sz="0" w:space="0" w:color="auto"/>
                    <w:left w:val="none" w:sz="0" w:space="0" w:color="auto"/>
                    <w:bottom w:val="none" w:sz="0" w:space="0" w:color="auto"/>
                    <w:right w:val="none" w:sz="0" w:space="0" w:color="auto"/>
                  </w:divBdr>
                  <w:divsChild>
                    <w:div w:id="5639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43819">
      <w:bodyDiv w:val="1"/>
      <w:marLeft w:val="0"/>
      <w:marRight w:val="0"/>
      <w:marTop w:val="0"/>
      <w:marBottom w:val="0"/>
      <w:divBdr>
        <w:top w:val="none" w:sz="0" w:space="0" w:color="auto"/>
        <w:left w:val="none" w:sz="0" w:space="0" w:color="auto"/>
        <w:bottom w:val="none" w:sz="0" w:space="0" w:color="auto"/>
        <w:right w:val="none" w:sz="0" w:space="0" w:color="auto"/>
      </w:divBdr>
      <w:divsChild>
        <w:div w:id="1795099070">
          <w:marLeft w:val="0"/>
          <w:marRight w:val="0"/>
          <w:marTop w:val="0"/>
          <w:marBottom w:val="0"/>
          <w:divBdr>
            <w:top w:val="none" w:sz="0" w:space="0" w:color="auto"/>
            <w:left w:val="none" w:sz="0" w:space="0" w:color="auto"/>
            <w:bottom w:val="none" w:sz="0" w:space="0" w:color="auto"/>
            <w:right w:val="none" w:sz="0" w:space="0" w:color="auto"/>
          </w:divBdr>
          <w:divsChild>
            <w:div w:id="820730982">
              <w:marLeft w:val="0"/>
              <w:marRight w:val="0"/>
              <w:marTop w:val="0"/>
              <w:marBottom w:val="0"/>
              <w:divBdr>
                <w:top w:val="none" w:sz="0" w:space="0" w:color="auto"/>
                <w:left w:val="none" w:sz="0" w:space="0" w:color="auto"/>
                <w:bottom w:val="none" w:sz="0" w:space="0" w:color="auto"/>
                <w:right w:val="none" w:sz="0" w:space="0" w:color="auto"/>
              </w:divBdr>
              <w:divsChild>
                <w:div w:id="1903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29248">
      <w:bodyDiv w:val="1"/>
      <w:marLeft w:val="0"/>
      <w:marRight w:val="0"/>
      <w:marTop w:val="0"/>
      <w:marBottom w:val="0"/>
      <w:divBdr>
        <w:top w:val="none" w:sz="0" w:space="0" w:color="auto"/>
        <w:left w:val="none" w:sz="0" w:space="0" w:color="auto"/>
        <w:bottom w:val="none" w:sz="0" w:space="0" w:color="auto"/>
        <w:right w:val="none" w:sz="0" w:space="0" w:color="auto"/>
      </w:divBdr>
    </w:div>
    <w:div w:id="1132987373">
      <w:bodyDiv w:val="1"/>
      <w:marLeft w:val="0"/>
      <w:marRight w:val="0"/>
      <w:marTop w:val="0"/>
      <w:marBottom w:val="0"/>
      <w:divBdr>
        <w:top w:val="none" w:sz="0" w:space="0" w:color="auto"/>
        <w:left w:val="none" w:sz="0" w:space="0" w:color="auto"/>
        <w:bottom w:val="none" w:sz="0" w:space="0" w:color="auto"/>
        <w:right w:val="none" w:sz="0" w:space="0" w:color="auto"/>
      </w:divBdr>
    </w:div>
    <w:div w:id="1133404297">
      <w:bodyDiv w:val="1"/>
      <w:marLeft w:val="0"/>
      <w:marRight w:val="0"/>
      <w:marTop w:val="0"/>
      <w:marBottom w:val="0"/>
      <w:divBdr>
        <w:top w:val="none" w:sz="0" w:space="0" w:color="auto"/>
        <w:left w:val="none" w:sz="0" w:space="0" w:color="auto"/>
        <w:bottom w:val="none" w:sz="0" w:space="0" w:color="auto"/>
        <w:right w:val="none" w:sz="0" w:space="0" w:color="auto"/>
      </w:divBdr>
    </w:div>
    <w:div w:id="1133518027">
      <w:bodyDiv w:val="1"/>
      <w:marLeft w:val="0"/>
      <w:marRight w:val="0"/>
      <w:marTop w:val="0"/>
      <w:marBottom w:val="0"/>
      <w:divBdr>
        <w:top w:val="none" w:sz="0" w:space="0" w:color="auto"/>
        <w:left w:val="none" w:sz="0" w:space="0" w:color="auto"/>
        <w:bottom w:val="none" w:sz="0" w:space="0" w:color="auto"/>
        <w:right w:val="none" w:sz="0" w:space="0" w:color="auto"/>
      </w:divBdr>
      <w:divsChild>
        <w:div w:id="440760450">
          <w:marLeft w:val="0"/>
          <w:marRight w:val="0"/>
          <w:marTop w:val="0"/>
          <w:marBottom w:val="0"/>
          <w:divBdr>
            <w:top w:val="none" w:sz="0" w:space="0" w:color="auto"/>
            <w:left w:val="none" w:sz="0" w:space="0" w:color="auto"/>
            <w:bottom w:val="none" w:sz="0" w:space="0" w:color="auto"/>
            <w:right w:val="none" w:sz="0" w:space="0" w:color="auto"/>
          </w:divBdr>
          <w:divsChild>
            <w:div w:id="199828580">
              <w:marLeft w:val="0"/>
              <w:marRight w:val="0"/>
              <w:marTop w:val="0"/>
              <w:marBottom w:val="0"/>
              <w:divBdr>
                <w:top w:val="none" w:sz="0" w:space="0" w:color="auto"/>
                <w:left w:val="none" w:sz="0" w:space="0" w:color="auto"/>
                <w:bottom w:val="none" w:sz="0" w:space="0" w:color="auto"/>
                <w:right w:val="none" w:sz="0" w:space="0" w:color="auto"/>
              </w:divBdr>
              <w:divsChild>
                <w:div w:id="1742410283">
                  <w:marLeft w:val="0"/>
                  <w:marRight w:val="0"/>
                  <w:marTop w:val="0"/>
                  <w:marBottom w:val="0"/>
                  <w:divBdr>
                    <w:top w:val="none" w:sz="0" w:space="0" w:color="auto"/>
                    <w:left w:val="none" w:sz="0" w:space="0" w:color="auto"/>
                    <w:bottom w:val="none" w:sz="0" w:space="0" w:color="auto"/>
                    <w:right w:val="none" w:sz="0" w:space="0" w:color="auto"/>
                  </w:divBdr>
                  <w:divsChild>
                    <w:div w:id="9147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4193">
      <w:bodyDiv w:val="1"/>
      <w:marLeft w:val="0"/>
      <w:marRight w:val="0"/>
      <w:marTop w:val="0"/>
      <w:marBottom w:val="0"/>
      <w:divBdr>
        <w:top w:val="none" w:sz="0" w:space="0" w:color="auto"/>
        <w:left w:val="none" w:sz="0" w:space="0" w:color="auto"/>
        <w:bottom w:val="none" w:sz="0" w:space="0" w:color="auto"/>
        <w:right w:val="none" w:sz="0" w:space="0" w:color="auto"/>
      </w:divBdr>
      <w:divsChild>
        <w:div w:id="1763987243">
          <w:marLeft w:val="0"/>
          <w:marRight w:val="0"/>
          <w:marTop w:val="0"/>
          <w:marBottom w:val="0"/>
          <w:divBdr>
            <w:top w:val="none" w:sz="0" w:space="0" w:color="auto"/>
            <w:left w:val="none" w:sz="0" w:space="0" w:color="auto"/>
            <w:bottom w:val="none" w:sz="0" w:space="0" w:color="auto"/>
            <w:right w:val="none" w:sz="0" w:space="0" w:color="auto"/>
          </w:divBdr>
          <w:divsChild>
            <w:div w:id="264384795">
              <w:marLeft w:val="0"/>
              <w:marRight w:val="0"/>
              <w:marTop w:val="0"/>
              <w:marBottom w:val="0"/>
              <w:divBdr>
                <w:top w:val="none" w:sz="0" w:space="0" w:color="auto"/>
                <w:left w:val="none" w:sz="0" w:space="0" w:color="auto"/>
                <w:bottom w:val="none" w:sz="0" w:space="0" w:color="auto"/>
                <w:right w:val="none" w:sz="0" w:space="0" w:color="auto"/>
              </w:divBdr>
              <w:divsChild>
                <w:div w:id="18238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81528">
      <w:bodyDiv w:val="1"/>
      <w:marLeft w:val="0"/>
      <w:marRight w:val="0"/>
      <w:marTop w:val="0"/>
      <w:marBottom w:val="0"/>
      <w:divBdr>
        <w:top w:val="none" w:sz="0" w:space="0" w:color="auto"/>
        <w:left w:val="none" w:sz="0" w:space="0" w:color="auto"/>
        <w:bottom w:val="none" w:sz="0" w:space="0" w:color="auto"/>
        <w:right w:val="none" w:sz="0" w:space="0" w:color="auto"/>
      </w:divBdr>
    </w:div>
    <w:div w:id="1135680607">
      <w:bodyDiv w:val="1"/>
      <w:marLeft w:val="0"/>
      <w:marRight w:val="0"/>
      <w:marTop w:val="0"/>
      <w:marBottom w:val="0"/>
      <w:divBdr>
        <w:top w:val="none" w:sz="0" w:space="0" w:color="auto"/>
        <w:left w:val="none" w:sz="0" w:space="0" w:color="auto"/>
        <w:bottom w:val="none" w:sz="0" w:space="0" w:color="auto"/>
        <w:right w:val="none" w:sz="0" w:space="0" w:color="auto"/>
      </w:divBdr>
      <w:divsChild>
        <w:div w:id="708644703">
          <w:marLeft w:val="0"/>
          <w:marRight w:val="0"/>
          <w:marTop w:val="0"/>
          <w:marBottom w:val="0"/>
          <w:divBdr>
            <w:top w:val="none" w:sz="0" w:space="0" w:color="auto"/>
            <w:left w:val="none" w:sz="0" w:space="0" w:color="auto"/>
            <w:bottom w:val="none" w:sz="0" w:space="0" w:color="auto"/>
            <w:right w:val="none" w:sz="0" w:space="0" w:color="auto"/>
          </w:divBdr>
          <w:divsChild>
            <w:div w:id="1191072982">
              <w:marLeft w:val="0"/>
              <w:marRight w:val="0"/>
              <w:marTop w:val="0"/>
              <w:marBottom w:val="0"/>
              <w:divBdr>
                <w:top w:val="none" w:sz="0" w:space="0" w:color="auto"/>
                <w:left w:val="none" w:sz="0" w:space="0" w:color="auto"/>
                <w:bottom w:val="none" w:sz="0" w:space="0" w:color="auto"/>
                <w:right w:val="none" w:sz="0" w:space="0" w:color="auto"/>
              </w:divBdr>
              <w:divsChild>
                <w:div w:id="20785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2922">
      <w:bodyDiv w:val="1"/>
      <w:marLeft w:val="0"/>
      <w:marRight w:val="0"/>
      <w:marTop w:val="0"/>
      <w:marBottom w:val="0"/>
      <w:divBdr>
        <w:top w:val="none" w:sz="0" w:space="0" w:color="auto"/>
        <w:left w:val="none" w:sz="0" w:space="0" w:color="auto"/>
        <w:bottom w:val="none" w:sz="0" w:space="0" w:color="auto"/>
        <w:right w:val="none" w:sz="0" w:space="0" w:color="auto"/>
      </w:divBdr>
    </w:div>
    <w:div w:id="1137532401">
      <w:bodyDiv w:val="1"/>
      <w:marLeft w:val="0"/>
      <w:marRight w:val="0"/>
      <w:marTop w:val="0"/>
      <w:marBottom w:val="0"/>
      <w:divBdr>
        <w:top w:val="none" w:sz="0" w:space="0" w:color="auto"/>
        <w:left w:val="none" w:sz="0" w:space="0" w:color="auto"/>
        <w:bottom w:val="none" w:sz="0" w:space="0" w:color="auto"/>
        <w:right w:val="none" w:sz="0" w:space="0" w:color="auto"/>
      </w:divBdr>
    </w:div>
    <w:div w:id="1138111825">
      <w:bodyDiv w:val="1"/>
      <w:marLeft w:val="0"/>
      <w:marRight w:val="0"/>
      <w:marTop w:val="0"/>
      <w:marBottom w:val="0"/>
      <w:divBdr>
        <w:top w:val="none" w:sz="0" w:space="0" w:color="auto"/>
        <w:left w:val="none" w:sz="0" w:space="0" w:color="auto"/>
        <w:bottom w:val="none" w:sz="0" w:space="0" w:color="auto"/>
        <w:right w:val="none" w:sz="0" w:space="0" w:color="auto"/>
      </w:divBdr>
      <w:divsChild>
        <w:div w:id="1253972955">
          <w:marLeft w:val="0"/>
          <w:marRight w:val="0"/>
          <w:marTop w:val="0"/>
          <w:marBottom w:val="0"/>
          <w:divBdr>
            <w:top w:val="none" w:sz="0" w:space="0" w:color="auto"/>
            <w:left w:val="none" w:sz="0" w:space="0" w:color="auto"/>
            <w:bottom w:val="none" w:sz="0" w:space="0" w:color="auto"/>
            <w:right w:val="none" w:sz="0" w:space="0" w:color="auto"/>
          </w:divBdr>
          <w:divsChild>
            <w:div w:id="646396430">
              <w:marLeft w:val="0"/>
              <w:marRight w:val="0"/>
              <w:marTop w:val="0"/>
              <w:marBottom w:val="0"/>
              <w:divBdr>
                <w:top w:val="none" w:sz="0" w:space="0" w:color="auto"/>
                <w:left w:val="none" w:sz="0" w:space="0" w:color="auto"/>
                <w:bottom w:val="none" w:sz="0" w:space="0" w:color="auto"/>
                <w:right w:val="none" w:sz="0" w:space="0" w:color="auto"/>
              </w:divBdr>
              <w:divsChild>
                <w:div w:id="773021163">
                  <w:marLeft w:val="0"/>
                  <w:marRight w:val="0"/>
                  <w:marTop w:val="0"/>
                  <w:marBottom w:val="0"/>
                  <w:divBdr>
                    <w:top w:val="none" w:sz="0" w:space="0" w:color="auto"/>
                    <w:left w:val="none" w:sz="0" w:space="0" w:color="auto"/>
                    <w:bottom w:val="none" w:sz="0" w:space="0" w:color="auto"/>
                    <w:right w:val="none" w:sz="0" w:space="0" w:color="auto"/>
                  </w:divBdr>
                  <w:divsChild>
                    <w:div w:id="14575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078348">
      <w:bodyDiv w:val="1"/>
      <w:marLeft w:val="0"/>
      <w:marRight w:val="0"/>
      <w:marTop w:val="0"/>
      <w:marBottom w:val="0"/>
      <w:divBdr>
        <w:top w:val="none" w:sz="0" w:space="0" w:color="auto"/>
        <w:left w:val="none" w:sz="0" w:space="0" w:color="auto"/>
        <w:bottom w:val="none" w:sz="0" w:space="0" w:color="auto"/>
        <w:right w:val="none" w:sz="0" w:space="0" w:color="auto"/>
      </w:divBdr>
    </w:div>
    <w:div w:id="1150363949">
      <w:bodyDiv w:val="1"/>
      <w:marLeft w:val="0"/>
      <w:marRight w:val="0"/>
      <w:marTop w:val="0"/>
      <w:marBottom w:val="0"/>
      <w:divBdr>
        <w:top w:val="none" w:sz="0" w:space="0" w:color="auto"/>
        <w:left w:val="none" w:sz="0" w:space="0" w:color="auto"/>
        <w:bottom w:val="none" w:sz="0" w:space="0" w:color="auto"/>
        <w:right w:val="none" w:sz="0" w:space="0" w:color="auto"/>
      </w:divBdr>
    </w:div>
    <w:div w:id="1152986554">
      <w:bodyDiv w:val="1"/>
      <w:marLeft w:val="0"/>
      <w:marRight w:val="0"/>
      <w:marTop w:val="0"/>
      <w:marBottom w:val="0"/>
      <w:divBdr>
        <w:top w:val="none" w:sz="0" w:space="0" w:color="auto"/>
        <w:left w:val="none" w:sz="0" w:space="0" w:color="auto"/>
        <w:bottom w:val="none" w:sz="0" w:space="0" w:color="auto"/>
        <w:right w:val="none" w:sz="0" w:space="0" w:color="auto"/>
      </w:divBdr>
      <w:divsChild>
        <w:div w:id="173763737">
          <w:marLeft w:val="0"/>
          <w:marRight w:val="0"/>
          <w:marTop w:val="0"/>
          <w:marBottom w:val="0"/>
          <w:divBdr>
            <w:top w:val="none" w:sz="0" w:space="0" w:color="auto"/>
            <w:left w:val="none" w:sz="0" w:space="0" w:color="auto"/>
            <w:bottom w:val="none" w:sz="0" w:space="0" w:color="auto"/>
            <w:right w:val="none" w:sz="0" w:space="0" w:color="auto"/>
          </w:divBdr>
          <w:divsChild>
            <w:div w:id="85199076">
              <w:marLeft w:val="0"/>
              <w:marRight w:val="0"/>
              <w:marTop w:val="0"/>
              <w:marBottom w:val="0"/>
              <w:divBdr>
                <w:top w:val="none" w:sz="0" w:space="0" w:color="auto"/>
                <w:left w:val="none" w:sz="0" w:space="0" w:color="auto"/>
                <w:bottom w:val="none" w:sz="0" w:space="0" w:color="auto"/>
                <w:right w:val="none" w:sz="0" w:space="0" w:color="auto"/>
              </w:divBdr>
              <w:divsChild>
                <w:div w:id="19742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9438">
      <w:bodyDiv w:val="1"/>
      <w:marLeft w:val="0"/>
      <w:marRight w:val="0"/>
      <w:marTop w:val="0"/>
      <w:marBottom w:val="0"/>
      <w:divBdr>
        <w:top w:val="none" w:sz="0" w:space="0" w:color="auto"/>
        <w:left w:val="none" w:sz="0" w:space="0" w:color="auto"/>
        <w:bottom w:val="none" w:sz="0" w:space="0" w:color="auto"/>
        <w:right w:val="none" w:sz="0" w:space="0" w:color="auto"/>
      </w:divBdr>
      <w:divsChild>
        <w:div w:id="1933737718">
          <w:marLeft w:val="0"/>
          <w:marRight w:val="0"/>
          <w:marTop w:val="0"/>
          <w:marBottom w:val="0"/>
          <w:divBdr>
            <w:top w:val="none" w:sz="0" w:space="0" w:color="auto"/>
            <w:left w:val="none" w:sz="0" w:space="0" w:color="auto"/>
            <w:bottom w:val="none" w:sz="0" w:space="0" w:color="auto"/>
            <w:right w:val="none" w:sz="0" w:space="0" w:color="auto"/>
          </w:divBdr>
          <w:divsChild>
            <w:div w:id="140000026">
              <w:marLeft w:val="0"/>
              <w:marRight w:val="0"/>
              <w:marTop w:val="0"/>
              <w:marBottom w:val="0"/>
              <w:divBdr>
                <w:top w:val="none" w:sz="0" w:space="0" w:color="auto"/>
                <w:left w:val="none" w:sz="0" w:space="0" w:color="auto"/>
                <w:bottom w:val="none" w:sz="0" w:space="0" w:color="auto"/>
                <w:right w:val="none" w:sz="0" w:space="0" w:color="auto"/>
              </w:divBdr>
              <w:divsChild>
                <w:div w:id="753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73057">
      <w:bodyDiv w:val="1"/>
      <w:marLeft w:val="0"/>
      <w:marRight w:val="0"/>
      <w:marTop w:val="0"/>
      <w:marBottom w:val="0"/>
      <w:divBdr>
        <w:top w:val="none" w:sz="0" w:space="0" w:color="auto"/>
        <w:left w:val="none" w:sz="0" w:space="0" w:color="auto"/>
        <w:bottom w:val="none" w:sz="0" w:space="0" w:color="auto"/>
        <w:right w:val="none" w:sz="0" w:space="0" w:color="auto"/>
      </w:divBdr>
    </w:div>
    <w:div w:id="1158231817">
      <w:bodyDiv w:val="1"/>
      <w:marLeft w:val="0"/>
      <w:marRight w:val="0"/>
      <w:marTop w:val="0"/>
      <w:marBottom w:val="0"/>
      <w:divBdr>
        <w:top w:val="none" w:sz="0" w:space="0" w:color="auto"/>
        <w:left w:val="none" w:sz="0" w:space="0" w:color="auto"/>
        <w:bottom w:val="none" w:sz="0" w:space="0" w:color="auto"/>
        <w:right w:val="none" w:sz="0" w:space="0" w:color="auto"/>
      </w:divBdr>
    </w:div>
    <w:div w:id="1159929190">
      <w:bodyDiv w:val="1"/>
      <w:marLeft w:val="0"/>
      <w:marRight w:val="0"/>
      <w:marTop w:val="0"/>
      <w:marBottom w:val="0"/>
      <w:divBdr>
        <w:top w:val="none" w:sz="0" w:space="0" w:color="auto"/>
        <w:left w:val="none" w:sz="0" w:space="0" w:color="auto"/>
        <w:bottom w:val="none" w:sz="0" w:space="0" w:color="auto"/>
        <w:right w:val="none" w:sz="0" w:space="0" w:color="auto"/>
      </w:divBdr>
      <w:divsChild>
        <w:div w:id="1363631755">
          <w:marLeft w:val="0"/>
          <w:marRight w:val="0"/>
          <w:marTop w:val="0"/>
          <w:marBottom w:val="0"/>
          <w:divBdr>
            <w:top w:val="none" w:sz="0" w:space="0" w:color="auto"/>
            <w:left w:val="none" w:sz="0" w:space="0" w:color="auto"/>
            <w:bottom w:val="none" w:sz="0" w:space="0" w:color="auto"/>
            <w:right w:val="none" w:sz="0" w:space="0" w:color="auto"/>
          </w:divBdr>
        </w:div>
        <w:div w:id="324672569">
          <w:marLeft w:val="0"/>
          <w:marRight w:val="0"/>
          <w:marTop w:val="0"/>
          <w:marBottom w:val="0"/>
          <w:divBdr>
            <w:top w:val="none" w:sz="0" w:space="0" w:color="auto"/>
            <w:left w:val="none" w:sz="0" w:space="0" w:color="auto"/>
            <w:bottom w:val="none" w:sz="0" w:space="0" w:color="auto"/>
            <w:right w:val="none" w:sz="0" w:space="0" w:color="auto"/>
          </w:divBdr>
        </w:div>
      </w:divsChild>
    </w:div>
    <w:div w:id="1163859286">
      <w:bodyDiv w:val="1"/>
      <w:marLeft w:val="0"/>
      <w:marRight w:val="0"/>
      <w:marTop w:val="0"/>
      <w:marBottom w:val="0"/>
      <w:divBdr>
        <w:top w:val="none" w:sz="0" w:space="0" w:color="auto"/>
        <w:left w:val="none" w:sz="0" w:space="0" w:color="auto"/>
        <w:bottom w:val="none" w:sz="0" w:space="0" w:color="auto"/>
        <w:right w:val="none" w:sz="0" w:space="0" w:color="auto"/>
      </w:divBdr>
      <w:divsChild>
        <w:div w:id="589431783">
          <w:marLeft w:val="0"/>
          <w:marRight w:val="0"/>
          <w:marTop w:val="0"/>
          <w:marBottom w:val="0"/>
          <w:divBdr>
            <w:top w:val="none" w:sz="0" w:space="0" w:color="auto"/>
            <w:left w:val="none" w:sz="0" w:space="0" w:color="auto"/>
            <w:bottom w:val="none" w:sz="0" w:space="0" w:color="auto"/>
            <w:right w:val="none" w:sz="0" w:space="0" w:color="auto"/>
          </w:divBdr>
          <w:divsChild>
            <w:div w:id="2012290925">
              <w:marLeft w:val="0"/>
              <w:marRight w:val="0"/>
              <w:marTop w:val="0"/>
              <w:marBottom w:val="0"/>
              <w:divBdr>
                <w:top w:val="none" w:sz="0" w:space="0" w:color="auto"/>
                <w:left w:val="none" w:sz="0" w:space="0" w:color="auto"/>
                <w:bottom w:val="none" w:sz="0" w:space="0" w:color="auto"/>
                <w:right w:val="none" w:sz="0" w:space="0" w:color="auto"/>
              </w:divBdr>
              <w:divsChild>
                <w:div w:id="13766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04140">
      <w:bodyDiv w:val="1"/>
      <w:marLeft w:val="0"/>
      <w:marRight w:val="0"/>
      <w:marTop w:val="0"/>
      <w:marBottom w:val="0"/>
      <w:divBdr>
        <w:top w:val="none" w:sz="0" w:space="0" w:color="auto"/>
        <w:left w:val="none" w:sz="0" w:space="0" w:color="auto"/>
        <w:bottom w:val="none" w:sz="0" w:space="0" w:color="auto"/>
        <w:right w:val="none" w:sz="0" w:space="0" w:color="auto"/>
      </w:divBdr>
      <w:divsChild>
        <w:div w:id="1153252298">
          <w:marLeft w:val="0"/>
          <w:marRight w:val="0"/>
          <w:marTop w:val="0"/>
          <w:marBottom w:val="0"/>
          <w:divBdr>
            <w:top w:val="none" w:sz="0" w:space="0" w:color="auto"/>
            <w:left w:val="none" w:sz="0" w:space="0" w:color="auto"/>
            <w:bottom w:val="none" w:sz="0" w:space="0" w:color="auto"/>
            <w:right w:val="none" w:sz="0" w:space="0" w:color="auto"/>
          </w:divBdr>
          <w:divsChild>
            <w:div w:id="1787696571">
              <w:marLeft w:val="0"/>
              <w:marRight w:val="0"/>
              <w:marTop w:val="0"/>
              <w:marBottom w:val="0"/>
              <w:divBdr>
                <w:top w:val="none" w:sz="0" w:space="0" w:color="auto"/>
                <w:left w:val="none" w:sz="0" w:space="0" w:color="auto"/>
                <w:bottom w:val="none" w:sz="0" w:space="0" w:color="auto"/>
                <w:right w:val="none" w:sz="0" w:space="0" w:color="auto"/>
              </w:divBdr>
              <w:divsChild>
                <w:div w:id="4407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5821">
      <w:bodyDiv w:val="1"/>
      <w:marLeft w:val="0"/>
      <w:marRight w:val="0"/>
      <w:marTop w:val="0"/>
      <w:marBottom w:val="0"/>
      <w:divBdr>
        <w:top w:val="none" w:sz="0" w:space="0" w:color="auto"/>
        <w:left w:val="none" w:sz="0" w:space="0" w:color="auto"/>
        <w:bottom w:val="none" w:sz="0" w:space="0" w:color="auto"/>
        <w:right w:val="none" w:sz="0" w:space="0" w:color="auto"/>
      </w:divBdr>
      <w:divsChild>
        <w:div w:id="1023094455">
          <w:marLeft w:val="0"/>
          <w:marRight w:val="0"/>
          <w:marTop w:val="0"/>
          <w:marBottom w:val="0"/>
          <w:divBdr>
            <w:top w:val="none" w:sz="0" w:space="0" w:color="auto"/>
            <w:left w:val="none" w:sz="0" w:space="0" w:color="auto"/>
            <w:bottom w:val="none" w:sz="0" w:space="0" w:color="auto"/>
            <w:right w:val="none" w:sz="0" w:space="0" w:color="auto"/>
          </w:divBdr>
          <w:divsChild>
            <w:div w:id="2035689987">
              <w:marLeft w:val="0"/>
              <w:marRight w:val="0"/>
              <w:marTop w:val="0"/>
              <w:marBottom w:val="0"/>
              <w:divBdr>
                <w:top w:val="none" w:sz="0" w:space="0" w:color="auto"/>
                <w:left w:val="none" w:sz="0" w:space="0" w:color="auto"/>
                <w:bottom w:val="none" w:sz="0" w:space="0" w:color="auto"/>
                <w:right w:val="none" w:sz="0" w:space="0" w:color="auto"/>
              </w:divBdr>
              <w:divsChild>
                <w:div w:id="1198009400">
                  <w:marLeft w:val="0"/>
                  <w:marRight w:val="0"/>
                  <w:marTop w:val="0"/>
                  <w:marBottom w:val="0"/>
                  <w:divBdr>
                    <w:top w:val="none" w:sz="0" w:space="0" w:color="auto"/>
                    <w:left w:val="none" w:sz="0" w:space="0" w:color="auto"/>
                    <w:bottom w:val="none" w:sz="0" w:space="0" w:color="auto"/>
                    <w:right w:val="none" w:sz="0" w:space="0" w:color="auto"/>
                  </w:divBdr>
                  <w:divsChild>
                    <w:div w:id="18051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251556">
      <w:bodyDiv w:val="1"/>
      <w:marLeft w:val="0"/>
      <w:marRight w:val="0"/>
      <w:marTop w:val="0"/>
      <w:marBottom w:val="0"/>
      <w:divBdr>
        <w:top w:val="none" w:sz="0" w:space="0" w:color="auto"/>
        <w:left w:val="none" w:sz="0" w:space="0" w:color="auto"/>
        <w:bottom w:val="none" w:sz="0" w:space="0" w:color="auto"/>
        <w:right w:val="none" w:sz="0" w:space="0" w:color="auto"/>
      </w:divBdr>
    </w:div>
    <w:div w:id="1170098681">
      <w:bodyDiv w:val="1"/>
      <w:marLeft w:val="0"/>
      <w:marRight w:val="0"/>
      <w:marTop w:val="0"/>
      <w:marBottom w:val="0"/>
      <w:divBdr>
        <w:top w:val="none" w:sz="0" w:space="0" w:color="auto"/>
        <w:left w:val="none" w:sz="0" w:space="0" w:color="auto"/>
        <w:bottom w:val="none" w:sz="0" w:space="0" w:color="auto"/>
        <w:right w:val="none" w:sz="0" w:space="0" w:color="auto"/>
      </w:divBdr>
    </w:div>
    <w:div w:id="1170558690">
      <w:bodyDiv w:val="1"/>
      <w:marLeft w:val="0"/>
      <w:marRight w:val="0"/>
      <w:marTop w:val="0"/>
      <w:marBottom w:val="0"/>
      <w:divBdr>
        <w:top w:val="none" w:sz="0" w:space="0" w:color="auto"/>
        <w:left w:val="none" w:sz="0" w:space="0" w:color="auto"/>
        <w:bottom w:val="none" w:sz="0" w:space="0" w:color="auto"/>
        <w:right w:val="none" w:sz="0" w:space="0" w:color="auto"/>
      </w:divBdr>
    </w:div>
    <w:div w:id="1170675272">
      <w:bodyDiv w:val="1"/>
      <w:marLeft w:val="0"/>
      <w:marRight w:val="0"/>
      <w:marTop w:val="0"/>
      <w:marBottom w:val="0"/>
      <w:divBdr>
        <w:top w:val="none" w:sz="0" w:space="0" w:color="auto"/>
        <w:left w:val="none" w:sz="0" w:space="0" w:color="auto"/>
        <w:bottom w:val="none" w:sz="0" w:space="0" w:color="auto"/>
        <w:right w:val="none" w:sz="0" w:space="0" w:color="auto"/>
      </w:divBdr>
      <w:divsChild>
        <w:div w:id="1380547671">
          <w:marLeft w:val="0"/>
          <w:marRight w:val="0"/>
          <w:marTop w:val="0"/>
          <w:marBottom w:val="0"/>
          <w:divBdr>
            <w:top w:val="none" w:sz="0" w:space="0" w:color="3D3D3D"/>
            <w:left w:val="none" w:sz="0" w:space="0" w:color="3D3D3D"/>
            <w:bottom w:val="none" w:sz="0" w:space="0" w:color="3D3D3D"/>
            <w:right w:val="none" w:sz="0" w:space="0" w:color="3D3D3D"/>
          </w:divBdr>
        </w:div>
      </w:divsChild>
    </w:div>
    <w:div w:id="1172646072">
      <w:bodyDiv w:val="1"/>
      <w:marLeft w:val="0"/>
      <w:marRight w:val="0"/>
      <w:marTop w:val="0"/>
      <w:marBottom w:val="0"/>
      <w:divBdr>
        <w:top w:val="none" w:sz="0" w:space="0" w:color="auto"/>
        <w:left w:val="none" w:sz="0" w:space="0" w:color="auto"/>
        <w:bottom w:val="none" w:sz="0" w:space="0" w:color="auto"/>
        <w:right w:val="none" w:sz="0" w:space="0" w:color="auto"/>
      </w:divBdr>
    </w:div>
    <w:div w:id="1174683878">
      <w:bodyDiv w:val="1"/>
      <w:marLeft w:val="0"/>
      <w:marRight w:val="0"/>
      <w:marTop w:val="0"/>
      <w:marBottom w:val="0"/>
      <w:divBdr>
        <w:top w:val="none" w:sz="0" w:space="0" w:color="auto"/>
        <w:left w:val="none" w:sz="0" w:space="0" w:color="auto"/>
        <w:bottom w:val="none" w:sz="0" w:space="0" w:color="auto"/>
        <w:right w:val="none" w:sz="0" w:space="0" w:color="auto"/>
      </w:divBdr>
      <w:divsChild>
        <w:div w:id="637107844">
          <w:marLeft w:val="0"/>
          <w:marRight w:val="0"/>
          <w:marTop w:val="0"/>
          <w:marBottom w:val="0"/>
          <w:divBdr>
            <w:top w:val="none" w:sz="0" w:space="0" w:color="auto"/>
            <w:left w:val="none" w:sz="0" w:space="0" w:color="auto"/>
            <w:bottom w:val="none" w:sz="0" w:space="0" w:color="auto"/>
            <w:right w:val="none" w:sz="0" w:space="0" w:color="auto"/>
          </w:divBdr>
          <w:divsChild>
            <w:div w:id="413208001">
              <w:marLeft w:val="0"/>
              <w:marRight w:val="0"/>
              <w:marTop w:val="0"/>
              <w:marBottom w:val="0"/>
              <w:divBdr>
                <w:top w:val="none" w:sz="0" w:space="0" w:color="auto"/>
                <w:left w:val="none" w:sz="0" w:space="0" w:color="auto"/>
                <w:bottom w:val="none" w:sz="0" w:space="0" w:color="auto"/>
                <w:right w:val="none" w:sz="0" w:space="0" w:color="auto"/>
              </w:divBdr>
              <w:divsChild>
                <w:div w:id="953634502">
                  <w:marLeft w:val="0"/>
                  <w:marRight w:val="0"/>
                  <w:marTop w:val="0"/>
                  <w:marBottom w:val="0"/>
                  <w:divBdr>
                    <w:top w:val="none" w:sz="0" w:space="0" w:color="auto"/>
                    <w:left w:val="none" w:sz="0" w:space="0" w:color="auto"/>
                    <w:bottom w:val="none" w:sz="0" w:space="0" w:color="auto"/>
                    <w:right w:val="none" w:sz="0" w:space="0" w:color="auto"/>
                  </w:divBdr>
                  <w:divsChild>
                    <w:div w:id="2523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387">
      <w:bodyDiv w:val="1"/>
      <w:marLeft w:val="0"/>
      <w:marRight w:val="0"/>
      <w:marTop w:val="0"/>
      <w:marBottom w:val="0"/>
      <w:divBdr>
        <w:top w:val="none" w:sz="0" w:space="0" w:color="auto"/>
        <w:left w:val="none" w:sz="0" w:space="0" w:color="auto"/>
        <w:bottom w:val="none" w:sz="0" w:space="0" w:color="auto"/>
        <w:right w:val="none" w:sz="0" w:space="0" w:color="auto"/>
      </w:divBdr>
    </w:div>
    <w:div w:id="1178620234">
      <w:bodyDiv w:val="1"/>
      <w:marLeft w:val="0"/>
      <w:marRight w:val="0"/>
      <w:marTop w:val="0"/>
      <w:marBottom w:val="0"/>
      <w:divBdr>
        <w:top w:val="none" w:sz="0" w:space="0" w:color="auto"/>
        <w:left w:val="none" w:sz="0" w:space="0" w:color="auto"/>
        <w:bottom w:val="none" w:sz="0" w:space="0" w:color="auto"/>
        <w:right w:val="none" w:sz="0" w:space="0" w:color="auto"/>
      </w:divBdr>
    </w:div>
    <w:div w:id="1181509046">
      <w:bodyDiv w:val="1"/>
      <w:marLeft w:val="0"/>
      <w:marRight w:val="0"/>
      <w:marTop w:val="0"/>
      <w:marBottom w:val="0"/>
      <w:divBdr>
        <w:top w:val="none" w:sz="0" w:space="0" w:color="auto"/>
        <w:left w:val="none" w:sz="0" w:space="0" w:color="auto"/>
        <w:bottom w:val="none" w:sz="0" w:space="0" w:color="auto"/>
        <w:right w:val="none" w:sz="0" w:space="0" w:color="auto"/>
      </w:divBdr>
      <w:divsChild>
        <w:div w:id="1203446021">
          <w:marLeft w:val="0"/>
          <w:marRight w:val="0"/>
          <w:marTop w:val="0"/>
          <w:marBottom w:val="0"/>
          <w:divBdr>
            <w:top w:val="none" w:sz="0" w:space="0" w:color="auto"/>
            <w:left w:val="none" w:sz="0" w:space="0" w:color="auto"/>
            <w:bottom w:val="none" w:sz="0" w:space="0" w:color="auto"/>
            <w:right w:val="none" w:sz="0" w:space="0" w:color="auto"/>
          </w:divBdr>
          <w:divsChild>
            <w:div w:id="1984504429">
              <w:marLeft w:val="0"/>
              <w:marRight w:val="0"/>
              <w:marTop w:val="0"/>
              <w:marBottom w:val="0"/>
              <w:divBdr>
                <w:top w:val="none" w:sz="0" w:space="0" w:color="auto"/>
                <w:left w:val="none" w:sz="0" w:space="0" w:color="auto"/>
                <w:bottom w:val="none" w:sz="0" w:space="0" w:color="auto"/>
                <w:right w:val="none" w:sz="0" w:space="0" w:color="auto"/>
              </w:divBdr>
              <w:divsChild>
                <w:div w:id="5696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74078">
      <w:bodyDiv w:val="1"/>
      <w:marLeft w:val="0"/>
      <w:marRight w:val="0"/>
      <w:marTop w:val="0"/>
      <w:marBottom w:val="0"/>
      <w:divBdr>
        <w:top w:val="none" w:sz="0" w:space="0" w:color="auto"/>
        <w:left w:val="none" w:sz="0" w:space="0" w:color="auto"/>
        <w:bottom w:val="none" w:sz="0" w:space="0" w:color="auto"/>
        <w:right w:val="none" w:sz="0" w:space="0" w:color="auto"/>
      </w:divBdr>
      <w:divsChild>
        <w:div w:id="970751547">
          <w:marLeft w:val="0"/>
          <w:marRight w:val="0"/>
          <w:marTop w:val="0"/>
          <w:marBottom w:val="0"/>
          <w:divBdr>
            <w:top w:val="none" w:sz="0" w:space="0" w:color="auto"/>
            <w:left w:val="none" w:sz="0" w:space="0" w:color="auto"/>
            <w:bottom w:val="none" w:sz="0" w:space="0" w:color="auto"/>
            <w:right w:val="none" w:sz="0" w:space="0" w:color="auto"/>
          </w:divBdr>
          <w:divsChild>
            <w:div w:id="1821266347">
              <w:marLeft w:val="0"/>
              <w:marRight w:val="0"/>
              <w:marTop w:val="0"/>
              <w:marBottom w:val="0"/>
              <w:divBdr>
                <w:top w:val="none" w:sz="0" w:space="0" w:color="auto"/>
                <w:left w:val="none" w:sz="0" w:space="0" w:color="auto"/>
                <w:bottom w:val="none" w:sz="0" w:space="0" w:color="auto"/>
                <w:right w:val="none" w:sz="0" w:space="0" w:color="auto"/>
              </w:divBdr>
              <w:divsChild>
                <w:div w:id="1097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14874">
      <w:bodyDiv w:val="1"/>
      <w:marLeft w:val="0"/>
      <w:marRight w:val="0"/>
      <w:marTop w:val="0"/>
      <w:marBottom w:val="0"/>
      <w:divBdr>
        <w:top w:val="none" w:sz="0" w:space="0" w:color="auto"/>
        <w:left w:val="none" w:sz="0" w:space="0" w:color="auto"/>
        <w:bottom w:val="none" w:sz="0" w:space="0" w:color="auto"/>
        <w:right w:val="none" w:sz="0" w:space="0" w:color="auto"/>
      </w:divBdr>
    </w:div>
    <w:div w:id="1186748688">
      <w:bodyDiv w:val="1"/>
      <w:marLeft w:val="0"/>
      <w:marRight w:val="0"/>
      <w:marTop w:val="0"/>
      <w:marBottom w:val="0"/>
      <w:divBdr>
        <w:top w:val="none" w:sz="0" w:space="0" w:color="auto"/>
        <w:left w:val="none" w:sz="0" w:space="0" w:color="auto"/>
        <w:bottom w:val="none" w:sz="0" w:space="0" w:color="auto"/>
        <w:right w:val="none" w:sz="0" w:space="0" w:color="auto"/>
      </w:divBdr>
    </w:div>
    <w:div w:id="1189561372">
      <w:bodyDiv w:val="1"/>
      <w:marLeft w:val="0"/>
      <w:marRight w:val="0"/>
      <w:marTop w:val="0"/>
      <w:marBottom w:val="0"/>
      <w:divBdr>
        <w:top w:val="none" w:sz="0" w:space="0" w:color="auto"/>
        <w:left w:val="none" w:sz="0" w:space="0" w:color="auto"/>
        <w:bottom w:val="none" w:sz="0" w:space="0" w:color="auto"/>
        <w:right w:val="none" w:sz="0" w:space="0" w:color="auto"/>
      </w:divBdr>
    </w:div>
    <w:div w:id="1191648622">
      <w:bodyDiv w:val="1"/>
      <w:marLeft w:val="0"/>
      <w:marRight w:val="0"/>
      <w:marTop w:val="0"/>
      <w:marBottom w:val="0"/>
      <w:divBdr>
        <w:top w:val="none" w:sz="0" w:space="0" w:color="auto"/>
        <w:left w:val="none" w:sz="0" w:space="0" w:color="auto"/>
        <w:bottom w:val="none" w:sz="0" w:space="0" w:color="auto"/>
        <w:right w:val="none" w:sz="0" w:space="0" w:color="auto"/>
      </w:divBdr>
      <w:divsChild>
        <w:div w:id="1759979231">
          <w:marLeft w:val="0"/>
          <w:marRight w:val="0"/>
          <w:marTop w:val="0"/>
          <w:marBottom w:val="0"/>
          <w:divBdr>
            <w:top w:val="none" w:sz="0" w:space="0" w:color="auto"/>
            <w:left w:val="none" w:sz="0" w:space="0" w:color="auto"/>
            <w:bottom w:val="none" w:sz="0" w:space="0" w:color="auto"/>
            <w:right w:val="none" w:sz="0" w:space="0" w:color="auto"/>
          </w:divBdr>
          <w:divsChild>
            <w:div w:id="793718099">
              <w:marLeft w:val="0"/>
              <w:marRight w:val="0"/>
              <w:marTop w:val="0"/>
              <w:marBottom w:val="0"/>
              <w:divBdr>
                <w:top w:val="none" w:sz="0" w:space="0" w:color="auto"/>
                <w:left w:val="none" w:sz="0" w:space="0" w:color="auto"/>
                <w:bottom w:val="none" w:sz="0" w:space="0" w:color="auto"/>
                <w:right w:val="none" w:sz="0" w:space="0" w:color="auto"/>
              </w:divBdr>
              <w:divsChild>
                <w:div w:id="308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59888">
      <w:bodyDiv w:val="1"/>
      <w:marLeft w:val="0"/>
      <w:marRight w:val="0"/>
      <w:marTop w:val="0"/>
      <w:marBottom w:val="0"/>
      <w:divBdr>
        <w:top w:val="none" w:sz="0" w:space="0" w:color="auto"/>
        <w:left w:val="none" w:sz="0" w:space="0" w:color="auto"/>
        <w:bottom w:val="none" w:sz="0" w:space="0" w:color="auto"/>
        <w:right w:val="none" w:sz="0" w:space="0" w:color="auto"/>
      </w:divBdr>
      <w:divsChild>
        <w:div w:id="568342560">
          <w:marLeft w:val="0"/>
          <w:marRight w:val="0"/>
          <w:marTop w:val="0"/>
          <w:marBottom w:val="0"/>
          <w:divBdr>
            <w:top w:val="none" w:sz="0" w:space="0" w:color="auto"/>
            <w:left w:val="none" w:sz="0" w:space="0" w:color="auto"/>
            <w:bottom w:val="none" w:sz="0" w:space="0" w:color="auto"/>
            <w:right w:val="none" w:sz="0" w:space="0" w:color="auto"/>
          </w:divBdr>
          <w:divsChild>
            <w:div w:id="1185486343">
              <w:marLeft w:val="0"/>
              <w:marRight w:val="0"/>
              <w:marTop w:val="0"/>
              <w:marBottom w:val="0"/>
              <w:divBdr>
                <w:top w:val="none" w:sz="0" w:space="0" w:color="auto"/>
                <w:left w:val="none" w:sz="0" w:space="0" w:color="auto"/>
                <w:bottom w:val="none" w:sz="0" w:space="0" w:color="auto"/>
                <w:right w:val="none" w:sz="0" w:space="0" w:color="auto"/>
              </w:divBdr>
              <w:divsChild>
                <w:div w:id="4392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4837">
      <w:bodyDiv w:val="1"/>
      <w:marLeft w:val="0"/>
      <w:marRight w:val="0"/>
      <w:marTop w:val="0"/>
      <w:marBottom w:val="0"/>
      <w:divBdr>
        <w:top w:val="none" w:sz="0" w:space="0" w:color="auto"/>
        <w:left w:val="none" w:sz="0" w:space="0" w:color="auto"/>
        <w:bottom w:val="none" w:sz="0" w:space="0" w:color="auto"/>
        <w:right w:val="none" w:sz="0" w:space="0" w:color="auto"/>
      </w:divBdr>
    </w:div>
    <w:div w:id="1196507171">
      <w:bodyDiv w:val="1"/>
      <w:marLeft w:val="0"/>
      <w:marRight w:val="0"/>
      <w:marTop w:val="0"/>
      <w:marBottom w:val="0"/>
      <w:divBdr>
        <w:top w:val="none" w:sz="0" w:space="0" w:color="auto"/>
        <w:left w:val="none" w:sz="0" w:space="0" w:color="auto"/>
        <w:bottom w:val="none" w:sz="0" w:space="0" w:color="auto"/>
        <w:right w:val="none" w:sz="0" w:space="0" w:color="auto"/>
      </w:divBdr>
      <w:divsChild>
        <w:div w:id="791293270">
          <w:marLeft w:val="0"/>
          <w:marRight w:val="0"/>
          <w:marTop w:val="0"/>
          <w:marBottom w:val="0"/>
          <w:divBdr>
            <w:top w:val="none" w:sz="0" w:space="0" w:color="auto"/>
            <w:left w:val="none" w:sz="0" w:space="0" w:color="auto"/>
            <w:bottom w:val="none" w:sz="0" w:space="0" w:color="auto"/>
            <w:right w:val="none" w:sz="0" w:space="0" w:color="auto"/>
          </w:divBdr>
          <w:divsChild>
            <w:div w:id="1059328119">
              <w:marLeft w:val="0"/>
              <w:marRight w:val="0"/>
              <w:marTop w:val="0"/>
              <w:marBottom w:val="0"/>
              <w:divBdr>
                <w:top w:val="none" w:sz="0" w:space="0" w:color="auto"/>
                <w:left w:val="none" w:sz="0" w:space="0" w:color="auto"/>
                <w:bottom w:val="none" w:sz="0" w:space="0" w:color="auto"/>
                <w:right w:val="none" w:sz="0" w:space="0" w:color="auto"/>
              </w:divBdr>
              <w:divsChild>
                <w:div w:id="20037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6344">
      <w:bodyDiv w:val="1"/>
      <w:marLeft w:val="0"/>
      <w:marRight w:val="0"/>
      <w:marTop w:val="0"/>
      <w:marBottom w:val="0"/>
      <w:divBdr>
        <w:top w:val="none" w:sz="0" w:space="0" w:color="auto"/>
        <w:left w:val="none" w:sz="0" w:space="0" w:color="auto"/>
        <w:bottom w:val="none" w:sz="0" w:space="0" w:color="auto"/>
        <w:right w:val="none" w:sz="0" w:space="0" w:color="auto"/>
      </w:divBdr>
    </w:div>
    <w:div w:id="1200897464">
      <w:bodyDiv w:val="1"/>
      <w:marLeft w:val="0"/>
      <w:marRight w:val="0"/>
      <w:marTop w:val="0"/>
      <w:marBottom w:val="0"/>
      <w:divBdr>
        <w:top w:val="none" w:sz="0" w:space="0" w:color="auto"/>
        <w:left w:val="none" w:sz="0" w:space="0" w:color="auto"/>
        <w:bottom w:val="none" w:sz="0" w:space="0" w:color="auto"/>
        <w:right w:val="none" w:sz="0" w:space="0" w:color="auto"/>
      </w:divBdr>
    </w:div>
    <w:div w:id="1201164975">
      <w:bodyDiv w:val="1"/>
      <w:marLeft w:val="0"/>
      <w:marRight w:val="0"/>
      <w:marTop w:val="0"/>
      <w:marBottom w:val="0"/>
      <w:divBdr>
        <w:top w:val="none" w:sz="0" w:space="0" w:color="auto"/>
        <w:left w:val="none" w:sz="0" w:space="0" w:color="auto"/>
        <w:bottom w:val="none" w:sz="0" w:space="0" w:color="auto"/>
        <w:right w:val="none" w:sz="0" w:space="0" w:color="auto"/>
      </w:divBdr>
      <w:divsChild>
        <w:div w:id="89590530">
          <w:marLeft w:val="0"/>
          <w:marRight w:val="0"/>
          <w:marTop w:val="0"/>
          <w:marBottom w:val="0"/>
          <w:divBdr>
            <w:top w:val="none" w:sz="0" w:space="0" w:color="auto"/>
            <w:left w:val="none" w:sz="0" w:space="0" w:color="auto"/>
            <w:bottom w:val="none" w:sz="0" w:space="0" w:color="auto"/>
            <w:right w:val="none" w:sz="0" w:space="0" w:color="auto"/>
          </w:divBdr>
          <w:divsChild>
            <w:div w:id="317878667">
              <w:marLeft w:val="0"/>
              <w:marRight w:val="0"/>
              <w:marTop w:val="0"/>
              <w:marBottom w:val="0"/>
              <w:divBdr>
                <w:top w:val="none" w:sz="0" w:space="0" w:color="auto"/>
                <w:left w:val="none" w:sz="0" w:space="0" w:color="auto"/>
                <w:bottom w:val="none" w:sz="0" w:space="0" w:color="auto"/>
                <w:right w:val="none" w:sz="0" w:space="0" w:color="auto"/>
              </w:divBdr>
              <w:divsChild>
                <w:div w:id="1457874708">
                  <w:marLeft w:val="0"/>
                  <w:marRight w:val="0"/>
                  <w:marTop w:val="0"/>
                  <w:marBottom w:val="0"/>
                  <w:divBdr>
                    <w:top w:val="none" w:sz="0" w:space="0" w:color="auto"/>
                    <w:left w:val="none" w:sz="0" w:space="0" w:color="auto"/>
                    <w:bottom w:val="none" w:sz="0" w:space="0" w:color="auto"/>
                    <w:right w:val="none" w:sz="0" w:space="0" w:color="auto"/>
                  </w:divBdr>
                  <w:divsChild>
                    <w:div w:id="7214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31452">
      <w:bodyDiv w:val="1"/>
      <w:marLeft w:val="0"/>
      <w:marRight w:val="0"/>
      <w:marTop w:val="0"/>
      <w:marBottom w:val="0"/>
      <w:divBdr>
        <w:top w:val="none" w:sz="0" w:space="0" w:color="auto"/>
        <w:left w:val="none" w:sz="0" w:space="0" w:color="auto"/>
        <w:bottom w:val="none" w:sz="0" w:space="0" w:color="auto"/>
        <w:right w:val="none" w:sz="0" w:space="0" w:color="auto"/>
      </w:divBdr>
    </w:div>
    <w:div w:id="1215774311">
      <w:bodyDiv w:val="1"/>
      <w:marLeft w:val="0"/>
      <w:marRight w:val="0"/>
      <w:marTop w:val="0"/>
      <w:marBottom w:val="0"/>
      <w:divBdr>
        <w:top w:val="none" w:sz="0" w:space="0" w:color="auto"/>
        <w:left w:val="none" w:sz="0" w:space="0" w:color="auto"/>
        <w:bottom w:val="none" w:sz="0" w:space="0" w:color="auto"/>
        <w:right w:val="none" w:sz="0" w:space="0" w:color="auto"/>
      </w:divBdr>
      <w:divsChild>
        <w:div w:id="48039695">
          <w:marLeft w:val="0"/>
          <w:marRight w:val="0"/>
          <w:marTop w:val="0"/>
          <w:marBottom w:val="0"/>
          <w:divBdr>
            <w:top w:val="none" w:sz="0" w:space="0" w:color="auto"/>
            <w:left w:val="none" w:sz="0" w:space="0" w:color="auto"/>
            <w:bottom w:val="none" w:sz="0" w:space="0" w:color="auto"/>
            <w:right w:val="none" w:sz="0" w:space="0" w:color="auto"/>
          </w:divBdr>
          <w:divsChild>
            <w:div w:id="1340809812">
              <w:marLeft w:val="0"/>
              <w:marRight w:val="0"/>
              <w:marTop w:val="0"/>
              <w:marBottom w:val="0"/>
              <w:divBdr>
                <w:top w:val="none" w:sz="0" w:space="0" w:color="auto"/>
                <w:left w:val="none" w:sz="0" w:space="0" w:color="auto"/>
                <w:bottom w:val="none" w:sz="0" w:space="0" w:color="auto"/>
                <w:right w:val="none" w:sz="0" w:space="0" w:color="auto"/>
              </w:divBdr>
              <w:divsChild>
                <w:div w:id="16140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31948">
      <w:bodyDiv w:val="1"/>
      <w:marLeft w:val="0"/>
      <w:marRight w:val="0"/>
      <w:marTop w:val="0"/>
      <w:marBottom w:val="0"/>
      <w:divBdr>
        <w:top w:val="none" w:sz="0" w:space="0" w:color="auto"/>
        <w:left w:val="none" w:sz="0" w:space="0" w:color="auto"/>
        <w:bottom w:val="none" w:sz="0" w:space="0" w:color="auto"/>
        <w:right w:val="none" w:sz="0" w:space="0" w:color="auto"/>
      </w:divBdr>
    </w:div>
    <w:div w:id="1223055322">
      <w:bodyDiv w:val="1"/>
      <w:marLeft w:val="0"/>
      <w:marRight w:val="0"/>
      <w:marTop w:val="0"/>
      <w:marBottom w:val="0"/>
      <w:divBdr>
        <w:top w:val="none" w:sz="0" w:space="0" w:color="auto"/>
        <w:left w:val="none" w:sz="0" w:space="0" w:color="auto"/>
        <w:bottom w:val="none" w:sz="0" w:space="0" w:color="auto"/>
        <w:right w:val="none" w:sz="0" w:space="0" w:color="auto"/>
      </w:divBdr>
      <w:divsChild>
        <w:div w:id="1219170347">
          <w:marLeft w:val="0"/>
          <w:marRight w:val="0"/>
          <w:marTop w:val="0"/>
          <w:marBottom w:val="0"/>
          <w:divBdr>
            <w:top w:val="none" w:sz="0" w:space="0" w:color="auto"/>
            <w:left w:val="none" w:sz="0" w:space="0" w:color="auto"/>
            <w:bottom w:val="none" w:sz="0" w:space="0" w:color="auto"/>
            <w:right w:val="none" w:sz="0" w:space="0" w:color="auto"/>
          </w:divBdr>
          <w:divsChild>
            <w:div w:id="815996552">
              <w:marLeft w:val="0"/>
              <w:marRight w:val="0"/>
              <w:marTop w:val="0"/>
              <w:marBottom w:val="0"/>
              <w:divBdr>
                <w:top w:val="none" w:sz="0" w:space="0" w:color="auto"/>
                <w:left w:val="none" w:sz="0" w:space="0" w:color="auto"/>
                <w:bottom w:val="none" w:sz="0" w:space="0" w:color="auto"/>
                <w:right w:val="none" w:sz="0" w:space="0" w:color="auto"/>
              </w:divBdr>
              <w:divsChild>
                <w:div w:id="14903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80165">
      <w:bodyDiv w:val="1"/>
      <w:marLeft w:val="0"/>
      <w:marRight w:val="0"/>
      <w:marTop w:val="0"/>
      <w:marBottom w:val="0"/>
      <w:divBdr>
        <w:top w:val="none" w:sz="0" w:space="0" w:color="auto"/>
        <w:left w:val="none" w:sz="0" w:space="0" w:color="auto"/>
        <w:bottom w:val="none" w:sz="0" w:space="0" w:color="auto"/>
        <w:right w:val="none" w:sz="0" w:space="0" w:color="auto"/>
      </w:divBdr>
      <w:divsChild>
        <w:div w:id="1159614305">
          <w:marLeft w:val="0"/>
          <w:marRight w:val="0"/>
          <w:marTop w:val="0"/>
          <w:marBottom w:val="0"/>
          <w:divBdr>
            <w:top w:val="none" w:sz="0" w:space="0" w:color="auto"/>
            <w:left w:val="none" w:sz="0" w:space="0" w:color="auto"/>
            <w:bottom w:val="none" w:sz="0" w:space="0" w:color="auto"/>
            <w:right w:val="none" w:sz="0" w:space="0" w:color="auto"/>
          </w:divBdr>
          <w:divsChild>
            <w:div w:id="1873958259">
              <w:marLeft w:val="0"/>
              <w:marRight w:val="0"/>
              <w:marTop w:val="0"/>
              <w:marBottom w:val="0"/>
              <w:divBdr>
                <w:top w:val="none" w:sz="0" w:space="0" w:color="auto"/>
                <w:left w:val="none" w:sz="0" w:space="0" w:color="auto"/>
                <w:bottom w:val="none" w:sz="0" w:space="0" w:color="auto"/>
                <w:right w:val="none" w:sz="0" w:space="0" w:color="auto"/>
              </w:divBdr>
              <w:divsChild>
                <w:div w:id="81072195">
                  <w:marLeft w:val="0"/>
                  <w:marRight w:val="0"/>
                  <w:marTop w:val="0"/>
                  <w:marBottom w:val="0"/>
                  <w:divBdr>
                    <w:top w:val="none" w:sz="0" w:space="0" w:color="auto"/>
                    <w:left w:val="none" w:sz="0" w:space="0" w:color="auto"/>
                    <w:bottom w:val="none" w:sz="0" w:space="0" w:color="auto"/>
                    <w:right w:val="none" w:sz="0" w:space="0" w:color="auto"/>
                  </w:divBdr>
                  <w:divsChild>
                    <w:div w:id="13223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79067">
      <w:bodyDiv w:val="1"/>
      <w:marLeft w:val="0"/>
      <w:marRight w:val="0"/>
      <w:marTop w:val="0"/>
      <w:marBottom w:val="0"/>
      <w:divBdr>
        <w:top w:val="none" w:sz="0" w:space="0" w:color="auto"/>
        <w:left w:val="none" w:sz="0" w:space="0" w:color="auto"/>
        <w:bottom w:val="none" w:sz="0" w:space="0" w:color="auto"/>
        <w:right w:val="none" w:sz="0" w:space="0" w:color="auto"/>
      </w:divBdr>
      <w:divsChild>
        <w:div w:id="1644773719">
          <w:marLeft w:val="0"/>
          <w:marRight w:val="0"/>
          <w:marTop w:val="0"/>
          <w:marBottom w:val="0"/>
          <w:divBdr>
            <w:top w:val="none" w:sz="0" w:space="0" w:color="auto"/>
            <w:left w:val="none" w:sz="0" w:space="0" w:color="auto"/>
            <w:bottom w:val="none" w:sz="0" w:space="0" w:color="auto"/>
            <w:right w:val="none" w:sz="0" w:space="0" w:color="auto"/>
          </w:divBdr>
          <w:divsChild>
            <w:div w:id="1654798519">
              <w:marLeft w:val="0"/>
              <w:marRight w:val="0"/>
              <w:marTop w:val="0"/>
              <w:marBottom w:val="0"/>
              <w:divBdr>
                <w:top w:val="none" w:sz="0" w:space="0" w:color="auto"/>
                <w:left w:val="none" w:sz="0" w:space="0" w:color="auto"/>
                <w:bottom w:val="none" w:sz="0" w:space="0" w:color="auto"/>
                <w:right w:val="none" w:sz="0" w:space="0" w:color="auto"/>
              </w:divBdr>
              <w:divsChild>
                <w:div w:id="509369059">
                  <w:marLeft w:val="0"/>
                  <w:marRight w:val="0"/>
                  <w:marTop w:val="0"/>
                  <w:marBottom w:val="0"/>
                  <w:divBdr>
                    <w:top w:val="none" w:sz="0" w:space="0" w:color="auto"/>
                    <w:left w:val="none" w:sz="0" w:space="0" w:color="auto"/>
                    <w:bottom w:val="none" w:sz="0" w:space="0" w:color="auto"/>
                    <w:right w:val="none" w:sz="0" w:space="0" w:color="auto"/>
                  </w:divBdr>
                  <w:divsChild>
                    <w:div w:id="6174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29853">
      <w:bodyDiv w:val="1"/>
      <w:marLeft w:val="0"/>
      <w:marRight w:val="0"/>
      <w:marTop w:val="0"/>
      <w:marBottom w:val="0"/>
      <w:divBdr>
        <w:top w:val="none" w:sz="0" w:space="0" w:color="auto"/>
        <w:left w:val="none" w:sz="0" w:space="0" w:color="auto"/>
        <w:bottom w:val="none" w:sz="0" w:space="0" w:color="auto"/>
        <w:right w:val="none" w:sz="0" w:space="0" w:color="auto"/>
      </w:divBdr>
    </w:div>
    <w:div w:id="1238439387">
      <w:bodyDiv w:val="1"/>
      <w:marLeft w:val="0"/>
      <w:marRight w:val="0"/>
      <w:marTop w:val="0"/>
      <w:marBottom w:val="0"/>
      <w:divBdr>
        <w:top w:val="none" w:sz="0" w:space="0" w:color="auto"/>
        <w:left w:val="none" w:sz="0" w:space="0" w:color="auto"/>
        <w:bottom w:val="none" w:sz="0" w:space="0" w:color="auto"/>
        <w:right w:val="none" w:sz="0" w:space="0" w:color="auto"/>
      </w:divBdr>
      <w:divsChild>
        <w:div w:id="124085524">
          <w:marLeft w:val="0"/>
          <w:marRight w:val="0"/>
          <w:marTop w:val="0"/>
          <w:marBottom w:val="0"/>
          <w:divBdr>
            <w:top w:val="none" w:sz="0" w:space="0" w:color="auto"/>
            <w:left w:val="none" w:sz="0" w:space="0" w:color="auto"/>
            <w:bottom w:val="none" w:sz="0" w:space="0" w:color="auto"/>
            <w:right w:val="none" w:sz="0" w:space="0" w:color="auto"/>
          </w:divBdr>
          <w:divsChild>
            <w:div w:id="1026909224">
              <w:marLeft w:val="0"/>
              <w:marRight w:val="0"/>
              <w:marTop w:val="0"/>
              <w:marBottom w:val="0"/>
              <w:divBdr>
                <w:top w:val="none" w:sz="0" w:space="0" w:color="auto"/>
                <w:left w:val="none" w:sz="0" w:space="0" w:color="auto"/>
                <w:bottom w:val="none" w:sz="0" w:space="0" w:color="auto"/>
                <w:right w:val="none" w:sz="0" w:space="0" w:color="auto"/>
              </w:divBdr>
              <w:divsChild>
                <w:div w:id="21444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87649">
      <w:bodyDiv w:val="1"/>
      <w:marLeft w:val="0"/>
      <w:marRight w:val="0"/>
      <w:marTop w:val="0"/>
      <w:marBottom w:val="0"/>
      <w:divBdr>
        <w:top w:val="none" w:sz="0" w:space="0" w:color="auto"/>
        <w:left w:val="none" w:sz="0" w:space="0" w:color="auto"/>
        <w:bottom w:val="none" w:sz="0" w:space="0" w:color="auto"/>
        <w:right w:val="none" w:sz="0" w:space="0" w:color="auto"/>
      </w:divBdr>
    </w:div>
    <w:div w:id="1245531904">
      <w:bodyDiv w:val="1"/>
      <w:marLeft w:val="0"/>
      <w:marRight w:val="0"/>
      <w:marTop w:val="0"/>
      <w:marBottom w:val="0"/>
      <w:divBdr>
        <w:top w:val="none" w:sz="0" w:space="0" w:color="auto"/>
        <w:left w:val="none" w:sz="0" w:space="0" w:color="auto"/>
        <w:bottom w:val="none" w:sz="0" w:space="0" w:color="auto"/>
        <w:right w:val="none" w:sz="0" w:space="0" w:color="auto"/>
      </w:divBdr>
    </w:div>
    <w:div w:id="1247379002">
      <w:bodyDiv w:val="1"/>
      <w:marLeft w:val="0"/>
      <w:marRight w:val="0"/>
      <w:marTop w:val="0"/>
      <w:marBottom w:val="0"/>
      <w:divBdr>
        <w:top w:val="none" w:sz="0" w:space="0" w:color="auto"/>
        <w:left w:val="none" w:sz="0" w:space="0" w:color="auto"/>
        <w:bottom w:val="none" w:sz="0" w:space="0" w:color="auto"/>
        <w:right w:val="none" w:sz="0" w:space="0" w:color="auto"/>
      </w:divBdr>
      <w:divsChild>
        <w:div w:id="1639144016">
          <w:marLeft w:val="0"/>
          <w:marRight w:val="0"/>
          <w:marTop w:val="0"/>
          <w:marBottom w:val="0"/>
          <w:divBdr>
            <w:top w:val="none" w:sz="0" w:space="0" w:color="auto"/>
            <w:left w:val="none" w:sz="0" w:space="0" w:color="auto"/>
            <w:bottom w:val="none" w:sz="0" w:space="0" w:color="auto"/>
            <w:right w:val="none" w:sz="0" w:space="0" w:color="auto"/>
          </w:divBdr>
          <w:divsChild>
            <w:div w:id="1874685702">
              <w:marLeft w:val="0"/>
              <w:marRight w:val="0"/>
              <w:marTop w:val="0"/>
              <w:marBottom w:val="0"/>
              <w:divBdr>
                <w:top w:val="none" w:sz="0" w:space="0" w:color="auto"/>
                <w:left w:val="none" w:sz="0" w:space="0" w:color="auto"/>
                <w:bottom w:val="none" w:sz="0" w:space="0" w:color="auto"/>
                <w:right w:val="none" w:sz="0" w:space="0" w:color="auto"/>
              </w:divBdr>
              <w:divsChild>
                <w:div w:id="2447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2966">
      <w:bodyDiv w:val="1"/>
      <w:marLeft w:val="0"/>
      <w:marRight w:val="0"/>
      <w:marTop w:val="0"/>
      <w:marBottom w:val="0"/>
      <w:divBdr>
        <w:top w:val="none" w:sz="0" w:space="0" w:color="auto"/>
        <w:left w:val="none" w:sz="0" w:space="0" w:color="auto"/>
        <w:bottom w:val="none" w:sz="0" w:space="0" w:color="auto"/>
        <w:right w:val="none" w:sz="0" w:space="0" w:color="auto"/>
      </w:divBdr>
      <w:divsChild>
        <w:div w:id="1673727149">
          <w:marLeft w:val="0"/>
          <w:marRight w:val="0"/>
          <w:marTop w:val="0"/>
          <w:marBottom w:val="0"/>
          <w:divBdr>
            <w:top w:val="none" w:sz="0" w:space="0" w:color="auto"/>
            <w:left w:val="none" w:sz="0" w:space="0" w:color="auto"/>
            <w:bottom w:val="none" w:sz="0" w:space="0" w:color="auto"/>
            <w:right w:val="none" w:sz="0" w:space="0" w:color="auto"/>
          </w:divBdr>
          <w:divsChild>
            <w:div w:id="897976386">
              <w:marLeft w:val="0"/>
              <w:marRight w:val="0"/>
              <w:marTop w:val="0"/>
              <w:marBottom w:val="0"/>
              <w:divBdr>
                <w:top w:val="none" w:sz="0" w:space="0" w:color="auto"/>
                <w:left w:val="none" w:sz="0" w:space="0" w:color="auto"/>
                <w:bottom w:val="none" w:sz="0" w:space="0" w:color="auto"/>
                <w:right w:val="none" w:sz="0" w:space="0" w:color="auto"/>
              </w:divBdr>
              <w:divsChild>
                <w:div w:id="4035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6151">
      <w:bodyDiv w:val="1"/>
      <w:marLeft w:val="0"/>
      <w:marRight w:val="0"/>
      <w:marTop w:val="0"/>
      <w:marBottom w:val="0"/>
      <w:divBdr>
        <w:top w:val="none" w:sz="0" w:space="0" w:color="auto"/>
        <w:left w:val="none" w:sz="0" w:space="0" w:color="auto"/>
        <w:bottom w:val="none" w:sz="0" w:space="0" w:color="auto"/>
        <w:right w:val="none" w:sz="0" w:space="0" w:color="auto"/>
      </w:divBdr>
      <w:divsChild>
        <w:div w:id="921526558">
          <w:marLeft w:val="0"/>
          <w:marRight w:val="0"/>
          <w:marTop w:val="0"/>
          <w:marBottom w:val="0"/>
          <w:divBdr>
            <w:top w:val="none" w:sz="0" w:space="0" w:color="auto"/>
            <w:left w:val="none" w:sz="0" w:space="0" w:color="auto"/>
            <w:bottom w:val="none" w:sz="0" w:space="0" w:color="auto"/>
            <w:right w:val="none" w:sz="0" w:space="0" w:color="auto"/>
          </w:divBdr>
        </w:div>
        <w:div w:id="1851408727">
          <w:marLeft w:val="0"/>
          <w:marRight w:val="0"/>
          <w:marTop w:val="0"/>
          <w:marBottom w:val="0"/>
          <w:divBdr>
            <w:top w:val="none" w:sz="0" w:space="0" w:color="auto"/>
            <w:left w:val="none" w:sz="0" w:space="0" w:color="auto"/>
            <w:bottom w:val="none" w:sz="0" w:space="0" w:color="auto"/>
            <w:right w:val="none" w:sz="0" w:space="0" w:color="auto"/>
          </w:divBdr>
        </w:div>
      </w:divsChild>
    </w:div>
    <w:div w:id="1250042398">
      <w:bodyDiv w:val="1"/>
      <w:marLeft w:val="0"/>
      <w:marRight w:val="0"/>
      <w:marTop w:val="0"/>
      <w:marBottom w:val="0"/>
      <w:divBdr>
        <w:top w:val="none" w:sz="0" w:space="0" w:color="auto"/>
        <w:left w:val="none" w:sz="0" w:space="0" w:color="auto"/>
        <w:bottom w:val="none" w:sz="0" w:space="0" w:color="auto"/>
        <w:right w:val="none" w:sz="0" w:space="0" w:color="auto"/>
      </w:divBdr>
    </w:div>
    <w:div w:id="1250772725">
      <w:bodyDiv w:val="1"/>
      <w:marLeft w:val="0"/>
      <w:marRight w:val="0"/>
      <w:marTop w:val="0"/>
      <w:marBottom w:val="0"/>
      <w:divBdr>
        <w:top w:val="none" w:sz="0" w:space="0" w:color="auto"/>
        <w:left w:val="none" w:sz="0" w:space="0" w:color="auto"/>
        <w:bottom w:val="none" w:sz="0" w:space="0" w:color="auto"/>
        <w:right w:val="none" w:sz="0" w:space="0" w:color="auto"/>
      </w:divBdr>
      <w:divsChild>
        <w:div w:id="52579846">
          <w:marLeft w:val="0"/>
          <w:marRight w:val="0"/>
          <w:marTop w:val="0"/>
          <w:marBottom w:val="0"/>
          <w:divBdr>
            <w:top w:val="none" w:sz="0" w:space="0" w:color="auto"/>
            <w:left w:val="none" w:sz="0" w:space="0" w:color="auto"/>
            <w:bottom w:val="none" w:sz="0" w:space="0" w:color="auto"/>
            <w:right w:val="none" w:sz="0" w:space="0" w:color="auto"/>
          </w:divBdr>
        </w:div>
      </w:divsChild>
    </w:div>
    <w:div w:id="1252735257">
      <w:bodyDiv w:val="1"/>
      <w:marLeft w:val="0"/>
      <w:marRight w:val="0"/>
      <w:marTop w:val="0"/>
      <w:marBottom w:val="0"/>
      <w:divBdr>
        <w:top w:val="none" w:sz="0" w:space="0" w:color="auto"/>
        <w:left w:val="none" w:sz="0" w:space="0" w:color="auto"/>
        <w:bottom w:val="none" w:sz="0" w:space="0" w:color="auto"/>
        <w:right w:val="none" w:sz="0" w:space="0" w:color="auto"/>
      </w:divBdr>
    </w:div>
    <w:div w:id="1254513946">
      <w:bodyDiv w:val="1"/>
      <w:marLeft w:val="0"/>
      <w:marRight w:val="0"/>
      <w:marTop w:val="0"/>
      <w:marBottom w:val="0"/>
      <w:divBdr>
        <w:top w:val="none" w:sz="0" w:space="0" w:color="auto"/>
        <w:left w:val="none" w:sz="0" w:space="0" w:color="auto"/>
        <w:bottom w:val="none" w:sz="0" w:space="0" w:color="auto"/>
        <w:right w:val="none" w:sz="0" w:space="0" w:color="auto"/>
      </w:divBdr>
    </w:div>
    <w:div w:id="1254633977">
      <w:bodyDiv w:val="1"/>
      <w:marLeft w:val="0"/>
      <w:marRight w:val="0"/>
      <w:marTop w:val="0"/>
      <w:marBottom w:val="0"/>
      <w:divBdr>
        <w:top w:val="none" w:sz="0" w:space="0" w:color="auto"/>
        <w:left w:val="none" w:sz="0" w:space="0" w:color="auto"/>
        <w:bottom w:val="none" w:sz="0" w:space="0" w:color="auto"/>
        <w:right w:val="none" w:sz="0" w:space="0" w:color="auto"/>
      </w:divBdr>
      <w:divsChild>
        <w:div w:id="325398853">
          <w:marLeft w:val="0"/>
          <w:marRight w:val="0"/>
          <w:marTop w:val="0"/>
          <w:marBottom w:val="0"/>
          <w:divBdr>
            <w:top w:val="none" w:sz="0" w:space="0" w:color="auto"/>
            <w:left w:val="none" w:sz="0" w:space="0" w:color="auto"/>
            <w:bottom w:val="none" w:sz="0" w:space="0" w:color="auto"/>
            <w:right w:val="none" w:sz="0" w:space="0" w:color="auto"/>
          </w:divBdr>
          <w:divsChild>
            <w:div w:id="840855263">
              <w:marLeft w:val="0"/>
              <w:marRight w:val="0"/>
              <w:marTop w:val="0"/>
              <w:marBottom w:val="0"/>
              <w:divBdr>
                <w:top w:val="none" w:sz="0" w:space="0" w:color="auto"/>
                <w:left w:val="none" w:sz="0" w:space="0" w:color="auto"/>
                <w:bottom w:val="none" w:sz="0" w:space="0" w:color="auto"/>
                <w:right w:val="none" w:sz="0" w:space="0" w:color="auto"/>
              </w:divBdr>
              <w:divsChild>
                <w:div w:id="1038311929">
                  <w:marLeft w:val="0"/>
                  <w:marRight w:val="0"/>
                  <w:marTop w:val="0"/>
                  <w:marBottom w:val="0"/>
                  <w:divBdr>
                    <w:top w:val="none" w:sz="0" w:space="0" w:color="auto"/>
                    <w:left w:val="none" w:sz="0" w:space="0" w:color="auto"/>
                    <w:bottom w:val="none" w:sz="0" w:space="0" w:color="auto"/>
                    <w:right w:val="none" w:sz="0" w:space="0" w:color="auto"/>
                  </w:divBdr>
                  <w:divsChild>
                    <w:div w:id="6901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45138">
      <w:bodyDiv w:val="1"/>
      <w:marLeft w:val="0"/>
      <w:marRight w:val="0"/>
      <w:marTop w:val="0"/>
      <w:marBottom w:val="0"/>
      <w:divBdr>
        <w:top w:val="none" w:sz="0" w:space="0" w:color="auto"/>
        <w:left w:val="none" w:sz="0" w:space="0" w:color="auto"/>
        <w:bottom w:val="none" w:sz="0" w:space="0" w:color="auto"/>
        <w:right w:val="none" w:sz="0" w:space="0" w:color="auto"/>
      </w:divBdr>
    </w:div>
    <w:div w:id="1257447054">
      <w:bodyDiv w:val="1"/>
      <w:marLeft w:val="0"/>
      <w:marRight w:val="0"/>
      <w:marTop w:val="0"/>
      <w:marBottom w:val="0"/>
      <w:divBdr>
        <w:top w:val="none" w:sz="0" w:space="0" w:color="auto"/>
        <w:left w:val="none" w:sz="0" w:space="0" w:color="auto"/>
        <w:bottom w:val="none" w:sz="0" w:space="0" w:color="auto"/>
        <w:right w:val="none" w:sz="0" w:space="0" w:color="auto"/>
      </w:divBdr>
      <w:divsChild>
        <w:div w:id="2013993961">
          <w:marLeft w:val="0"/>
          <w:marRight w:val="0"/>
          <w:marTop w:val="0"/>
          <w:marBottom w:val="0"/>
          <w:divBdr>
            <w:top w:val="none" w:sz="0" w:space="0" w:color="auto"/>
            <w:left w:val="none" w:sz="0" w:space="0" w:color="auto"/>
            <w:bottom w:val="none" w:sz="0" w:space="0" w:color="auto"/>
            <w:right w:val="none" w:sz="0" w:space="0" w:color="auto"/>
          </w:divBdr>
          <w:divsChild>
            <w:div w:id="1024096781">
              <w:marLeft w:val="0"/>
              <w:marRight w:val="0"/>
              <w:marTop w:val="0"/>
              <w:marBottom w:val="0"/>
              <w:divBdr>
                <w:top w:val="none" w:sz="0" w:space="0" w:color="auto"/>
                <w:left w:val="none" w:sz="0" w:space="0" w:color="auto"/>
                <w:bottom w:val="none" w:sz="0" w:space="0" w:color="auto"/>
                <w:right w:val="none" w:sz="0" w:space="0" w:color="auto"/>
              </w:divBdr>
              <w:divsChild>
                <w:div w:id="17962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6482">
      <w:bodyDiv w:val="1"/>
      <w:marLeft w:val="0"/>
      <w:marRight w:val="0"/>
      <w:marTop w:val="0"/>
      <w:marBottom w:val="0"/>
      <w:divBdr>
        <w:top w:val="none" w:sz="0" w:space="0" w:color="auto"/>
        <w:left w:val="none" w:sz="0" w:space="0" w:color="auto"/>
        <w:bottom w:val="none" w:sz="0" w:space="0" w:color="auto"/>
        <w:right w:val="none" w:sz="0" w:space="0" w:color="auto"/>
      </w:divBdr>
      <w:divsChild>
        <w:div w:id="1271276882">
          <w:marLeft w:val="0"/>
          <w:marRight w:val="0"/>
          <w:marTop w:val="0"/>
          <w:marBottom w:val="0"/>
          <w:divBdr>
            <w:top w:val="none" w:sz="0" w:space="0" w:color="auto"/>
            <w:left w:val="none" w:sz="0" w:space="0" w:color="auto"/>
            <w:bottom w:val="none" w:sz="0" w:space="0" w:color="auto"/>
            <w:right w:val="none" w:sz="0" w:space="0" w:color="auto"/>
          </w:divBdr>
          <w:divsChild>
            <w:div w:id="1927573887">
              <w:marLeft w:val="0"/>
              <w:marRight w:val="0"/>
              <w:marTop w:val="0"/>
              <w:marBottom w:val="0"/>
              <w:divBdr>
                <w:top w:val="none" w:sz="0" w:space="0" w:color="auto"/>
                <w:left w:val="none" w:sz="0" w:space="0" w:color="auto"/>
                <w:bottom w:val="none" w:sz="0" w:space="0" w:color="auto"/>
                <w:right w:val="none" w:sz="0" w:space="0" w:color="auto"/>
              </w:divBdr>
              <w:divsChild>
                <w:div w:id="15302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0780">
      <w:bodyDiv w:val="1"/>
      <w:marLeft w:val="0"/>
      <w:marRight w:val="0"/>
      <w:marTop w:val="0"/>
      <w:marBottom w:val="0"/>
      <w:divBdr>
        <w:top w:val="none" w:sz="0" w:space="0" w:color="auto"/>
        <w:left w:val="none" w:sz="0" w:space="0" w:color="auto"/>
        <w:bottom w:val="none" w:sz="0" w:space="0" w:color="auto"/>
        <w:right w:val="none" w:sz="0" w:space="0" w:color="auto"/>
      </w:divBdr>
      <w:divsChild>
        <w:div w:id="2043169712">
          <w:marLeft w:val="0"/>
          <w:marRight w:val="0"/>
          <w:marTop w:val="0"/>
          <w:marBottom w:val="0"/>
          <w:divBdr>
            <w:top w:val="none" w:sz="0" w:space="0" w:color="auto"/>
            <w:left w:val="none" w:sz="0" w:space="0" w:color="auto"/>
            <w:bottom w:val="none" w:sz="0" w:space="0" w:color="auto"/>
            <w:right w:val="none" w:sz="0" w:space="0" w:color="auto"/>
          </w:divBdr>
          <w:divsChild>
            <w:div w:id="793981215">
              <w:marLeft w:val="0"/>
              <w:marRight w:val="0"/>
              <w:marTop w:val="0"/>
              <w:marBottom w:val="0"/>
              <w:divBdr>
                <w:top w:val="none" w:sz="0" w:space="0" w:color="auto"/>
                <w:left w:val="none" w:sz="0" w:space="0" w:color="auto"/>
                <w:bottom w:val="none" w:sz="0" w:space="0" w:color="auto"/>
                <w:right w:val="none" w:sz="0" w:space="0" w:color="auto"/>
              </w:divBdr>
              <w:divsChild>
                <w:div w:id="18969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4002">
      <w:bodyDiv w:val="1"/>
      <w:marLeft w:val="0"/>
      <w:marRight w:val="0"/>
      <w:marTop w:val="0"/>
      <w:marBottom w:val="0"/>
      <w:divBdr>
        <w:top w:val="none" w:sz="0" w:space="0" w:color="auto"/>
        <w:left w:val="none" w:sz="0" w:space="0" w:color="auto"/>
        <w:bottom w:val="none" w:sz="0" w:space="0" w:color="auto"/>
        <w:right w:val="none" w:sz="0" w:space="0" w:color="auto"/>
      </w:divBdr>
    </w:div>
    <w:div w:id="1265069925">
      <w:bodyDiv w:val="1"/>
      <w:marLeft w:val="0"/>
      <w:marRight w:val="0"/>
      <w:marTop w:val="0"/>
      <w:marBottom w:val="0"/>
      <w:divBdr>
        <w:top w:val="none" w:sz="0" w:space="0" w:color="auto"/>
        <w:left w:val="none" w:sz="0" w:space="0" w:color="auto"/>
        <w:bottom w:val="none" w:sz="0" w:space="0" w:color="auto"/>
        <w:right w:val="none" w:sz="0" w:space="0" w:color="auto"/>
      </w:divBdr>
    </w:div>
    <w:div w:id="1275210500">
      <w:bodyDiv w:val="1"/>
      <w:marLeft w:val="0"/>
      <w:marRight w:val="0"/>
      <w:marTop w:val="0"/>
      <w:marBottom w:val="0"/>
      <w:divBdr>
        <w:top w:val="none" w:sz="0" w:space="0" w:color="auto"/>
        <w:left w:val="none" w:sz="0" w:space="0" w:color="auto"/>
        <w:bottom w:val="none" w:sz="0" w:space="0" w:color="auto"/>
        <w:right w:val="none" w:sz="0" w:space="0" w:color="auto"/>
      </w:divBdr>
    </w:div>
    <w:div w:id="1278172127">
      <w:bodyDiv w:val="1"/>
      <w:marLeft w:val="0"/>
      <w:marRight w:val="0"/>
      <w:marTop w:val="0"/>
      <w:marBottom w:val="0"/>
      <w:divBdr>
        <w:top w:val="none" w:sz="0" w:space="0" w:color="auto"/>
        <w:left w:val="none" w:sz="0" w:space="0" w:color="auto"/>
        <w:bottom w:val="none" w:sz="0" w:space="0" w:color="auto"/>
        <w:right w:val="none" w:sz="0" w:space="0" w:color="auto"/>
      </w:divBdr>
      <w:divsChild>
        <w:div w:id="1343582108">
          <w:marLeft w:val="0"/>
          <w:marRight w:val="0"/>
          <w:marTop w:val="0"/>
          <w:marBottom w:val="0"/>
          <w:divBdr>
            <w:top w:val="none" w:sz="0" w:space="0" w:color="3D3D3D"/>
            <w:left w:val="none" w:sz="0" w:space="0" w:color="3D3D3D"/>
            <w:bottom w:val="none" w:sz="0" w:space="0" w:color="3D3D3D"/>
            <w:right w:val="none" w:sz="0" w:space="0" w:color="3D3D3D"/>
          </w:divBdr>
          <w:divsChild>
            <w:div w:id="20449018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279021265">
      <w:bodyDiv w:val="1"/>
      <w:marLeft w:val="0"/>
      <w:marRight w:val="0"/>
      <w:marTop w:val="0"/>
      <w:marBottom w:val="0"/>
      <w:divBdr>
        <w:top w:val="none" w:sz="0" w:space="0" w:color="auto"/>
        <w:left w:val="none" w:sz="0" w:space="0" w:color="auto"/>
        <w:bottom w:val="none" w:sz="0" w:space="0" w:color="auto"/>
        <w:right w:val="none" w:sz="0" w:space="0" w:color="auto"/>
      </w:divBdr>
    </w:div>
    <w:div w:id="1282414809">
      <w:bodyDiv w:val="1"/>
      <w:marLeft w:val="0"/>
      <w:marRight w:val="0"/>
      <w:marTop w:val="0"/>
      <w:marBottom w:val="0"/>
      <w:divBdr>
        <w:top w:val="none" w:sz="0" w:space="0" w:color="auto"/>
        <w:left w:val="none" w:sz="0" w:space="0" w:color="auto"/>
        <w:bottom w:val="none" w:sz="0" w:space="0" w:color="auto"/>
        <w:right w:val="none" w:sz="0" w:space="0" w:color="auto"/>
      </w:divBdr>
    </w:div>
    <w:div w:id="1282690475">
      <w:bodyDiv w:val="1"/>
      <w:marLeft w:val="0"/>
      <w:marRight w:val="0"/>
      <w:marTop w:val="0"/>
      <w:marBottom w:val="0"/>
      <w:divBdr>
        <w:top w:val="none" w:sz="0" w:space="0" w:color="auto"/>
        <w:left w:val="none" w:sz="0" w:space="0" w:color="auto"/>
        <w:bottom w:val="none" w:sz="0" w:space="0" w:color="auto"/>
        <w:right w:val="none" w:sz="0" w:space="0" w:color="auto"/>
      </w:divBdr>
      <w:divsChild>
        <w:div w:id="860338">
          <w:marLeft w:val="0"/>
          <w:marRight w:val="0"/>
          <w:marTop w:val="0"/>
          <w:marBottom w:val="0"/>
          <w:divBdr>
            <w:top w:val="none" w:sz="0" w:space="0" w:color="auto"/>
            <w:left w:val="none" w:sz="0" w:space="0" w:color="auto"/>
            <w:bottom w:val="none" w:sz="0" w:space="0" w:color="auto"/>
            <w:right w:val="none" w:sz="0" w:space="0" w:color="auto"/>
          </w:divBdr>
          <w:divsChild>
            <w:div w:id="238755662">
              <w:marLeft w:val="0"/>
              <w:marRight w:val="0"/>
              <w:marTop w:val="0"/>
              <w:marBottom w:val="0"/>
              <w:divBdr>
                <w:top w:val="none" w:sz="0" w:space="0" w:color="auto"/>
                <w:left w:val="none" w:sz="0" w:space="0" w:color="auto"/>
                <w:bottom w:val="none" w:sz="0" w:space="0" w:color="auto"/>
                <w:right w:val="none" w:sz="0" w:space="0" w:color="auto"/>
              </w:divBdr>
              <w:divsChild>
                <w:div w:id="377634023">
                  <w:marLeft w:val="0"/>
                  <w:marRight w:val="0"/>
                  <w:marTop w:val="0"/>
                  <w:marBottom w:val="0"/>
                  <w:divBdr>
                    <w:top w:val="none" w:sz="0" w:space="0" w:color="auto"/>
                    <w:left w:val="none" w:sz="0" w:space="0" w:color="auto"/>
                    <w:bottom w:val="none" w:sz="0" w:space="0" w:color="auto"/>
                    <w:right w:val="none" w:sz="0" w:space="0" w:color="auto"/>
                  </w:divBdr>
                  <w:divsChild>
                    <w:div w:id="8487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17304">
      <w:bodyDiv w:val="1"/>
      <w:marLeft w:val="0"/>
      <w:marRight w:val="0"/>
      <w:marTop w:val="0"/>
      <w:marBottom w:val="0"/>
      <w:divBdr>
        <w:top w:val="none" w:sz="0" w:space="0" w:color="auto"/>
        <w:left w:val="none" w:sz="0" w:space="0" w:color="auto"/>
        <w:bottom w:val="none" w:sz="0" w:space="0" w:color="auto"/>
        <w:right w:val="none" w:sz="0" w:space="0" w:color="auto"/>
      </w:divBdr>
      <w:divsChild>
        <w:div w:id="2128429996">
          <w:marLeft w:val="0"/>
          <w:marRight w:val="0"/>
          <w:marTop w:val="0"/>
          <w:marBottom w:val="0"/>
          <w:divBdr>
            <w:top w:val="none" w:sz="0" w:space="0" w:color="auto"/>
            <w:left w:val="none" w:sz="0" w:space="0" w:color="auto"/>
            <w:bottom w:val="none" w:sz="0" w:space="0" w:color="auto"/>
            <w:right w:val="none" w:sz="0" w:space="0" w:color="auto"/>
          </w:divBdr>
          <w:divsChild>
            <w:div w:id="665329169">
              <w:marLeft w:val="0"/>
              <w:marRight w:val="0"/>
              <w:marTop w:val="0"/>
              <w:marBottom w:val="0"/>
              <w:divBdr>
                <w:top w:val="none" w:sz="0" w:space="0" w:color="auto"/>
                <w:left w:val="none" w:sz="0" w:space="0" w:color="auto"/>
                <w:bottom w:val="none" w:sz="0" w:space="0" w:color="auto"/>
                <w:right w:val="none" w:sz="0" w:space="0" w:color="auto"/>
              </w:divBdr>
              <w:divsChild>
                <w:div w:id="7552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9467">
      <w:bodyDiv w:val="1"/>
      <w:marLeft w:val="0"/>
      <w:marRight w:val="0"/>
      <w:marTop w:val="0"/>
      <w:marBottom w:val="0"/>
      <w:divBdr>
        <w:top w:val="none" w:sz="0" w:space="0" w:color="auto"/>
        <w:left w:val="none" w:sz="0" w:space="0" w:color="auto"/>
        <w:bottom w:val="none" w:sz="0" w:space="0" w:color="auto"/>
        <w:right w:val="none" w:sz="0" w:space="0" w:color="auto"/>
      </w:divBdr>
      <w:divsChild>
        <w:div w:id="305858716">
          <w:marLeft w:val="0"/>
          <w:marRight w:val="0"/>
          <w:marTop w:val="0"/>
          <w:marBottom w:val="0"/>
          <w:divBdr>
            <w:top w:val="none" w:sz="0" w:space="0" w:color="auto"/>
            <w:left w:val="none" w:sz="0" w:space="0" w:color="auto"/>
            <w:bottom w:val="none" w:sz="0" w:space="0" w:color="auto"/>
            <w:right w:val="none" w:sz="0" w:space="0" w:color="auto"/>
          </w:divBdr>
          <w:divsChild>
            <w:div w:id="243227922">
              <w:marLeft w:val="0"/>
              <w:marRight w:val="0"/>
              <w:marTop w:val="0"/>
              <w:marBottom w:val="0"/>
              <w:divBdr>
                <w:top w:val="none" w:sz="0" w:space="0" w:color="auto"/>
                <w:left w:val="none" w:sz="0" w:space="0" w:color="auto"/>
                <w:bottom w:val="none" w:sz="0" w:space="0" w:color="auto"/>
                <w:right w:val="none" w:sz="0" w:space="0" w:color="auto"/>
              </w:divBdr>
              <w:divsChild>
                <w:div w:id="3779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2981">
      <w:bodyDiv w:val="1"/>
      <w:marLeft w:val="0"/>
      <w:marRight w:val="0"/>
      <w:marTop w:val="0"/>
      <w:marBottom w:val="0"/>
      <w:divBdr>
        <w:top w:val="none" w:sz="0" w:space="0" w:color="auto"/>
        <w:left w:val="none" w:sz="0" w:space="0" w:color="auto"/>
        <w:bottom w:val="none" w:sz="0" w:space="0" w:color="auto"/>
        <w:right w:val="none" w:sz="0" w:space="0" w:color="auto"/>
      </w:divBdr>
      <w:divsChild>
        <w:div w:id="2141337589">
          <w:marLeft w:val="0"/>
          <w:marRight w:val="0"/>
          <w:marTop w:val="0"/>
          <w:marBottom w:val="0"/>
          <w:divBdr>
            <w:top w:val="none" w:sz="0" w:space="0" w:color="auto"/>
            <w:left w:val="none" w:sz="0" w:space="0" w:color="auto"/>
            <w:bottom w:val="none" w:sz="0" w:space="0" w:color="auto"/>
            <w:right w:val="none" w:sz="0" w:space="0" w:color="auto"/>
          </w:divBdr>
          <w:divsChild>
            <w:div w:id="1204097662">
              <w:marLeft w:val="0"/>
              <w:marRight w:val="0"/>
              <w:marTop w:val="0"/>
              <w:marBottom w:val="0"/>
              <w:divBdr>
                <w:top w:val="none" w:sz="0" w:space="0" w:color="auto"/>
                <w:left w:val="none" w:sz="0" w:space="0" w:color="auto"/>
                <w:bottom w:val="none" w:sz="0" w:space="0" w:color="auto"/>
                <w:right w:val="none" w:sz="0" w:space="0" w:color="auto"/>
              </w:divBdr>
              <w:divsChild>
                <w:div w:id="743065330">
                  <w:marLeft w:val="0"/>
                  <w:marRight w:val="0"/>
                  <w:marTop w:val="0"/>
                  <w:marBottom w:val="0"/>
                  <w:divBdr>
                    <w:top w:val="none" w:sz="0" w:space="0" w:color="auto"/>
                    <w:left w:val="none" w:sz="0" w:space="0" w:color="auto"/>
                    <w:bottom w:val="none" w:sz="0" w:space="0" w:color="auto"/>
                    <w:right w:val="none" w:sz="0" w:space="0" w:color="auto"/>
                  </w:divBdr>
                  <w:divsChild>
                    <w:div w:id="19986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96124">
      <w:bodyDiv w:val="1"/>
      <w:marLeft w:val="0"/>
      <w:marRight w:val="0"/>
      <w:marTop w:val="0"/>
      <w:marBottom w:val="0"/>
      <w:divBdr>
        <w:top w:val="none" w:sz="0" w:space="0" w:color="auto"/>
        <w:left w:val="none" w:sz="0" w:space="0" w:color="auto"/>
        <w:bottom w:val="none" w:sz="0" w:space="0" w:color="auto"/>
        <w:right w:val="none" w:sz="0" w:space="0" w:color="auto"/>
      </w:divBdr>
    </w:div>
    <w:div w:id="1301689169">
      <w:bodyDiv w:val="1"/>
      <w:marLeft w:val="0"/>
      <w:marRight w:val="0"/>
      <w:marTop w:val="0"/>
      <w:marBottom w:val="0"/>
      <w:divBdr>
        <w:top w:val="none" w:sz="0" w:space="0" w:color="auto"/>
        <w:left w:val="none" w:sz="0" w:space="0" w:color="auto"/>
        <w:bottom w:val="none" w:sz="0" w:space="0" w:color="auto"/>
        <w:right w:val="none" w:sz="0" w:space="0" w:color="auto"/>
      </w:divBdr>
    </w:div>
    <w:div w:id="1302271800">
      <w:bodyDiv w:val="1"/>
      <w:marLeft w:val="0"/>
      <w:marRight w:val="0"/>
      <w:marTop w:val="0"/>
      <w:marBottom w:val="0"/>
      <w:divBdr>
        <w:top w:val="none" w:sz="0" w:space="0" w:color="auto"/>
        <w:left w:val="none" w:sz="0" w:space="0" w:color="auto"/>
        <w:bottom w:val="none" w:sz="0" w:space="0" w:color="auto"/>
        <w:right w:val="none" w:sz="0" w:space="0" w:color="auto"/>
      </w:divBdr>
    </w:div>
    <w:div w:id="1306009018">
      <w:bodyDiv w:val="1"/>
      <w:marLeft w:val="0"/>
      <w:marRight w:val="0"/>
      <w:marTop w:val="0"/>
      <w:marBottom w:val="0"/>
      <w:divBdr>
        <w:top w:val="none" w:sz="0" w:space="0" w:color="auto"/>
        <w:left w:val="none" w:sz="0" w:space="0" w:color="auto"/>
        <w:bottom w:val="none" w:sz="0" w:space="0" w:color="auto"/>
        <w:right w:val="none" w:sz="0" w:space="0" w:color="auto"/>
      </w:divBdr>
    </w:div>
    <w:div w:id="1309170674">
      <w:bodyDiv w:val="1"/>
      <w:marLeft w:val="0"/>
      <w:marRight w:val="0"/>
      <w:marTop w:val="0"/>
      <w:marBottom w:val="0"/>
      <w:divBdr>
        <w:top w:val="none" w:sz="0" w:space="0" w:color="auto"/>
        <w:left w:val="none" w:sz="0" w:space="0" w:color="auto"/>
        <w:bottom w:val="none" w:sz="0" w:space="0" w:color="auto"/>
        <w:right w:val="none" w:sz="0" w:space="0" w:color="auto"/>
      </w:divBdr>
    </w:div>
    <w:div w:id="1310552169">
      <w:bodyDiv w:val="1"/>
      <w:marLeft w:val="0"/>
      <w:marRight w:val="0"/>
      <w:marTop w:val="0"/>
      <w:marBottom w:val="0"/>
      <w:divBdr>
        <w:top w:val="none" w:sz="0" w:space="0" w:color="auto"/>
        <w:left w:val="none" w:sz="0" w:space="0" w:color="auto"/>
        <w:bottom w:val="none" w:sz="0" w:space="0" w:color="auto"/>
        <w:right w:val="none" w:sz="0" w:space="0" w:color="auto"/>
      </w:divBdr>
    </w:div>
    <w:div w:id="1310742707">
      <w:bodyDiv w:val="1"/>
      <w:marLeft w:val="0"/>
      <w:marRight w:val="0"/>
      <w:marTop w:val="0"/>
      <w:marBottom w:val="0"/>
      <w:divBdr>
        <w:top w:val="none" w:sz="0" w:space="0" w:color="auto"/>
        <w:left w:val="none" w:sz="0" w:space="0" w:color="auto"/>
        <w:bottom w:val="none" w:sz="0" w:space="0" w:color="auto"/>
        <w:right w:val="none" w:sz="0" w:space="0" w:color="auto"/>
      </w:divBdr>
    </w:div>
    <w:div w:id="1313682568">
      <w:bodyDiv w:val="1"/>
      <w:marLeft w:val="0"/>
      <w:marRight w:val="0"/>
      <w:marTop w:val="0"/>
      <w:marBottom w:val="0"/>
      <w:divBdr>
        <w:top w:val="none" w:sz="0" w:space="0" w:color="auto"/>
        <w:left w:val="none" w:sz="0" w:space="0" w:color="auto"/>
        <w:bottom w:val="none" w:sz="0" w:space="0" w:color="auto"/>
        <w:right w:val="none" w:sz="0" w:space="0" w:color="auto"/>
      </w:divBdr>
      <w:divsChild>
        <w:div w:id="1756053310">
          <w:marLeft w:val="0"/>
          <w:marRight w:val="0"/>
          <w:marTop w:val="0"/>
          <w:marBottom w:val="0"/>
          <w:divBdr>
            <w:top w:val="none" w:sz="0" w:space="0" w:color="auto"/>
            <w:left w:val="none" w:sz="0" w:space="0" w:color="auto"/>
            <w:bottom w:val="none" w:sz="0" w:space="0" w:color="auto"/>
            <w:right w:val="none" w:sz="0" w:space="0" w:color="auto"/>
          </w:divBdr>
          <w:divsChild>
            <w:div w:id="1392073710">
              <w:marLeft w:val="0"/>
              <w:marRight w:val="0"/>
              <w:marTop w:val="0"/>
              <w:marBottom w:val="0"/>
              <w:divBdr>
                <w:top w:val="none" w:sz="0" w:space="0" w:color="auto"/>
                <w:left w:val="none" w:sz="0" w:space="0" w:color="auto"/>
                <w:bottom w:val="none" w:sz="0" w:space="0" w:color="auto"/>
                <w:right w:val="none" w:sz="0" w:space="0" w:color="auto"/>
              </w:divBdr>
              <w:divsChild>
                <w:div w:id="206186928">
                  <w:marLeft w:val="0"/>
                  <w:marRight w:val="0"/>
                  <w:marTop w:val="0"/>
                  <w:marBottom w:val="0"/>
                  <w:divBdr>
                    <w:top w:val="none" w:sz="0" w:space="0" w:color="auto"/>
                    <w:left w:val="none" w:sz="0" w:space="0" w:color="auto"/>
                    <w:bottom w:val="none" w:sz="0" w:space="0" w:color="auto"/>
                    <w:right w:val="none" w:sz="0" w:space="0" w:color="auto"/>
                  </w:divBdr>
                  <w:divsChild>
                    <w:div w:id="592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269088">
      <w:bodyDiv w:val="1"/>
      <w:marLeft w:val="0"/>
      <w:marRight w:val="0"/>
      <w:marTop w:val="0"/>
      <w:marBottom w:val="0"/>
      <w:divBdr>
        <w:top w:val="none" w:sz="0" w:space="0" w:color="auto"/>
        <w:left w:val="none" w:sz="0" w:space="0" w:color="auto"/>
        <w:bottom w:val="none" w:sz="0" w:space="0" w:color="auto"/>
        <w:right w:val="none" w:sz="0" w:space="0" w:color="auto"/>
      </w:divBdr>
    </w:div>
    <w:div w:id="1323850957">
      <w:bodyDiv w:val="1"/>
      <w:marLeft w:val="0"/>
      <w:marRight w:val="0"/>
      <w:marTop w:val="0"/>
      <w:marBottom w:val="0"/>
      <w:divBdr>
        <w:top w:val="none" w:sz="0" w:space="0" w:color="auto"/>
        <w:left w:val="none" w:sz="0" w:space="0" w:color="auto"/>
        <w:bottom w:val="none" w:sz="0" w:space="0" w:color="auto"/>
        <w:right w:val="none" w:sz="0" w:space="0" w:color="auto"/>
      </w:divBdr>
      <w:divsChild>
        <w:div w:id="937907445">
          <w:marLeft w:val="0"/>
          <w:marRight w:val="0"/>
          <w:marTop w:val="0"/>
          <w:marBottom w:val="0"/>
          <w:divBdr>
            <w:top w:val="none" w:sz="0" w:space="0" w:color="auto"/>
            <w:left w:val="none" w:sz="0" w:space="0" w:color="auto"/>
            <w:bottom w:val="none" w:sz="0" w:space="0" w:color="auto"/>
            <w:right w:val="none" w:sz="0" w:space="0" w:color="auto"/>
          </w:divBdr>
          <w:divsChild>
            <w:div w:id="2079134476">
              <w:marLeft w:val="0"/>
              <w:marRight w:val="0"/>
              <w:marTop w:val="0"/>
              <w:marBottom w:val="0"/>
              <w:divBdr>
                <w:top w:val="none" w:sz="0" w:space="0" w:color="auto"/>
                <w:left w:val="none" w:sz="0" w:space="0" w:color="auto"/>
                <w:bottom w:val="none" w:sz="0" w:space="0" w:color="auto"/>
                <w:right w:val="none" w:sz="0" w:space="0" w:color="auto"/>
              </w:divBdr>
              <w:divsChild>
                <w:div w:id="11697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28847">
      <w:bodyDiv w:val="1"/>
      <w:marLeft w:val="0"/>
      <w:marRight w:val="0"/>
      <w:marTop w:val="0"/>
      <w:marBottom w:val="0"/>
      <w:divBdr>
        <w:top w:val="none" w:sz="0" w:space="0" w:color="auto"/>
        <w:left w:val="none" w:sz="0" w:space="0" w:color="auto"/>
        <w:bottom w:val="none" w:sz="0" w:space="0" w:color="auto"/>
        <w:right w:val="none" w:sz="0" w:space="0" w:color="auto"/>
      </w:divBdr>
      <w:divsChild>
        <w:div w:id="10105676">
          <w:marLeft w:val="0"/>
          <w:marRight w:val="0"/>
          <w:marTop w:val="0"/>
          <w:marBottom w:val="0"/>
          <w:divBdr>
            <w:top w:val="none" w:sz="0" w:space="0" w:color="auto"/>
            <w:left w:val="none" w:sz="0" w:space="0" w:color="auto"/>
            <w:bottom w:val="none" w:sz="0" w:space="0" w:color="auto"/>
            <w:right w:val="none" w:sz="0" w:space="0" w:color="auto"/>
          </w:divBdr>
          <w:divsChild>
            <w:div w:id="1502427183">
              <w:marLeft w:val="0"/>
              <w:marRight w:val="0"/>
              <w:marTop w:val="0"/>
              <w:marBottom w:val="0"/>
              <w:divBdr>
                <w:top w:val="none" w:sz="0" w:space="0" w:color="auto"/>
                <w:left w:val="none" w:sz="0" w:space="0" w:color="auto"/>
                <w:bottom w:val="none" w:sz="0" w:space="0" w:color="auto"/>
                <w:right w:val="none" w:sz="0" w:space="0" w:color="auto"/>
              </w:divBdr>
              <w:divsChild>
                <w:div w:id="327638041">
                  <w:marLeft w:val="0"/>
                  <w:marRight w:val="0"/>
                  <w:marTop w:val="0"/>
                  <w:marBottom w:val="0"/>
                  <w:divBdr>
                    <w:top w:val="none" w:sz="0" w:space="0" w:color="auto"/>
                    <w:left w:val="none" w:sz="0" w:space="0" w:color="auto"/>
                    <w:bottom w:val="none" w:sz="0" w:space="0" w:color="auto"/>
                    <w:right w:val="none" w:sz="0" w:space="0" w:color="auto"/>
                  </w:divBdr>
                  <w:divsChild>
                    <w:div w:id="1101991047">
                      <w:marLeft w:val="0"/>
                      <w:marRight w:val="0"/>
                      <w:marTop w:val="0"/>
                      <w:marBottom w:val="0"/>
                      <w:divBdr>
                        <w:top w:val="none" w:sz="0" w:space="0" w:color="auto"/>
                        <w:left w:val="none" w:sz="0" w:space="0" w:color="auto"/>
                        <w:bottom w:val="none" w:sz="0" w:space="0" w:color="auto"/>
                        <w:right w:val="none" w:sz="0" w:space="0" w:color="auto"/>
                      </w:divBdr>
                      <w:divsChild>
                        <w:div w:id="1094938477">
                          <w:marLeft w:val="0"/>
                          <w:marRight w:val="0"/>
                          <w:marTop w:val="0"/>
                          <w:marBottom w:val="0"/>
                          <w:divBdr>
                            <w:top w:val="none" w:sz="0" w:space="0" w:color="auto"/>
                            <w:left w:val="none" w:sz="0" w:space="0" w:color="auto"/>
                            <w:bottom w:val="none" w:sz="0" w:space="0" w:color="auto"/>
                            <w:right w:val="none" w:sz="0" w:space="0" w:color="auto"/>
                          </w:divBdr>
                          <w:divsChild>
                            <w:div w:id="1195079213">
                              <w:marLeft w:val="0"/>
                              <w:marRight w:val="0"/>
                              <w:marTop w:val="60"/>
                              <w:marBottom w:val="300"/>
                              <w:divBdr>
                                <w:top w:val="none" w:sz="0" w:space="0" w:color="auto"/>
                                <w:left w:val="none" w:sz="0" w:space="0" w:color="auto"/>
                                <w:bottom w:val="none" w:sz="0" w:space="0" w:color="auto"/>
                                <w:right w:val="none" w:sz="0" w:space="0" w:color="auto"/>
                              </w:divBdr>
                              <w:divsChild>
                                <w:div w:id="338125536">
                                  <w:marLeft w:val="0"/>
                                  <w:marRight w:val="0"/>
                                  <w:marTop w:val="0"/>
                                  <w:marBottom w:val="0"/>
                                  <w:divBdr>
                                    <w:top w:val="none" w:sz="0" w:space="0" w:color="auto"/>
                                    <w:left w:val="none" w:sz="0" w:space="0" w:color="auto"/>
                                    <w:bottom w:val="none" w:sz="0" w:space="0" w:color="auto"/>
                                    <w:right w:val="none" w:sz="0" w:space="0" w:color="auto"/>
                                  </w:divBdr>
                                  <w:divsChild>
                                    <w:div w:id="1894732559">
                                      <w:marLeft w:val="0"/>
                                      <w:marRight w:val="0"/>
                                      <w:marTop w:val="0"/>
                                      <w:marBottom w:val="0"/>
                                      <w:divBdr>
                                        <w:top w:val="none" w:sz="0" w:space="0" w:color="auto"/>
                                        <w:left w:val="none" w:sz="0" w:space="0" w:color="auto"/>
                                        <w:bottom w:val="none" w:sz="0" w:space="0" w:color="auto"/>
                                        <w:right w:val="none" w:sz="0" w:space="0" w:color="auto"/>
                                      </w:divBdr>
                                      <w:divsChild>
                                        <w:div w:id="1010791852">
                                          <w:marLeft w:val="0"/>
                                          <w:marRight w:val="0"/>
                                          <w:marTop w:val="0"/>
                                          <w:marBottom w:val="0"/>
                                          <w:divBdr>
                                            <w:top w:val="none" w:sz="0" w:space="0" w:color="auto"/>
                                            <w:left w:val="none" w:sz="0" w:space="0" w:color="auto"/>
                                            <w:bottom w:val="none" w:sz="0" w:space="0" w:color="auto"/>
                                            <w:right w:val="none" w:sz="0" w:space="0" w:color="auto"/>
                                          </w:divBdr>
                                          <w:divsChild>
                                            <w:div w:id="1131284092">
                                              <w:marLeft w:val="0"/>
                                              <w:marRight w:val="0"/>
                                              <w:marTop w:val="0"/>
                                              <w:marBottom w:val="0"/>
                                              <w:divBdr>
                                                <w:top w:val="none" w:sz="0" w:space="0" w:color="auto"/>
                                                <w:left w:val="none" w:sz="0" w:space="0" w:color="auto"/>
                                                <w:bottom w:val="none" w:sz="0" w:space="0" w:color="auto"/>
                                                <w:right w:val="none" w:sz="0" w:space="0" w:color="auto"/>
                                              </w:divBdr>
                                              <w:divsChild>
                                                <w:div w:id="1481312099">
                                                  <w:marLeft w:val="0"/>
                                                  <w:marRight w:val="0"/>
                                                  <w:marTop w:val="0"/>
                                                  <w:marBottom w:val="0"/>
                                                  <w:divBdr>
                                                    <w:top w:val="none" w:sz="0" w:space="0" w:color="auto"/>
                                                    <w:left w:val="none" w:sz="0" w:space="0" w:color="auto"/>
                                                    <w:bottom w:val="none" w:sz="0" w:space="0" w:color="auto"/>
                                                    <w:right w:val="none" w:sz="0" w:space="0" w:color="auto"/>
                                                  </w:divBdr>
                                                  <w:divsChild>
                                                    <w:div w:id="1595552053">
                                                      <w:marLeft w:val="0"/>
                                                      <w:marRight w:val="0"/>
                                                      <w:marTop w:val="0"/>
                                                      <w:marBottom w:val="0"/>
                                                      <w:divBdr>
                                                        <w:top w:val="none" w:sz="0" w:space="0" w:color="auto"/>
                                                        <w:left w:val="none" w:sz="0" w:space="0" w:color="auto"/>
                                                        <w:bottom w:val="none" w:sz="0" w:space="0" w:color="auto"/>
                                                        <w:right w:val="none" w:sz="0" w:space="0" w:color="auto"/>
                                                      </w:divBdr>
                                                      <w:divsChild>
                                                        <w:div w:id="6337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3700">
                                                  <w:marLeft w:val="0"/>
                                                  <w:marRight w:val="0"/>
                                                  <w:marTop w:val="0"/>
                                                  <w:marBottom w:val="0"/>
                                                  <w:divBdr>
                                                    <w:top w:val="none" w:sz="0" w:space="0" w:color="auto"/>
                                                    <w:left w:val="none" w:sz="0" w:space="0" w:color="auto"/>
                                                    <w:bottom w:val="none" w:sz="0" w:space="0" w:color="auto"/>
                                                    <w:right w:val="none" w:sz="0" w:space="0" w:color="auto"/>
                                                  </w:divBdr>
                                                  <w:divsChild>
                                                    <w:div w:id="1244604483">
                                                      <w:marLeft w:val="0"/>
                                                      <w:marRight w:val="0"/>
                                                      <w:marTop w:val="0"/>
                                                      <w:marBottom w:val="0"/>
                                                      <w:divBdr>
                                                        <w:top w:val="none" w:sz="0" w:space="0" w:color="auto"/>
                                                        <w:left w:val="none" w:sz="0" w:space="0" w:color="auto"/>
                                                        <w:bottom w:val="none" w:sz="0" w:space="0" w:color="auto"/>
                                                        <w:right w:val="none" w:sz="0" w:space="0" w:color="auto"/>
                                                      </w:divBdr>
                                                      <w:divsChild>
                                                        <w:div w:id="18663644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709840">
          <w:marLeft w:val="0"/>
          <w:marRight w:val="0"/>
          <w:marTop w:val="0"/>
          <w:marBottom w:val="0"/>
          <w:divBdr>
            <w:top w:val="none" w:sz="0" w:space="0" w:color="auto"/>
            <w:left w:val="none" w:sz="0" w:space="0" w:color="auto"/>
            <w:bottom w:val="none" w:sz="0" w:space="0" w:color="auto"/>
            <w:right w:val="none" w:sz="0" w:space="0" w:color="auto"/>
          </w:divBdr>
          <w:divsChild>
            <w:div w:id="1341928417">
              <w:marLeft w:val="0"/>
              <w:marRight w:val="0"/>
              <w:marTop w:val="0"/>
              <w:marBottom w:val="0"/>
              <w:divBdr>
                <w:top w:val="none" w:sz="0" w:space="0" w:color="auto"/>
                <w:left w:val="none" w:sz="0" w:space="0" w:color="auto"/>
                <w:bottom w:val="none" w:sz="0" w:space="0" w:color="auto"/>
                <w:right w:val="none" w:sz="0" w:space="0" w:color="auto"/>
              </w:divBdr>
              <w:divsChild>
                <w:div w:id="363795619">
                  <w:marLeft w:val="0"/>
                  <w:marRight w:val="0"/>
                  <w:marTop w:val="0"/>
                  <w:marBottom w:val="0"/>
                  <w:divBdr>
                    <w:top w:val="none" w:sz="0" w:space="0" w:color="auto"/>
                    <w:left w:val="none" w:sz="0" w:space="0" w:color="auto"/>
                    <w:bottom w:val="none" w:sz="0" w:space="0" w:color="auto"/>
                    <w:right w:val="none" w:sz="0" w:space="0" w:color="auto"/>
                  </w:divBdr>
                  <w:divsChild>
                    <w:div w:id="1881354300">
                      <w:marLeft w:val="0"/>
                      <w:marRight w:val="0"/>
                      <w:marTop w:val="0"/>
                      <w:marBottom w:val="0"/>
                      <w:divBdr>
                        <w:top w:val="none" w:sz="0" w:space="0" w:color="auto"/>
                        <w:left w:val="none" w:sz="0" w:space="0" w:color="auto"/>
                        <w:bottom w:val="none" w:sz="0" w:space="0" w:color="auto"/>
                        <w:right w:val="none" w:sz="0" w:space="0" w:color="auto"/>
                      </w:divBdr>
                      <w:divsChild>
                        <w:div w:id="1596741641">
                          <w:marLeft w:val="0"/>
                          <w:marRight w:val="0"/>
                          <w:marTop w:val="0"/>
                          <w:marBottom w:val="0"/>
                          <w:divBdr>
                            <w:top w:val="none" w:sz="0" w:space="0" w:color="auto"/>
                            <w:left w:val="none" w:sz="0" w:space="0" w:color="auto"/>
                            <w:bottom w:val="none" w:sz="0" w:space="0" w:color="auto"/>
                            <w:right w:val="none" w:sz="0" w:space="0" w:color="auto"/>
                          </w:divBdr>
                          <w:divsChild>
                            <w:div w:id="1675953268">
                              <w:marLeft w:val="0"/>
                              <w:marRight w:val="0"/>
                              <w:marTop w:val="0"/>
                              <w:marBottom w:val="0"/>
                              <w:divBdr>
                                <w:top w:val="none" w:sz="0" w:space="0" w:color="auto"/>
                                <w:left w:val="none" w:sz="0" w:space="0" w:color="auto"/>
                                <w:bottom w:val="none" w:sz="0" w:space="0" w:color="auto"/>
                                <w:right w:val="none" w:sz="0" w:space="0" w:color="auto"/>
                              </w:divBdr>
                              <w:divsChild>
                                <w:div w:id="639962185">
                                  <w:marLeft w:val="0"/>
                                  <w:marRight w:val="0"/>
                                  <w:marTop w:val="0"/>
                                  <w:marBottom w:val="0"/>
                                  <w:divBdr>
                                    <w:top w:val="none" w:sz="0" w:space="0" w:color="auto"/>
                                    <w:left w:val="none" w:sz="0" w:space="0" w:color="auto"/>
                                    <w:bottom w:val="none" w:sz="0" w:space="0" w:color="auto"/>
                                    <w:right w:val="none" w:sz="0" w:space="0" w:color="auto"/>
                                  </w:divBdr>
                                  <w:divsChild>
                                    <w:div w:id="608778315">
                                      <w:marLeft w:val="0"/>
                                      <w:marRight w:val="0"/>
                                      <w:marTop w:val="0"/>
                                      <w:marBottom w:val="0"/>
                                      <w:divBdr>
                                        <w:top w:val="none" w:sz="0" w:space="0" w:color="auto"/>
                                        <w:left w:val="none" w:sz="0" w:space="0" w:color="auto"/>
                                        <w:bottom w:val="none" w:sz="0" w:space="0" w:color="auto"/>
                                        <w:right w:val="none" w:sz="0" w:space="0" w:color="auto"/>
                                      </w:divBdr>
                                      <w:divsChild>
                                        <w:div w:id="450831580">
                                          <w:marLeft w:val="0"/>
                                          <w:marRight w:val="0"/>
                                          <w:marTop w:val="0"/>
                                          <w:marBottom w:val="0"/>
                                          <w:divBdr>
                                            <w:top w:val="none" w:sz="0" w:space="0" w:color="auto"/>
                                            <w:left w:val="none" w:sz="0" w:space="0" w:color="auto"/>
                                            <w:bottom w:val="none" w:sz="0" w:space="0" w:color="auto"/>
                                            <w:right w:val="none" w:sz="0" w:space="0" w:color="auto"/>
                                          </w:divBdr>
                                          <w:divsChild>
                                            <w:div w:id="576939343">
                                              <w:marLeft w:val="0"/>
                                              <w:marRight w:val="0"/>
                                              <w:marTop w:val="0"/>
                                              <w:marBottom w:val="0"/>
                                              <w:divBdr>
                                                <w:top w:val="none" w:sz="0" w:space="0" w:color="auto"/>
                                                <w:left w:val="none" w:sz="0" w:space="0" w:color="auto"/>
                                                <w:bottom w:val="none" w:sz="0" w:space="0" w:color="auto"/>
                                                <w:right w:val="none" w:sz="0" w:space="0" w:color="auto"/>
                                              </w:divBdr>
                                              <w:divsChild>
                                                <w:div w:id="2089690793">
                                                  <w:marLeft w:val="0"/>
                                                  <w:marRight w:val="0"/>
                                                  <w:marTop w:val="0"/>
                                                  <w:marBottom w:val="0"/>
                                                  <w:divBdr>
                                                    <w:top w:val="none" w:sz="0" w:space="0" w:color="auto"/>
                                                    <w:left w:val="none" w:sz="0" w:space="0" w:color="auto"/>
                                                    <w:bottom w:val="none" w:sz="0" w:space="0" w:color="auto"/>
                                                    <w:right w:val="none" w:sz="0" w:space="0" w:color="auto"/>
                                                  </w:divBdr>
                                                  <w:divsChild>
                                                    <w:div w:id="2146195152">
                                                      <w:marLeft w:val="0"/>
                                                      <w:marRight w:val="0"/>
                                                      <w:marTop w:val="0"/>
                                                      <w:marBottom w:val="0"/>
                                                      <w:divBdr>
                                                        <w:top w:val="none" w:sz="0" w:space="0" w:color="auto"/>
                                                        <w:left w:val="none" w:sz="0" w:space="0" w:color="auto"/>
                                                        <w:bottom w:val="none" w:sz="0" w:space="0" w:color="auto"/>
                                                        <w:right w:val="none" w:sz="0" w:space="0" w:color="auto"/>
                                                      </w:divBdr>
                                                      <w:divsChild>
                                                        <w:div w:id="1155073948">
                                                          <w:marLeft w:val="0"/>
                                                          <w:marRight w:val="0"/>
                                                          <w:marTop w:val="0"/>
                                                          <w:marBottom w:val="0"/>
                                                          <w:divBdr>
                                                            <w:top w:val="none" w:sz="0" w:space="0" w:color="auto"/>
                                                            <w:left w:val="none" w:sz="0" w:space="0" w:color="auto"/>
                                                            <w:bottom w:val="none" w:sz="0" w:space="0" w:color="auto"/>
                                                            <w:right w:val="none" w:sz="0" w:space="0" w:color="auto"/>
                                                          </w:divBdr>
                                                          <w:divsChild>
                                                            <w:div w:id="1595894496">
                                                              <w:marLeft w:val="0"/>
                                                              <w:marRight w:val="0"/>
                                                              <w:marTop w:val="0"/>
                                                              <w:marBottom w:val="0"/>
                                                              <w:divBdr>
                                                                <w:top w:val="none" w:sz="0" w:space="0" w:color="auto"/>
                                                                <w:left w:val="none" w:sz="0" w:space="0" w:color="auto"/>
                                                                <w:bottom w:val="none" w:sz="0" w:space="0" w:color="auto"/>
                                                                <w:right w:val="none" w:sz="0" w:space="0" w:color="auto"/>
                                                              </w:divBdr>
                                                              <w:divsChild>
                                                                <w:div w:id="1930386241">
                                                                  <w:marLeft w:val="0"/>
                                                                  <w:marRight w:val="0"/>
                                                                  <w:marTop w:val="0"/>
                                                                  <w:marBottom w:val="0"/>
                                                                  <w:divBdr>
                                                                    <w:top w:val="none" w:sz="0" w:space="0" w:color="auto"/>
                                                                    <w:left w:val="none" w:sz="0" w:space="0" w:color="auto"/>
                                                                    <w:bottom w:val="none" w:sz="0" w:space="0" w:color="auto"/>
                                                                    <w:right w:val="none" w:sz="0" w:space="0" w:color="auto"/>
                                                                  </w:divBdr>
                                                                  <w:divsChild>
                                                                    <w:div w:id="192691287">
                                                                      <w:marLeft w:val="0"/>
                                                                      <w:marRight w:val="0"/>
                                                                      <w:marTop w:val="0"/>
                                                                      <w:marBottom w:val="0"/>
                                                                      <w:divBdr>
                                                                        <w:top w:val="none" w:sz="0" w:space="0" w:color="auto"/>
                                                                        <w:left w:val="none" w:sz="0" w:space="0" w:color="auto"/>
                                                                        <w:bottom w:val="none" w:sz="0" w:space="0" w:color="auto"/>
                                                                        <w:right w:val="none" w:sz="0" w:space="0" w:color="auto"/>
                                                                      </w:divBdr>
                                                                      <w:divsChild>
                                                                        <w:div w:id="1694845464">
                                                                          <w:marLeft w:val="0"/>
                                                                          <w:marRight w:val="0"/>
                                                                          <w:marTop w:val="0"/>
                                                                          <w:marBottom w:val="0"/>
                                                                          <w:divBdr>
                                                                            <w:top w:val="none" w:sz="0" w:space="0" w:color="auto"/>
                                                                            <w:left w:val="none" w:sz="0" w:space="0" w:color="auto"/>
                                                                            <w:bottom w:val="none" w:sz="0" w:space="0" w:color="auto"/>
                                                                            <w:right w:val="none" w:sz="0" w:space="0" w:color="auto"/>
                                                                          </w:divBdr>
                                                                          <w:divsChild>
                                                                            <w:div w:id="2080057259">
                                                                              <w:marLeft w:val="0"/>
                                                                              <w:marRight w:val="0"/>
                                                                              <w:marTop w:val="0"/>
                                                                              <w:marBottom w:val="0"/>
                                                                              <w:divBdr>
                                                                                <w:top w:val="none" w:sz="0" w:space="0" w:color="auto"/>
                                                                                <w:left w:val="none" w:sz="0" w:space="0" w:color="auto"/>
                                                                                <w:bottom w:val="none" w:sz="0" w:space="0" w:color="auto"/>
                                                                                <w:right w:val="none" w:sz="0" w:space="0" w:color="auto"/>
                                                                              </w:divBdr>
                                                                              <w:divsChild>
                                                                                <w:div w:id="780415610">
                                                                                  <w:marLeft w:val="0"/>
                                                                                  <w:marRight w:val="0"/>
                                                                                  <w:marTop w:val="0"/>
                                                                                  <w:marBottom w:val="0"/>
                                                                                  <w:divBdr>
                                                                                    <w:top w:val="none" w:sz="0" w:space="0" w:color="auto"/>
                                                                                    <w:left w:val="none" w:sz="0" w:space="0" w:color="auto"/>
                                                                                    <w:bottom w:val="none" w:sz="0" w:space="0" w:color="auto"/>
                                                                                    <w:right w:val="none" w:sz="0" w:space="0" w:color="auto"/>
                                                                                  </w:divBdr>
                                                                                  <w:divsChild>
                                                                                    <w:div w:id="1019507167">
                                                                                      <w:marLeft w:val="0"/>
                                                                                      <w:marRight w:val="0"/>
                                                                                      <w:marTop w:val="0"/>
                                                                                      <w:marBottom w:val="0"/>
                                                                                      <w:divBdr>
                                                                                        <w:top w:val="none" w:sz="0" w:space="0" w:color="auto"/>
                                                                                        <w:left w:val="none" w:sz="0" w:space="0" w:color="auto"/>
                                                                                        <w:bottom w:val="none" w:sz="0" w:space="0" w:color="auto"/>
                                                                                        <w:right w:val="none" w:sz="0" w:space="0" w:color="auto"/>
                                                                                      </w:divBdr>
                                                                                      <w:divsChild>
                                                                                        <w:div w:id="515583638">
                                                                                          <w:marLeft w:val="0"/>
                                                                                          <w:marRight w:val="0"/>
                                                                                          <w:marTop w:val="0"/>
                                                                                          <w:marBottom w:val="0"/>
                                                                                          <w:divBdr>
                                                                                            <w:top w:val="none" w:sz="0" w:space="0" w:color="auto"/>
                                                                                            <w:left w:val="none" w:sz="0" w:space="0" w:color="auto"/>
                                                                                            <w:bottom w:val="none" w:sz="0" w:space="0" w:color="auto"/>
                                                                                            <w:right w:val="none" w:sz="0" w:space="0" w:color="auto"/>
                                                                                          </w:divBdr>
                                                                                          <w:divsChild>
                                                                                            <w:div w:id="701781319">
                                                                                              <w:marLeft w:val="0"/>
                                                                                              <w:marRight w:val="0"/>
                                                                                              <w:marTop w:val="0"/>
                                                                                              <w:marBottom w:val="0"/>
                                                                                              <w:divBdr>
                                                                                                <w:top w:val="none" w:sz="0" w:space="0" w:color="auto"/>
                                                                                                <w:left w:val="none" w:sz="0" w:space="0" w:color="auto"/>
                                                                                                <w:bottom w:val="none" w:sz="0" w:space="0" w:color="auto"/>
                                                                                                <w:right w:val="none" w:sz="0" w:space="0" w:color="auto"/>
                                                                                              </w:divBdr>
                                                                                              <w:divsChild>
                                                                                                <w:div w:id="803350628">
                                                                                                  <w:marLeft w:val="0"/>
                                                                                                  <w:marRight w:val="0"/>
                                                                                                  <w:marTop w:val="0"/>
                                                                                                  <w:marBottom w:val="0"/>
                                                                                                  <w:divBdr>
                                                                                                    <w:top w:val="none" w:sz="0" w:space="0" w:color="auto"/>
                                                                                                    <w:left w:val="none" w:sz="0" w:space="0" w:color="auto"/>
                                                                                                    <w:bottom w:val="none" w:sz="0" w:space="0" w:color="auto"/>
                                                                                                    <w:right w:val="none" w:sz="0" w:space="0" w:color="auto"/>
                                                                                                  </w:divBdr>
                                                                                                  <w:divsChild>
                                                                                                    <w:div w:id="303707224">
                                                                                                      <w:marLeft w:val="0"/>
                                                                                                      <w:marRight w:val="0"/>
                                                                                                      <w:marTop w:val="0"/>
                                                                                                      <w:marBottom w:val="0"/>
                                                                                                      <w:divBdr>
                                                                                                        <w:top w:val="none" w:sz="0" w:space="0" w:color="auto"/>
                                                                                                        <w:left w:val="none" w:sz="0" w:space="0" w:color="auto"/>
                                                                                                        <w:bottom w:val="none" w:sz="0" w:space="0" w:color="auto"/>
                                                                                                        <w:right w:val="none" w:sz="0" w:space="0" w:color="auto"/>
                                                                                                      </w:divBdr>
                                                                                                      <w:divsChild>
                                                                                                        <w:div w:id="1035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8901648">
      <w:bodyDiv w:val="1"/>
      <w:marLeft w:val="0"/>
      <w:marRight w:val="0"/>
      <w:marTop w:val="0"/>
      <w:marBottom w:val="0"/>
      <w:divBdr>
        <w:top w:val="none" w:sz="0" w:space="0" w:color="auto"/>
        <w:left w:val="none" w:sz="0" w:space="0" w:color="auto"/>
        <w:bottom w:val="none" w:sz="0" w:space="0" w:color="auto"/>
        <w:right w:val="none" w:sz="0" w:space="0" w:color="auto"/>
      </w:divBdr>
      <w:divsChild>
        <w:div w:id="1538199822">
          <w:marLeft w:val="0"/>
          <w:marRight w:val="0"/>
          <w:marTop w:val="0"/>
          <w:marBottom w:val="0"/>
          <w:divBdr>
            <w:top w:val="none" w:sz="0" w:space="0" w:color="auto"/>
            <w:left w:val="none" w:sz="0" w:space="0" w:color="auto"/>
            <w:bottom w:val="none" w:sz="0" w:space="0" w:color="auto"/>
            <w:right w:val="none" w:sz="0" w:space="0" w:color="auto"/>
          </w:divBdr>
          <w:divsChild>
            <w:div w:id="2032148888">
              <w:marLeft w:val="0"/>
              <w:marRight w:val="0"/>
              <w:marTop w:val="0"/>
              <w:marBottom w:val="0"/>
              <w:divBdr>
                <w:top w:val="none" w:sz="0" w:space="0" w:color="auto"/>
                <w:left w:val="none" w:sz="0" w:space="0" w:color="auto"/>
                <w:bottom w:val="none" w:sz="0" w:space="0" w:color="auto"/>
                <w:right w:val="none" w:sz="0" w:space="0" w:color="auto"/>
              </w:divBdr>
              <w:divsChild>
                <w:div w:id="214703129">
                  <w:marLeft w:val="0"/>
                  <w:marRight w:val="0"/>
                  <w:marTop w:val="0"/>
                  <w:marBottom w:val="0"/>
                  <w:divBdr>
                    <w:top w:val="none" w:sz="0" w:space="0" w:color="auto"/>
                    <w:left w:val="none" w:sz="0" w:space="0" w:color="auto"/>
                    <w:bottom w:val="none" w:sz="0" w:space="0" w:color="auto"/>
                    <w:right w:val="none" w:sz="0" w:space="0" w:color="auto"/>
                  </w:divBdr>
                  <w:divsChild>
                    <w:div w:id="4157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019011">
      <w:bodyDiv w:val="1"/>
      <w:marLeft w:val="0"/>
      <w:marRight w:val="0"/>
      <w:marTop w:val="0"/>
      <w:marBottom w:val="0"/>
      <w:divBdr>
        <w:top w:val="none" w:sz="0" w:space="0" w:color="auto"/>
        <w:left w:val="none" w:sz="0" w:space="0" w:color="auto"/>
        <w:bottom w:val="none" w:sz="0" w:space="0" w:color="auto"/>
        <w:right w:val="none" w:sz="0" w:space="0" w:color="auto"/>
      </w:divBdr>
    </w:div>
    <w:div w:id="1333341282">
      <w:bodyDiv w:val="1"/>
      <w:marLeft w:val="0"/>
      <w:marRight w:val="0"/>
      <w:marTop w:val="0"/>
      <w:marBottom w:val="0"/>
      <w:divBdr>
        <w:top w:val="none" w:sz="0" w:space="0" w:color="auto"/>
        <w:left w:val="none" w:sz="0" w:space="0" w:color="auto"/>
        <w:bottom w:val="none" w:sz="0" w:space="0" w:color="auto"/>
        <w:right w:val="none" w:sz="0" w:space="0" w:color="auto"/>
      </w:divBdr>
      <w:divsChild>
        <w:div w:id="1045330977">
          <w:marLeft w:val="0"/>
          <w:marRight w:val="0"/>
          <w:marTop w:val="0"/>
          <w:marBottom w:val="0"/>
          <w:divBdr>
            <w:top w:val="none" w:sz="0" w:space="0" w:color="auto"/>
            <w:left w:val="none" w:sz="0" w:space="0" w:color="auto"/>
            <w:bottom w:val="none" w:sz="0" w:space="0" w:color="auto"/>
            <w:right w:val="none" w:sz="0" w:space="0" w:color="auto"/>
          </w:divBdr>
        </w:div>
        <w:div w:id="944457709">
          <w:marLeft w:val="0"/>
          <w:marRight w:val="0"/>
          <w:marTop w:val="0"/>
          <w:marBottom w:val="0"/>
          <w:divBdr>
            <w:top w:val="none" w:sz="0" w:space="0" w:color="auto"/>
            <w:left w:val="none" w:sz="0" w:space="0" w:color="auto"/>
            <w:bottom w:val="none" w:sz="0" w:space="0" w:color="auto"/>
            <w:right w:val="none" w:sz="0" w:space="0" w:color="auto"/>
          </w:divBdr>
        </w:div>
        <w:div w:id="1611088383">
          <w:marLeft w:val="0"/>
          <w:marRight w:val="0"/>
          <w:marTop w:val="0"/>
          <w:marBottom w:val="0"/>
          <w:divBdr>
            <w:top w:val="none" w:sz="0" w:space="0" w:color="auto"/>
            <w:left w:val="none" w:sz="0" w:space="0" w:color="auto"/>
            <w:bottom w:val="none" w:sz="0" w:space="0" w:color="auto"/>
            <w:right w:val="none" w:sz="0" w:space="0" w:color="auto"/>
          </w:divBdr>
        </w:div>
        <w:div w:id="1640844642">
          <w:marLeft w:val="0"/>
          <w:marRight w:val="0"/>
          <w:marTop w:val="0"/>
          <w:marBottom w:val="0"/>
          <w:divBdr>
            <w:top w:val="none" w:sz="0" w:space="0" w:color="auto"/>
            <w:left w:val="none" w:sz="0" w:space="0" w:color="auto"/>
            <w:bottom w:val="none" w:sz="0" w:space="0" w:color="auto"/>
            <w:right w:val="none" w:sz="0" w:space="0" w:color="auto"/>
          </w:divBdr>
        </w:div>
      </w:divsChild>
    </w:div>
    <w:div w:id="1333952123">
      <w:bodyDiv w:val="1"/>
      <w:marLeft w:val="0"/>
      <w:marRight w:val="0"/>
      <w:marTop w:val="0"/>
      <w:marBottom w:val="0"/>
      <w:divBdr>
        <w:top w:val="none" w:sz="0" w:space="0" w:color="auto"/>
        <w:left w:val="none" w:sz="0" w:space="0" w:color="auto"/>
        <w:bottom w:val="none" w:sz="0" w:space="0" w:color="auto"/>
        <w:right w:val="none" w:sz="0" w:space="0" w:color="auto"/>
      </w:divBdr>
    </w:div>
    <w:div w:id="1334531798">
      <w:bodyDiv w:val="1"/>
      <w:marLeft w:val="0"/>
      <w:marRight w:val="0"/>
      <w:marTop w:val="0"/>
      <w:marBottom w:val="0"/>
      <w:divBdr>
        <w:top w:val="none" w:sz="0" w:space="0" w:color="auto"/>
        <w:left w:val="none" w:sz="0" w:space="0" w:color="auto"/>
        <w:bottom w:val="none" w:sz="0" w:space="0" w:color="auto"/>
        <w:right w:val="none" w:sz="0" w:space="0" w:color="auto"/>
      </w:divBdr>
      <w:divsChild>
        <w:div w:id="89396162">
          <w:marLeft w:val="0"/>
          <w:marRight w:val="0"/>
          <w:marTop w:val="0"/>
          <w:marBottom w:val="0"/>
          <w:divBdr>
            <w:top w:val="none" w:sz="0" w:space="0" w:color="auto"/>
            <w:left w:val="none" w:sz="0" w:space="0" w:color="auto"/>
            <w:bottom w:val="none" w:sz="0" w:space="0" w:color="auto"/>
            <w:right w:val="none" w:sz="0" w:space="0" w:color="auto"/>
          </w:divBdr>
        </w:div>
        <w:div w:id="247814352">
          <w:marLeft w:val="0"/>
          <w:marRight w:val="0"/>
          <w:marTop w:val="0"/>
          <w:marBottom w:val="0"/>
          <w:divBdr>
            <w:top w:val="none" w:sz="0" w:space="0" w:color="auto"/>
            <w:left w:val="none" w:sz="0" w:space="0" w:color="auto"/>
            <w:bottom w:val="none" w:sz="0" w:space="0" w:color="auto"/>
            <w:right w:val="none" w:sz="0" w:space="0" w:color="auto"/>
          </w:divBdr>
        </w:div>
      </w:divsChild>
    </w:div>
    <w:div w:id="1334722332">
      <w:bodyDiv w:val="1"/>
      <w:marLeft w:val="0"/>
      <w:marRight w:val="0"/>
      <w:marTop w:val="0"/>
      <w:marBottom w:val="0"/>
      <w:divBdr>
        <w:top w:val="none" w:sz="0" w:space="0" w:color="auto"/>
        <w:left w:val="none" w:sz="0" w:space="0" w:color="auto"/>
        <w:bottom w:val="none" w:sz="0" w:space="0" w:color="auto"/>
        <w:right w:val="none" w:sz="0" w:space="0" w:color="auto"/>
      </w:divBdr>
    </w:div>
    <w:div w:id="1338776139">
      <w:bodyDiv w:val="1"/>
      <w:marLeft w:val="0"/>
      <w:marRight w:val="0"/>
      <w:marTop w:val="0"/>
      <w:marBottom w:val="0"/>
      <w:divBdr>
        <w:top w:val="none" w:sz="0" w:space="0" w:color="auto"/>
        <w:left w:val="none" w:sz="0" w:space="0" w:color="auto"/>
        <w:bottom w:val="none" w:sz="0" w:space="0" w:color="auto"/>
        <w:right w:val="none" w:sz="0" w:space="0" w:color="auto"/>
      </w:divBdr>
      <w:divsChild>
        <w:div w:id="1757629457">
          <w:marLeft w:val="0"/>
          <w:marRight w:val="0"/>
          <w:marTop w:val="0"/>
          <w:marBottom w:val="0"/>
          <w:divBdr>
            <w:top w:val="none" w:sz="0" w:space="0" w:color="auto"/>
            <w:left w:val="none" w:sz="0" w:space="0" w:color="auto"/>
            <w:bottom w:val="none" w:sz="0" w:space="0" w:color="auto"/>
            <w:right w:val="none" w:sz="0" w:space="0" w:color="auto"/>
          </w:divBdr>
          <w:divsChild>
            <w:div w:id="16546707">
              <w:marLeft w:val="0"/>
              <w:marRight w:val="0"/>
              <w:marTop w:val="0"/>
              <w:marBottom w:val="0"/>
              <w:divBdr>
                <w:top w:val="none" w:sz="0" w:space="0" w:color="auto"/>
                <w:left w:val="none" w:sz="0" w:space="0" w:color="auto"/>
                <w:bottom w:val="none" w:sz="0" w:space="0" w:color="auto"/>
                <w:right w:val="none" w:sz="0" w:space="0" w:color="auto"/>
              </w:divBdr>
              <w:divsChild>
                <w:div w:id="13001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3691">
          <w:marLeft w:val="0"/>
          <w:marRight w:val="0"/>
          <w:marTop w:val="0"/>
          <w:marBottom w:val="0"/>
          <w:divBdr>
            <w:top w:val="none" w:sz="0" w:space="0" w:color="auto"/>
            <w:left w:val="none" w:sz="0" w:space="0" w:color="auto"/>
            <w:bottom w:val="none" w:sz="0" w:space="0" w:color="auto"/>
            <w:right w:val="none" w:sz="0" w:space="0" w:color="auto"/>
          </w:divBdr>
          <w:divsChild>
            <w:div w:id="2076539023">
              <w:marLeft w:val="0"/>
              <w:marRight w:val="0"/>
              <w:marTop w:val="0"/>
              <w:marBottom w:val="0"/>
              <w:divBdr>
                <w:top w:val="none" w:sz="0" w:space="0" w:color="auto"/>
                <w:left w:val="none" w:sz="0" w:space="0" w:color="auto"/>
                <w:bottom w:val="none" w:sz="0" w:space="0" w:color="auto"/>
                <w:right w:val="none" w:sz="0" w:space="0" w:color="auto"/>
              </w:divBdr>
              <w:divsChild>
                <w:div w:id="9515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50102">
      <w:bodyDiv w:val="1"/>
      <w:marLeft w:val="0"/>
      <w:marRight w:val="0"/>
      <w:marTop w:val="0"/>
      <w:marBottom w:val="0"/>
      <w:divBdr>
        <w:top w:val="none" w:sz="0" w:space="0" w:color="auto"/>
        <w:left w:val="none" w:sz="0" w:space="0" w:color="auto"/>
        <w:bottom w:val="none" w:sz="0" w:space="0" w:color="auto"/>
        <w:right w:val="none" w:sz="0" w:space="0" w:color="auto"/>
      </w:divBdr>
    </w:div>
    <w:div w:id="1346325938">
      <w:bodyDiv w:val="1"/>
      <w:marLeft w:val="0"/>
      <w:marRight w:val="0"/>
      <w:marTop w:val="0"/>
      <w:marBottom w:val="0"/>
      <w:divBdr>
        <w:top w:val="none" w:sz="0" w:space="0" w:color="auto"/>
        <w:left w:val="none" w:sz="0" w:space="0" w:color="auto"/>
        <w:bottom w:val="none" w:sz="0" w:space="0" w:color="auto"/>
        <w:right w:val="none" w:sz="0" w:space="0" w:color="auto"/>
      </w:divBdr>
      <w:divsChild>
        <w:div w:id="938299447">
          <w:marLeft w:val="0"/>
          <w:marRight w:val="0"/>
          <w:marTop w:val="0"/>
          <w:marBottom w:val="0"/>
          <w:divBdr>
            <w:top w:val="none" w:sz="0" w:space="0" w:color="auto"/>
            <w:left w:val="none" w:sz="0" w:space="0" w:color="auto"/>
            <w:bottom w:val="none" w:sz="0" w:space="0" w:color="auto"/>
            <w:right w:val="none" w:sz="0" w:space="0" w:color="auto"/>
          </w:divBdr>
        </w:div>
        <w:div w:id="917788056">
          <w:marLeft w:val="0"/>
          <w:marRight w:val="0"/>
          <w:marTop w:val="0"/>
          <w:marBottom w:val="0"/>
          <w:divBdr>
            <w:top w:val="none" w:sz="0" w:space="0" w:color="auto"/>
            <w:left w:val="none" w:sz="0" w:space="0" w:color="auto"/>
            <w:bottom w:val="none" w:sz="0" w:space="0" w:color="auto"/>
            <w:right w:val="none" w:sz="0" w:space="0" w:color="auto"/>
          </w:divBdr>
          <w:divsChild>
            <w:div w:id="1153448111">
              <w:marLeft w:val="0"/>
              <w:marRight w:val="0"/>
              <w:marTop w:val="0"/>
              <w:marBottom w:val="150"/>
              <w:divBdr>
                <w:top w:val="none" w:sz="0" w:space="0" w:color="auto"/>
                <w:left w:val="none" w:sz="0" w:space="0" w:color="auto"/>
                <w:bottom w:val="none" w:sz="0" w:space="0" w:color="auto"/>
                <w:right w:val="none" w:sz="0" w:space="0" w:color="auto"/>
              </w:divBdr>
              <w:divsChild>
                <w:div w:id="1875606538">
                  <w:marLeft w:val="0"/>
                  <w:marRight w:val="0"/>
                  <w:marTop w:val="0"/>
                  <w:marBottom w:val="0"/>
                  <w:divBdr>
                    <w:top w:val="none" w:sz="0" w:space="0" w:color="auto"/>
                    <w:left w:val="none" w:sz="0" w:space="0" w:color="auto"/>
                    <w:bottom w:val="none" w:sz="0" w:space="0" w:color="auto"/>
                    <w:right w:val="none" w:sz="0" w:space="0" w:color="auto"/>
                  </w:divBdr>
                  <w:divsChild>
                    <w:div w:id="1337615400">
                      <w:marLeft w:val="0"/>
                      <w:marRight w:val="0"/>
                      <w:marTop w:val="150"/>
                      <w:marBottom w:val="0"/>
                      <w:divBdr>
                        <w:top w:val="none" w:sz="0" w:space="0" w:color="auto"/>
                        <w:left w:val="none" w:sz="0" w:space="0" w:color="auto"/>
                        <w:bottom w:val="none" w:sz="0" w:space="0" w:color="auto"/>
                        <w:right w:val="none" w:sz="0" w:space="0" w:color="auto"/>
                      </w:divBdr>
                      <w:divsChild>
                        <w:div w:id="217164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603282">
      <w:bodyDiv w:val="1"/>
      <w:marLeft w:val="0"/>
      <w:marRight w:val="0"/>
      <w:marTop w:val="0"/>
      <w:marBottom w:val="0"/>
      <w:divBdr>
        <w:top w:val="none" w:sz="0" w:space="0" w:color="auto"/>
        <w:left w:val="none" w:sz="0" w:space="0" w:color="auto"/>
        <w:bottom w:val="none" w:sz="0" w:space="0" w:color="auto"/>
        <w:right w:val="none" w:sz="0" w:space="0" w:color="auto"/>
      </w:divBdr>
    </w:div>
    <w:div w:id="1348753453">
      <w:bodyDiv w:val="1"/>
      <w:marLeft w:val="0"/>
      <w:marRight w:val="0"/>
      <w:marTop w:val="0"/>
      <w:marBottom w:val="0"/>
      <w:divBdr>
        <w:top w:val="none" w:sz="0" w:space="0" w:color="auto"/>
        <w:left w:val="none" w:sz="0" w:space="0" w:color="auto"/>
        <w:bottom w:val="none" w:sz="0" w:space="0" w:color="auto"/>
        <w:right w:val="none" w:sz="0" w:space="0" w:color="auto"/>
      </w:divBdr>
      <w:divsChild>
        <w:div w:id="856189288">
          <w:marLeft w:val="0"/>
          <w:marRight w:val="0"/>
          <w:marTop w:val="0"/>
          <w:marBottom w:val="0"/>
          <w:divBdr>
            <w:top w:val="none" w:sz="0" w:space="0" w:color="auto"/>
            <w:left w:val="none" w:sz="0" w:space="0" w:color="auto"/>
            <w:bottom w:val="none" w:sz="0" w:space="0" w:color="auto"/>
            <w:right w:val="none" w:sz="0" w:space="0" w:color="auto"/>
          </w:divBdr>
          <w:divsChild>
            <w:div w:id="941572952">
              <w:marLeft w:val="0"/>
              <w:marRight w:val="0"/>
              <w:marTop w:val="0"/>
              <w:marBottom w:val="0"/>
              <w:divBdr>
                <w:top w:val="none" w:sz="0" w:space="0" w:color="auto"/>
                <w:left w:val="none" w:sz="0" w:space="0" w:color="auto"/>
                <w:bottom w:val="none" w:sz="0" w:space="0" w:color="auto"/>
                <w:right w:val="none" w:sz="0" w:space="0" w:color="auto"/>
              </w:divBdr>
              <w:divsChild>
                <w:div w:id="7881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4867">
      <w:bodyDiv w:val="1"/>
      <w:marLeft w:val="0"/>
      <w:marRight w:val="0"/>
      <w:marTop w:val="0"/>
      <w:marBottom w:val="0"/>
      <w:divBdr>
        <w:top w:val="none" w:sz="0" w:space="0" w:color="auto"/>
        <w:left w:val="none" w:sz="0" w:space="0" w:color="auto"/>
        <w:bottom w:val="none" w:sz="0" w:space="0" w:color="auto"/>
        <w:right w:val="none" w:sz="0" w:space="0" w:color="auto"/>
      </w:divBdr>
    </w:div>
    <w:div w:id="1352876595">
      <w:bodyDiv w:val="1"/>
      <w:marLeft w:val="0"/>
      <w:marRight w:val="0"/>
      <w:marTop w:val="0"/>
      <w:marBottom w:val="0"/>
      <w:divBdr>
        <w:top w:val="none" w:sz="0" w:space="0" w:color="auto"/>
        <w:left w:val="none" w:sz="0" w:space="0" w:color="auto"/>
        <w:bottom w:val="none" w:sz="0" w:space="0" w:color="auto"/>
        <w:right w:val="none" w:sz="0" w:space="0" w:color="auto"/>
      </w:divBdr>
      <w:divsChild>
        <w:div w:id="423914842">
          <w:marLeft w:val="0"/>
          <w:marRight w:val="0"/>
          <w:marTop w:val="0"/>
          <w:marBottom w:val="0"/>
          <w:divBdr>
            <w:top w:val="none" w:sz="0" w:space="0" w:color="auto"/>
            <w:left w:val="none" w:sz="0" w:space="0" w:color="auto"/>
            <w:bottom w:val="none" w:sz="0" w:space="0" w:color="auto"/>
            <w:right w:val="none" w:sz="0" w:space="0" w:color="auto"/>
          </w:divBdr>
          <w:divsChild>
            <w:div w:id="16079572">
              <w:marLeft w:val="0"/>
              <w:marRight w:val="0"/>
              <w:marTop w:val="0"/>
              <w:marBottom w:val="0"/>
              <w:divBdr>
                <w:top w:val="none" w:sz="0" w:space="0" w:color="auto"/>
                <w:left w:val="none" w:sz="0" w:space="0" w:color="auto"/>
                <w:bottom w:val="none" w:sz="0" w:space="0" w:color="auto"/>
                <w:right w:val="none" w:sz="0" w:space="0" w:color="auto"/>
              </w:divBdr>
              <w:divsChild>
                <w:div w:id="1660961590">
                  <w:marLeft w:val="0"/>
                  <w:marRight w:val="0"/>
                  <w:marTop w:val="0"/>
                  <w:marBottom w:val="0"/>
                  <w:divBdr>
                    <w:top w:val="none" w:sz="0" w:space="0" w:color="auto"/>
                    <w:left w:val="none" w:sz="0" w:space="0" w:color="auto"/>
                    <w:bottom w:val="none" w:sz="0" w:space="0" w:color="auto"/>
                    <w:right w:val="none" w:sz="0" w:space="0" w:color="auto"/>
                  </w:divBdr>
                  <w:divsChild>
                    <w:div w:id="15815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98425">
      <w:bodyDiv w:val="1"/>
      <w:marLeft w:val="0"/>
      <w:marRight w:val="0"/>
      <w:marTop w:val="0"/>
      <w:marBottom w:val="0"/>
      <w:divBdr>
        <w:top w:val="none" w:sz="0" w:space="0" w:color="auto"/>
        <w:left w:val="none" w:sz="0" w:space="0" w:color="auto"/>
        <w:bottom w:val="none" w:sz="0" w:space="0" w:color="auto"/>
        <w:right w:val="none" w:sz="0" w:space="0" w:color="auto"/>
      </w:divBdr>
    </w:div>
    <w:div w:id="1356730813">
      <w:bodyDiv w:val="1"/>
      <w:marLeft w:val="0"/>
      <w:marRight w:val="0"/>
      <w:marTop w:val="0"/>
      <w:marBottom w:val="0"/>
      <w:divBdr>
        <w:top w:val="none" w:sz="0" w:space="0" w:color="auto"/>
        <w:left w:val="none" w:sz="0" w:space="0" w:color="auto"/>
        <w:bottom w:val="none" w:sz="0" w:space="0" w:color="auto"/>
        <w:right w:val="none" w:sz="0" w:space="0" w:color="auto"/>
      </w:divBdr>
      <w:divsChild>
        <w:div w:id="879436504">
          <w:marLeft w:val="0"/>
          <w:marRight w:val="0"/>
          <w:marTop w:val="0"/>
          <w:marBottom w:val="0"/>
          <w:divBdr>
            <w:top w:val="none" w:sz="0" w:space="0" w:color="auto"/>
            <w:left w:val="none" w:sz="0" w:space="0" w:color="auto"/>
            <w:bottom w:val="none" w:sz="0" w:space="0" w:color="auto"/>
            <w:right w:val="none" w:sz="0" w:space="0" w:color="auto"/>
          </w:divBdr>
          <w:divsChild>
            <w:div w:id="504365668">
              <w:marLeft w:val="0"/>
              <w:marRight w:val="0"/>
              <w:marTop w:val="0"/>
              <w:marBottom w:val="0"/>
              <w:divBdr>
                <w:top w:val="none" w:sz="0" w:space="0" w:color="auto"/>
                <w:left w:val="none" w:sz="0" w:space="0" w:color="auto"/>
                <w:bottom w:val="none" w:sz="0" w:space="0" w:color="auto"/>
                <w:right w:val="none" w:sz="0" w:space="0" w:color="auto"/>
              </w:divBdr>
              <w:divsChild>
                <w:div w:id="1557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1632">
      <w:bodyDiv w:val="1"/>
      <w:marLeft w:val="0"/>
      <w:marRight w:val="0"/>
      <w:marTop w:val="0"/>
      <w:marBottom w:val="0"/>
      <w:divBdr>
        <w:top w:val="none" w:sz="0" w:space="0" w:color="auto"/>
        <w:left w:val="none" w:sz="0" w:space="0" w:color="auto"/>
        <w:bottom w:val="none" w:sz="0" w:space="0" w:color="auto"/>
        <w:right w:val="none" w:sz="0" w:space="0" w:color="auto"/>
      </w:divBdr>
    </w:div>
    <w:div w:id="1360617896">
      <w:bodyDiv w:val="1"/>
      <w:marLeft w:val="0"/>
      <w:marRight w:val="0"/>
      <w:marTop w:val="0"/>
      <w:marBottom w:val="0"/>
      <w:divBdr>
        <w:top w:val="none" w:sz="0" w:space="0" w:color="auto"/>
        <w:left w:val="none" w:sz="0" w:space="0" w:color="auto"/>
        <w:bottom w:val="none" w:sz="0" w:space="0" w:color="auto"/>
        <w:right w:val="none" w:sz="0" w:space="0" w:color="auto"/>
      </w:divBdr>
      <w:divsChild>
        <w:div w:id="2064675490">
          <w:marLeft w:val="0"/>
          <w:marRight w:val="0"/>
          <w:marTop w:val="0"/>
          <w:marBottom w:val="0"/>
          <w:divBdr>
            <w:top w:val="none" w:sz="0" w:space="0" w:color="auto"/>
            <w:left w:val="none" w:sz="0" w:space="0" w:color="auto"/>
            <w:bottom w:val="none" w:sz="0" w:space="0" w:color="auto"/>
            <w:right w:val="none" w:sz="0" w:space="0" w:color="auto"/>
          </w:divBdr>
          <w:divsChild>
            <w:div w:id="886529524">
              <w:marLeft w:val="0"/>
              <w:marRight w:val="0"/>
              <w:marTop w:val="0"/>
              <w:marBottom w:val="0"/>
              <w:divBdr>
                <w:top w:val="none" w:sz="0" w:space="0" w:color="auto"/>
                <w:left w:val="none" w:sz="0" w:space="0" w:color="auto"/>
                <w:bottom w:val="none" w:sz="0" w:space="0" w:color="auto"/>
                <w:right w:val="none" w:sz="0" w:space="0" w:color="auto"/>
              </w:divBdr>
              <w:divsChild>
                <w:div w:id="2299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55067">
      <w:bodyDiv w:val="1"/>
      <w:marLeft w:val="0"/>
      <w:marRight w:val="0"/>
      <w:marTop w:val="0"/>
      <w:marBottom w:val="0"/>
      <w:divBdr>
        <w:top w:val="none" w:sz="0" w:space="0" w:color="auto"/>
        <w:left w:val="none" w:sz="0" w:space="0" w:color="auto"/>
        <w:bottom w:val="none" w:sz="0" w:space="0" w:color="auto"/>
        <w:right w:val="none" w:sz="0" w:space="0" w:color="auto"/>
      </w:divBdr>
    </w:div>
    <w:div w:id="1364594202">
      <w:bodyDiv w:val="1"/>
      <w:marLeft w:val="0"/>
      <w:marRight w:val="0"/>
      <w:marTop w:val="0"/>
      <w:marBottom w:val="0"/>
      <w:divBdr>
        <w:top w:val="none" w:sz="0" w:space="0" w:color="auto"/>
        <w:left w:val="none" w:sz="0" w:space="0" w:color="auto"/>
        <w:bottom w:val="none" w:sz="0" w:space="0" w:color="auto"/>
        <w:right w:val="none" w:sz="0" w:space="0" w:color="auto"/>
      </w:divBdr>
    </w:div>
    <w:div w:id="1366180035">
      <w:bodyDiv w:val="1"/>
      <w:marLeft w:val="0"/>
      <w:marRight w:val="0"/>
      <w:marTop w:val="0"/>
      <w:marBottom w:val="0"/>
      <w:divBdr>
        <w:top w:val="none" w:sz="0" w:space="0" w:color="auto"/>
        <w:left w:val="none" w:sz="0" w:space="0" w:color="auto"/>
        <w:bottom w:val="none" w:sz="0" w:space="0" w:color="auto"/>
        <w:right w:val="none" w:sz="0" w:space="0" w:color="auto"/>
      </w:divBdr>
    </w:div>
    <w:div w:id="1366560254">
      <w:bodyDiv w:val="1"/>
      <w:marLeft w:val="0"/>
      <w:marRight w:val="0"/>
      <w:marTop w:val="0"/>
      <w:marBottom w:val="0"/>
      <w:divBdr>
        <w:top w:val="none" w:sz="0" w:space="0" w:color="auto"/>
        <w:left w:val="none" w:sz="0" w:space="0" w:color="auto"/>
        <w:bottom w:val="none" w:sz="0" w:space="0" w:color="auto"/>
        <w:right w:val="none" w:sz="0" w:space="0" w:color="auto"/>
      </w:divBdr>
    </w:div>
    <w:div w:id="1369454242">
      <w:bodyDiv w:val="1"/>
      <w:marLeft w:val="0"/>
      <w:marRight w:val="0"/>
      <w:marTop w:val="0"/>
      <w:marBottom w:val="0"/>
      <w:divBdr>
        <w:top w:val="none" w:sz="0" w:space="0" w:color="auto"/>
        <w:left w:val="none" w:sz="0" w:space="0" w:color="auto"/>
        <w:bottom w:val="none" w:sz="0" w:space="0" w:color="auto"/>
        <w:right w:val="none" w:sz="0" w:space="0" w:color="auto"/>
      </w:divBdr>
    </w:div>
    <w:div w:id="1369724079">
      <w:bodyDiv w:val="1"/>
      <w:marLeft w:val="0"/>
      <w:marRight w:val="0"/>
      <w:marTop w:val="0"/>
      <w:marBottom w:val="0"/>
      <w:divBdr>
        <w:top w:val="none" w:sz="0" w:space="0" w:color="auto"/>
        <w:left w:val="none" w:sz="0" w:space="0" w:color="auto"/>
        <w:bottom w:val="none" w:sz="0" w:space="0" w:color="auto"/>
        <w:right w:val="none" w:sz="0" w:space="0" w:color="auto"/>
      </w:divBdr>
    </w:div>
    <w:div w:id="1374764749">
      <w:bodyDiv w:val="1"/>
      <w:marLeft w:val="0"/>
      <w:marRight w:val="0"/>
      <w:marTop w:val="0"/>
      <w:marBottom w:val="0"/>
      <w:divBdr>
        <w:top w:val="none" w:sz="0" w:space="0" w:color="auto"/>
        <w:left w:val="none" w:sz="0" w:space="0" w:color="auto"/>
        <w:bottom w:val="none" w:sz="0" w:space="0" w:color="auto"/>
        <w:right w:val="none" w:sz="0" w:space="0" w:color="auto"/>
      </w:divBdr>
    </w:div>
    <w:div w:id="1375690904">
      <w:bodyDiv w:val="1"/>
      <w:marLeft w:val="0"/>
      <w:marRight w:val="0"/>
      <w:marTop w:val="0"/>
      <w:marBottom w:val="0"/>
      <w:divBdr>
        <w:top w:val="none" w:sz="0" w:space="0" w:color="auto"/>
        <w:left w:val="none" w:sz="0" w:space="0" w:color="auto"/>
        <w:bottom w:val="none" w:sz="0" w:space="0" w:color="auto"/>
        <w:right w:val="none" w:sz="0" w:space="0" w:color="auto"/>
      </w:divBdr>
    </w:div>
    <w:div w:id="1376587941">
      <w:bodyDiv w:val="1"/>
      <w:marLeft w:val="0"/>
      <w:marRight w:val="0"/>
      <w:marTop w:val="0"/>
      <w:marBottom w:val="0"/>
      <w:divBdr>
        <w:top w:val="none" w:sz="0" w:space="0" w:color="auto"/>
        <w:left w:val="none" w:sz="0" w:space="0" w:color="auto"/>
        <w:bottom w:val="none" w:sz="0" w:space="0" w:color="auto"/>
        <w:right w:val="none" w:sz="0" w:space="0" w:color="auto"/>
      </w:divBdr>
    </w:div>
    <w:div w:id="1380587063">
      <w:bodyDiv w:val="1"/>
      <w:marLeft w:val="0"/>
      <w:marRight w:val="0"/>
      <w:marTop w:val="0"/>
      <w:marBottom w:val="0"/>
      <w:divBdr>
        <w:top w:val="none" w:sz="0" w:space="0" w:color="auto"/>
        <w:left w:val="none" w:sz="0" w:space="0" w:color="auto"/>
        <w:bottom w:val="none" w:sz="0" w:space="0" w:color="auto"/>
        <w:right w:val="none" w:sz="0" w:space="0" w:color="auto"/>
      </w:divBdr>
    </w:div>
    <w:div w:id="1387223585">
      <w:bodyDiv w:val="1"/>
      <w:marLeft w:val="0"/>
      <w:marRight w:val="0"/>
      <w:marTop w:val="0"/>
      <w:marBottom w:val="0"/>
      <w:divBdr>
        <w:top w:val="none" w:sz="0" w:space="0" w:color="auto"/>
        <w:left w:val="none" w:sz="0" w:space="0" w:color="auto"/>
        <w:bottom w:val="none" w:sz="0" w:space="0" w:color="auto"/>
        <w:right w:val="none" w:sz="0" w:space="0" w:color="auto"/>
      </w:divBdr>
    </w:div>
    <w:div w:id="1389567299">
      <w:bodyDiv w:val="1"/>
      <w:marLeft w:val="0"/>
      <w:marRight w:val="0"/>
      <w:marTop w:val="0"/>
      <w:marBottom w:val="0"/>
      <w:divBdr>
        <w:top w:val="none" w:sz="0" w:space="0" w:color="auto"/>
        <w:left w:val="none" w:sz="0" w:space="0" w:color="auto"/>
        <w:bottom w:val="none" w:sz="0" w:space="0" w:color="auto"/>
        <w:right w:val="none" w:sz="0" w:space="0" w:color="auto"/>
      </w:divBdr>
      <w:divsChild>
        <w:div w:id="1196120282">
          <w:marLeft w:val="0"/>
          <w:marRight w:val="0"/>
          <w:marTop w:val="0"/>
          <w:marBottom w:val="0"/>
          <w:divBdr>
            <w:top w:val="none" w:sz="0" w:space="0" w:color="auto"/>
            <w:left w:val="none" w:sz="0" w:space="0" w:color="auto"/>
            <w:bottom w:val="none" w:sz="0" w:space="0" w:color="auto"/>
            <w:right w:val="none" w:sz="0" w:space="0" w:color="auto"/>
          </w:divBdr>
        </w:div>
      </w:divsChild>
    </w:div>
    <w:div w:id="1392272518">
      <w:bodyDiv w:val="1"/>
      <w:marLeft w:val="0"/>
      <w:marRight w:val="0"/>
      <w:marTop w:val="0"/>
      <w:marBottom w:val="0"/>
      <w:divBdr>
        <w:top w:val="none" w:sz="0" w:space="0" w:color="auto"/>
        <w:left w:val="none" w:sz="0" w:space="0" w:color="auto"/>
        <w:bottom w:val="none" w:sz="0" w:space="0" w:color="auto"/>
        <w:right w:val="none" w:sz="0" w:space="0" w:color="auto"/>
      </w:divBdr>
    </w:div>
    <w:div w:id="1392733995">
      <w:bodyDiv w:val="1"/>
      <w:marLeft w:val="0"/>
      <w:marRight w:val="0"/>
      <w:marTop w:val="0"/>
      <w:marBottom w:val="0"/>
      <w:divBdr>
        <w:top w:val="none" w:sz="0" w:space="0" w:color="auto"/>
        <w:left w:val="none" w:sz="0" w:space="0" w:color="auto"/>
        <w:bottom w:val="none" w:sz="0" w:space="0" w:color="auto"/>
        <w:right w:val="none" w:sz="0" w:space="0" w:color="auto"/>
      </w:divBdr>
    </w:div>
    <w:div w:id="1394616866">
      <w:bodyDiv w:val="1"/>
      <w:marLeft w:val="0"/>
      <w:marRight w:val="0"/>
      <w:marTop w:val="0"/>
      <w:marBottom w:val="0"/>
      <w:divBdr>
        <w:top w:val="none" w:sz="0" w:space="0" w:color="auto"/>
        <w:left w:val="none" w:sz="0" w:space="0" w:color="auto"/>
        <w:bottom w:val="none" w:sz="0" w:space="0" w:color="auto"/>
        <w:right w:val="none" w:sz="0" w:space="0" w:color="auto"/>
      </w:divBdr>
      <w:divsChild>
        <w:div w:id="1151558959">
          <w:marLeft w:val="0"/>
          <w:marRight w:val="0"/>
          <w:marTop w:val="0"/>
          <w:marBottom w:val="0"/>
          <w:divBdr>
            <w:top w:val="none" w:sz="0" w:space="0" w:color="auto"/>
            <w:left w:val="none" w:sz="0" w:space="0" w:color="auto"/>
            <w:bottom w:val="none" w:sz="0" w:space="0" w:color="auto"/>
            <w:right w:val="none" w:sz="0" w:space="0" w:color="auto"/>
          </w:divBdr>
          <w:divsChild>
            <w:div w:id="549995383">
              <w:marLeft w:val="0"/>
              <w:marRight w:val="0"/>
              <w:marTop w:val="0"/>
              <w:marBottom w:val="0"/>
              <w:divBdr>
                <w:top w:val="none" w:sz="0" w:space="0" w:color="auto"/>
                <w:left w:val="none" w:sz="0" w:space="0" w:color="auto"/>
                <w:bottom w:val="none" w:sz="0" w:space="0" w:color="auto"/>
                <w:right w:val="none" w:sz="0" w:space="0" w:color="auto"/>
              </w:divBdr>
              <w:divsChild>
                <w:div w:id="12439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46883">
      <w:bodyDiv w:val="1"/>
      <w:marLeft w:val="0"/>
      <w:marRight w:val="0"/>
      <w:marTop w:val="0"/>
      <w:marBottom w:val="0"/>
      <w:divBdr>
        <w:top w:val="none" w:sz="0" w:space="0" w:color="auto"/>
        <w:left w:val="none" w:sz="0" w:space="0" w:color="auto"/>
        <w:bottom w:val="none" w:sz="0" w:space="0" w:color="auto"/>
        <w:right w:val="none" w:sz="0" w:space="0" w:color="auto"/>
      </w:divBdr>
    </w:div>
    <w:div w:id="1402604771">
      <w:bodyDiv w:val="1"/>
      <w:marLeft w:val="0"/>
      <w:marRight w:val="0"/>
      <w:marTop w:val="0"/>
      <w:marBottom w:val="0"/>
      <w:divBdr>
        <w:top w:val="none" w:sz="0" w:space="0" w:color="auto"/>
        <w:left w:val="none" w:sz="0" w:space="0" w:color="auto"/>
        <w:bottom w:val="none" w:sz="0" w:space="0" w:color="auto"/>
        <w:right w:val="none" w:sz="0" w:space="0" w:color="auto"/>
      </w:divBdr>
    </w:div>
    <w:div w:id="1402682190">
      <w:bodyDiv w:val="1"/>
      <w:marLeft w:val="0"/>
      <w:marRight w:val="0"/>
      <w:marTop w:val="0"/>
      <w:marBottom w:val="0"/>
      <w:divBdr>
        <w:top w:val="none" w:sz="0" w:space="0" w:color="auto"/>
        <w:left w:val="none" w:sz="0" w:space="0" w:color="auto"/>
        <w:bottom w:val="none" w:sz="0" w:space="0" w:color="auto"/>
        <w:right w:val="none" w:sz="0" w:space="0" w:color="auto"/>
      </w:divBdr>
      <w:divsChild>
        <w:div w:id="1069307522">
          <w:marLeft w:val="0"/>
          <w:marRight w:val="0"/>
          <w:marTop w:val="0"/>
          <w:marBottom w:val="0"/>
          <w:divBdr>
            <w:top w:val="none" w:sz="0" w:space="0" w:color="auto"/>
            <w:left w:val="none" w:sz="0" w:space="0" w:color="auto"/>
            <w:bottom w:val="none" w:sz="0" w:space="0" w:color="auto"/>
            <w:right w:val="none" w:sz="0" w:space="0" w:color="auto"/>
          </w:divBdr>
          <w:divsChild>
            <w:div w:id="146754033">
              <w:marLeft w:val="0"/>
              <w:marRight w:val="0"/>
              <w:marTop w:val="0"/>
              <w:marBottom w:val="0"/>
              <w:divBdr>
                <w:top w:val="none" w:sz="0" w:space="0" w:color="auto"/>
                <w:left w:val="none" w:sz="0" w:space="0" w:color="auto"/>
                <w:bottom w:val="none" w:sz="0" w:space="0" w:color="auto"/>
                <w:right w:val="none" w:sz="0" w:space="0" w:color="auto"/>
              </w:divBdr>
              <w:divsChild>
                <w:div w:id="124394772">
                  <w:marLeft w:val="0"/>
                  <w:marRight w:val="0"/>
                  <w:marTop w:val="0"/>
                  <w:marBottom w:val="0"/>
                  <w:divBdr>
                    <w:top w:val="none" w:sz="0" w:space="0" w:color="auto"/>
                    <w:left w:val="none" w:sz="0" w:space="0" w:color="auto"/>
                    <w:bottom w:val="none" w:sz="0" w:space="0" w:color="auto"/>
                    <w:right w:val="none" w:sz="0" w:space="0" w:color="auto"/>
                  </w:divBdr>
                  <w:divsChild>
                    <w:div w:id="4385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84890">
      <w:bodyDiv w:val="1"/>
      <w:marLeft w:val="0"/>
      <w:marRight w:val="0"/>
      <w:marTop w:val="0"/>
      <w:marBottom w:val="0"/>
      <w:divBdr>
        <w:top w:val="none" w:sz="0" w:space="0" w:color="auto"/>
        <w:left w:val="none" w:sz="0" w:space="0" w:color="auto"/>
        <w:bottom w:val="none" w:sz="0" w:space="0" w:color="auto"/>
        <w:right w:val="none" w:sz="0" w:space="0" w:color="auto"/>
      </w:divBdr>
    </w:div>
    <w:div w:id="1406562501">
      <w:bodyDiv w:val="1"/>
      <w:marLeft w:val="0"/>
      <w:marRight w:val="0"/>
      <w:marTop w:val="0"/>
      <w:marBottom w:val="0"/>
      <w:divBdr>
        <w:top w:val="none" w:sz="0" w:space="0" w:color="auto"/>
        <w:left w:val="none" w:sz="0" w:space="0" w:color="auto"/>
        <w:bottom w:val="none" w:sz="0" w:space="0" w:color="auto"/>
        <w:right w:val="none" w:sz="0" w:space="0" w:color="auto"/>
      </w:divBdr>
    </w:div>
    <w:div w:id="1407876735">
      <w:bodyDiv w:val="1"/>
      <w:marLeft w:val="0"/>
      <w:marRight w:val="0"/>
      <w:marTop w:val="0"/>
      <w:marBottom w:val="0"/>
      <w:divBdr>
        <w:top w:val="none" w:sz="0" w:space="0" w:color="auto"/>
        <w:left w:val="none" w:sz="0" w:space="0" w:color="auto"/>
        <w:bottom w:val="none" w:sz="0" w:space="0" w:color="auto"/>
        <w:right w:val="none" w:sz="0" w:space="0" w:color="auto"/>
      </w:divBdr>
      <w:divsChild>
        <w:div w:id="855001626">
          <w:marLeft w:val="0"/>
          <w:marRight w:val="0"/>
          <w:marTop w:val="0"/>
          <w:marBottom w:val="0"/>
          <w:divBdr>
            <w:top w:val="none" w:sz="0" w:space="0" w:color="auto"/>
            <w:left w:val="none" w:sz="0" w:space="0" w:color="auto"/>
            <w:bottom w:val="none" w:sz="0" w:space="0" w:color="auto"/>
            <w:right w:val="none" w:sz="0" w:space="0" w:color="auto"/>
          </w:divBdr>
          <w:divsChild>
            <w:div w:id="836849754">
              <w:marLeft w:val="0"/>
              <w:marRight w:val="0"/>
              <w:marTop w:val="0"/>
              <w:marBottom w:val="0"/>
              <w:divBdr>
                <w:top w:val="none" w:sz="0" w:space="0" w:color="auto"/>
                <w:left w:val="none" w:sz="0" w:space="0" w:color="auto"/>
                <w:bottom w:val="none" w:sz="0" w:space="0" w:color="auto"/>
                <w:right w:val="none" w:sz="0" w:space="0" w:color="auto"/>
              </w:divBdr>
              <w:divsChild>
                <w:div w:id="992561562">
                  <w:marLeft w:val="0"/>
                  <w:marRight w:val="0"/>
                  <w:marTop w:val="0"/>
                  <w:marBottom w:val="0"/>
                  <w:divBdr>
                    <w:top w:val="none" w:sz="0" w:space="0" w:color="auto"/>
                    <w:left w:val="none" w:sz="0" w:space="0" w:color="auto"/>
                    <w:bottom w:val="none" w:sz="0" w:space="0" w:color="auto"/>
                    <w:right w:val="none" w:sz="0" w:space="0" w:color="auto"/>
                  </w:divBdr>
                  <w:divsChild>
                    <w:div w:id="11586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928438">
      <w:bodyDiv w:val="1"/>
      <w:marLeft w:val="0"/>
      <w:marRight w:val="0"/>
      <w:marTop w:val="0"/>
      <w:marBottom w:val="0"/>
      <w:divBdr>
        <w:top w:val="none" w:sz="0" w:space="0" w:color="auto"/>
        <w:left w:val="none" w:sz="0" w:space="0" w:color="auto"/>
        <w:bottom w:val="none" w:sz="0" w:space="0" w:color="auto"/>
        <w:right w:val="none" w:sz="0" w:space="0" w:color="auto"/>
      </w:divBdr>
    </w:div>
    <w:div w:id="1411390186">
      <w:bodyDiv w:val="1"/>
      <w:marLeft w:val="0"/>
      <w:marRight w:val="0"/>
      <w:marTop w:val="0"/>
      <w:marBottom w:val="0"/>
      <w:divBdr>
        <w:top w:val="none" w:sz="0" w:space="0" w:color="auto"/>
        <w:left w:val="none" w:sz="0" w:space="0" w:color="auto"/>
        <w:bottom w:val="none" w:sz="0" w:space="0" w:color="auto"/>
        <w:right w:val="none" w:sz="0" w:space="0" w:color="auto"/>
      </w:divBdr>
    </w:div>
    <w:div w:id="1412039991">
      <w:bodyDiv w:val="1"/>
      <w:marLeft w:val="0"/>
      <w:marRight w:val="0"/>
      <w:marTop w:val="0"/>
      <w:marBottom w:val="0"/>
      <w:divBdr>
        <w:top w:val="none" w:sz="0" w:space="0" w:color="auto"/>
        <w:left w:val="none" w:sz="0" w:space="0" w:color="auto"/>
        <w:bottom w:val="none" w:sz="0" w:space="0" w:color="auto"/>
        <w:right w:val="none" w:sz="0" w:space="0" w:color="auto"/>
      </w:divBdr>
    </w:div>
    <w:div w:id="1417432577">
      <w:bodyDiv w:val="1"/>
      <w:marLeft w:val="0"/>
      <w:marRight w:val="0"/>
      <w:marTop w:val="0"/>
      <w:marBottom w:val="0"/>
      <w:divBdr>
        <w:top w:val="none" w:sz="0" w:space="0" w:color="auto"/>
        <w:left w:val="none" w:sz="0" w:space="0" w:color="auto"/>
        <w:bottom w:val="none" w:sz="0" w:space="0" w:color="auto"/>
        <w:right w:val="none" w:sz="0" w:space="0" w:color="auto"/>
      </w:divBdr>
    </w:div>
    <w:div w:id="1422020486">
      <w:bodyDiv w:val="1"/>
      <w:marLeft w:val="0"/>
      <w:marRight w:val="0"/>
      <w:marTop w:val="0"/>
      <w:marBottom w:val="0"/>
      <w:divBdr>
        <w:top w:val="none" w:sz="0" w:space="0" w:color="auto"/>
        <w:left w:val="none" w:sz="0" w:space="0" w:color="auto"/>
        <w:bottom w:val="none" w:sz="0" w:space="0" w:color="auto"/>
        <w:right w:val="none" w:sz="0" w:space="0" w:color="auto"/>
      </w:divBdr>
    </w:div>
    <w:div w:id="1424954279">
      <w:bodyDiv w:val="1"/>
      <w:marLeft w:val="0"/>
      <w:marRight w:val="0"/>
      <w:marTop w:val="0"/>
      <w:marBottom w:val="0"/>
      <w:divBdr>
        <w:top w:val="none" w:sz="0" w:space="0" w:color="auto"/>
        <w:left w:val="none" w:sz="0" w:space="0" w:color="auto"/>
        <w:bottom w:val="none" w:sz="0" w:space="0" w:color="auto"/>
        <w:right w:val="none" w:sz="0" w:space="0" w:color="auto"/>
      </w:divBdr>
      <w:divsChild>
        <w:div w:id="2010521618">
          <w:marLeft w:val="0"/>
          <w:marRight w:val="0"/>
          <w:marTop w:val="0"/>
          <w:marBottom w:val="0"/>
          <w:divBdr>
            <w:top w:val="none" w:sz="0" w:space="0" w:color="auto"/>
            <w:left w:val="none" w:sz="0" w:space="0" w:color="auto"/>
            <w:bottom w:val="none" w:sz="0" w:space="0" w:color="auto"/>
            <w:right w:val="none" w:sz="0" w:space="0" w:color="auto"/>
          </w:divBdr>
          <w:divsChild>
            <w:div w:id="1916084987">
              <w:marLeft w:val="0"/>
              <w:marRight w:val="0"/>
              <w:marTop w:val="0"/>
              <w:marBottom w:val="0"/>
              <w:divBdr>
                <w:top w:val="none" w:sz="0" w:space="0" w:color="auto"/>
                <w:left w:val="none" w:sz="0" w:space="0" w:color="auto"/>
                <w:bottom w:val="none" w:sz="0" w:space="0" w:color="auto"/>
                <w:right w:val="none" w:sz="0" w:space="0" w:color="auto"/>
              </w:divBdr>
              <w:divsChild>
                <w:div w:id="690841710">
                  <w:marLeft w:val="0"/>
                  <w:marRight w:val="0"/>
                  <w:marTop w:val="0"/>
                  <w:marBottom w:val="0"/>
                  <w:divBdr>
                    <w:top w:val="none" w:sz="0" w:space="0" w:color="auto"/>
                    <w:left w:val="none" w:sz="0" w:space="0" w:color="auto"/>
                    <w:bottom w:val="none" w:sz="0" w:space="0" w:color="auto"/>
                    <w:right w:val="none" w:sz="0" w:space="0" w:color="auto"/>
                  </w:divBdr>
                  <w:divsChild>
                    <w:div w:id="5250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078445">
      <w:bodyDiv w:val="1"/>
      <w:marLeft w:val="0"/>
      <w:marRight w:val="0"/>
      <w:marTop w:val="0"/>
      <w:marBottom w:val="0"/>
      <w:divBdr>
        <w:top w:val="none" w:sz="0" w:space="0" w:color="auto"/>
        <w:left w:val="none" w:sz="0" w:space="0" w:color="auto"/>
        <w:bottom w:val="none" w:sz="0" w:space="0" w:color="auto"/>
        <w:right w:val="none" w:sz="0" w:space="0" w:color="auto"/>
      </w:divBdr>
    </w:div>
    <w:div w:id="1432244473">
      <w:bodyDiv w:val="1"/>
      <w:marLeft w:val="0"/>
      <w:marRight w:val="0"/>
      <w:marTop w:val="0"/>
      <w:marBottom w:val="0"/>
      <w:divBdr>
        <w:top w:val="none" w:sz="0" w:space="0" w:color="auto"/>
        <w:left w:val="none" w:sz="0" w:space="0" w:color="auto"/>
        <w:bottom w:val="none" w:sz="0" w:space="0" w:color="auto"/>
        <w:right w:val="none" w:sz="0" w:space="0" w:color="auto"/>
      </w:divBdr>
    </w:div>
    <w:div w:id="1437092059">
      <w:bodyDiv w:val="1"/>
      <w:marLeft w:val="0"/>
      <w:marRight w:val="0"/>
      <w:marTop w:val="0"/>
      <w:marBottom w:val="0"/>
      <w:divBdr>
        <w:top w:val="none" w:sz="0" w:space="0" w:color="auto"/>
        <w:left w:val="none" w:sz="0" w:space="0" w:color="auto"/>
        <w:bottom w:val="none" w:sz="0" w:space="0" w:color="auto"/>
        <w:right w:val="none" w:sz="0" w:space="0" w:color="auto"/>
      </w:divBdr>
    </w:div>
    <w:div w:id="1440177389">
      <w:bodyDiv w:val="1"/>
      <w:marLeft w:val="0"/>
      <w:marRight w:val="0"/>
      <w:marTop w:val="0"/>
      <w:marBottom w:val="0"/>
      <w:divBdr>
        <w:top w:val="none" w:sz="0" w:space="0" w:color="auto"/>
        <w:left w:val="none" w:sz="0" w:space="0" w:color="auto"/>
        <w:bottom w:val="none" w:sz="0" w:space="0" w:color="auto"/>
        <w:right w:val="none" w:sz="0" w:space="0" w:color="auto"/>
      </w:divBdr>
      <w:divsChild>
        <w:div w:id="565189466">
          <w:marLeft w:val="0"/>
          <w:marRight w:val="0"/>
          <w:marTop w:val="0"/>
          <w:marBottom w:val="0"/>
          <w:divBdr>
            <w:top w:val="none" w:sz="0" w:space="0" w:color="auto"/>
            <w:left w:val="none" w:sz="0" w:space="0" w:color="auto"/>
            <w:bottom w:val="none" w:sz="0" w:space="0" w:color="auto"/>
            <w:right w:val="none" w:sz="0" w:space="0" w:color="auto"/>
          </w:divBdr>
          <w:divsChild>
            <w:div w:id="1700546396">
              <w:marLeft w:val="0"/>
              <w:marRight w:val="0"/>
              <w:marTop w:val="0"/>
              <w:marBottom w:val="0"/>
              <w:divBdr>
                <w:top w:val="none" w:sz="0" w:space="0" w:color="auto"/>
                <w:left w:val="none" w:sz="0" w:space="0" w:color="auto"/>
                <w:bottom w:val="none" w:sz="0" w:space="0" w:color="auto"/>
                <w:right w:val="none" w:sz="0" w:space="0" w:color="auto"/>
              </w:divBdr>
              <w:divsChild>
                <w:div w:id="18734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44888">
      <w:bodyDiv w:val="1"/>
      <w:marLeft w:val="0"/>
      <w:marRight w:val="0"/>
      <w:marTop w:val="0"/>
      <w:marBottom w:val="0"/>
      <w:divBdr>
        <w:top w:val="none" w:sz="0" w:space="0" w:color="auto"/>
        <w:left w:val="none" w:sz="0" w:space="0" w:color="auto"/>
        <w:bottom w:val="none" w:sz="0" w:space="0" w:color="auto"/>
        <w:right w:val="none" w:sz="0" w:space="0" w:color="auto"/>
      </w:divBdr>
      <w:divsChild>
        <w:div w:id="923957080">
          <w:marLeft w:val="0"/>
          <w:marRight w:val="0"/>
          <w:marTop w:val="0"/>
          <w:marBottom w:val="0"/>
          <w:divBdr>
            <w:top w:val="none" w:sz="0" w:space="0" w:color="auto"/>
            <w:left w:val="none" w:sz="0" w:space="0" w:color="auto"/>
            <w:bottom w:val="none" w:sz="0" w:space="0" w:color="auto"/>
            <w:right w:val="none" w:sz="0" w:space="0" w:color="auto"/>
          </w:divBdr>
          <w:divsChild>
            <w:div w:id="1260873139">
              <w:marLeft w:val="0"/>
              <w:marRight w:val="0"/>
              <w:marTop w:val="0"/>
              <w:marBottom w:val="0"/>
              <w:divBdr>
                <w:top w:val="none" w:sz="0" w:space="0" w:color="auto"/>
                <w:left w:val="none" w:sz="0" w:space="0" w:color="auto"/>
                <w:bottom w:val="none" w:sz="0" w:space="0" w:color="auto"/>
                <w:right w:val="none" w:sz="0" w:space="0" w:color="auto"/>
              </w:divBdr>
              <w:divsChild>
                <w:div w:id="90586071">
                  <w:marLeft w:val="0"/>
                  <w:marRight w:val="0"/>
                  <w:marTop w:val="0"/>
                  <w:marBottom w:val="0"/>
                  <w:divBdr>
                    <w:top w:val="none" w:sz="0" w:space="0" w:color="auto"/>
                    <w:left w:val="none" w:sz="0" w:space="0" w:color="auto"/>
                    <w:bottom w:val="none" w:sz="0" w:space="0" w:color="auto"/>
                    <w:right w:val="none" w:sz="0" w:space="0" w:color="auto"/>
                  </w:divBdr>
                </w:div>
              </w:divsChild>
            </w:div>
            <w:div w:id="1133062438">
              <w:marLeft w:val="0"/>
              <w:marRight w:val="0"/>
              <w:marTop w:val="0"/>
              <w:marBottom w:val="0"/>
              <w:divBdr>
                <w:top w:val="none" w:sz="0" w:space="0" w:color="auto"/>
                <w:left w:val="none" w:sz="0" w:space="0" w:color="auto"/>
                <w:bottom w:val="none" w:sz="0" w:space="0" w:color="auto"/>
                <w:right w:val="none" w:sz="0" w:space="0" w:color="auto"/>
              </w:divBdr>
              <w:divsChild>
                <w:div w:id="9747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22888">
          <w:marLeft w:val="0"/>
          <w:marRight w:val="0"/>
          <w:marTop w:val="0"/>
          <w:marBottom w:val="0"/>
          <w:divBdr>
            <w:top w:val="none" w:sz="0" w:space="0" w:color="auto"/>
            <w:left w:val="none" w:sz="0" w:space="0" w:color="auto"/>
            <w:bottom w:val="none" w:sz="0" w:space="0" w:color="auto"/>
            <w:right w:val="none" w:sz="0" w:space="0" w:color="auto"/>
          </w:divBdr>
          <w:divsChild>
            <w:div w:id="494301509">
              <w:marLeft w:val="0"/>
              <w:marRight w:val="0"/>
              <w:marTop w:val="0"/>
              <w:marBottom w:val="0"/>
              <w:divBdr>
                <w:top w:val="none" w:sz="0" w:space="0" w:color="auto"/>
                <w:left w:val="none" w:sz="0" w:space="0" w:color="auto"/>
                <w:bottom w:val="none" w:sz="0" w:space="0" w:color="auto"/>
                <w:right w:val="none" w:sz="0" w:space="0" w:color="auto"/>
              </w:divBdr>
              <w:divsChild>
                <w:div w:id="6998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2614">
      <w:bodyDiv w:val="1"/>
      <w:marLeft w:val="0"/>
      <w:marRight w:val="0"/>
      <w:marTop w:val="0"/>
      <w:marBottom w:val="0"/>
      <w:divBdr>
        <w:top w:val="none" w:sz="0" w:space="0" w:color="auto"/>
        <w:left w:val="none" w:sz="0" w:space="0" w:color="auto"/>
        <w:bottom w:val="none" w:sz="0" w:space="0" w:color="auto"/>
        <w:right w:val="none" w:sz="0" w:space="0" w:color="auto"/>
      </w:divBdr>
      <w:divsChild>
        <w:div w:id="829710165">
          <w:marLeft w:val="0"/>
          <w:marRight w:val="0"/>
          <w:marTop w:val="0"/>
          <w:marBottom w:val="0"/>
          <w:divBdr>
            <w:top w:val="none" w:sz="0" w:space="0" w:color="auto"/>
            <w:left w:val="none" w:sz="0" w:space="0" w:color="auto"/>
            <w:bottom w:val="none" w:sz="0" w:space="0" w:color="auto"/>
            <w:right w:val="none" w:sz="0" w:space="0" w:color="auto"/>
          </w:divBdr>
          <w:divsChild>
            <w:div w:id="1620606466">
              <w:marLeft w:val="0"/>
              <w:marRight w:val="0"/>
              <w:marTop w:val="0"/>
              <w:marBottom w:val="0"/>
              <w:divBdr>
                <w:top w:val="none" w:sz="0" w:space="0" w:color="auto"/>
                <w:left w:val="none" w:sz="0" w:space="0" w:color="auto"/>
                <w:bottom w:val="none" w:sz="0" w:space="0" w:color="auto"/>
                <w:right w:val="none" w:sz="0" w:space="0" w:color="auto"/>
              </w:divBdr>
              <w:divsChild>
                <w:div w:id="1211267280">
                  <w:marLeft w:val="0"/>
                  <w:marRight w:val="0"/>
                  <w:marTop w:val="0"/>
                  <w:marBottom w:val="0"/>
                  <w:divBdr>
                    <w:top w:val="none" w:sz="0" w:space="0" w:color="auto"/>
                    <w:left w:val="none" w:sz="0" w:space="0" w:color="auto"/>
                    <w:bottom w:val="none" w:sz="0" w:space="0" w:color="auto"/>
                    <w:right w:val="none" w:sz="0" w:space="0" w:color="auto"/>
                  </w:divBdr>
                  <w:divsChild>
                    <w:div w:id="17654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5035">
      <w:bodyDiv w:val="1"/>
      <w:marLeft w:val="0"/>
      <w:marRight w:val="0"/>
      <w:marTop w:val="0"/>
      <w:marBottom w:val="0"/>
      <w:divBdr>
        <w:top w:val="none" w:sz="0" w:space="0" w:color="auto"/>
        <w:left w:val="none" w:sz="0" w:space="0" w:color="auto"/>
        <w:bottom w:val="none" w:sz="0" w:space="0" w:color="auto"/>
        <w:right w:val="none" w:sz="0" w:space="0" w:color="auto"/>
      </w:divBdr>
    </w:div>
    <w:div w:id="1455559844">
      <w:bodyDiv w:val="1"/>
      <w:marLeft w:val="0"/>
      <w:marRight w:val="0"/>
      <w:marTop w:val="0"/>
      <w:marBottom w:val="0"/>
      <w:divBdr>
        <w:top w:val="none" w:sz="0" w:space="0" w:color="auto"/>
        <w:left w:val="none" w:sz="0" w:space="0" w:color="auto"/>
        <w:bottom w:val="none" w:sz="0" w:space="0" w:color="auto"/>
        <w:right w:val="none" w:sz="0" w:space="0" w:color="auto"/>
      </w:divBdr>
    </w:div>
    <w:div w:id="1458180782">
      <w:bodyDiv w:val="1"/>
      <w:marLeft w:val="0"/>
      <w:marRight w:val="0"/>
      <w:marTop w:val="0"/>
      <w:marBottom w:val="0"/>
      <w:divBdr>
        <w:top w:val="none" w:sz="0" w:space="0" w:color="auto"/>
        <w:left w:val="none" w:sz="0" w:space="0" w:color="auto"/>
        <w:bottom w:val="none" w:sz="0" w:space="0" w:color="auto"/>
        <w:right w:val="none" w:sz="0" w:space="0" w:color="auto"/>
      </w:divBdr>
    </w:div>
    <w:div w:id="1458598374">
      <w:bodyDiv w:val="1"/>
      <w:marLeft w:val="0"/>
      <w:marRight w:val="0"/>
      <w:marTop w:val="0"/>
      <w:marBottom w:val="0"/>
      <w:divBdr>
        <w:top w:val="none" w:sz="0" w:space="0" w:color="auto"/>
        <w:left w:val="none" w:sz="0" w:space="0" w:color="auto"/>
        <w:bottom w:val="none" w:sz="0" w:space="0" w:color="auto"/>
        <w:right w:val="none" w:sz="0" w:space="0" w:color="auto"/>
      </w:divBdr>
    </w:div>
    <w:div w:id="1462066331">
      <w:bodyDiv w:val="1"/>
      <w:marLeft w:val="0"/>
      <w:marRight w:val="0"/>
      <w:marTop w:val="0"/>
      <w:marBottom w:val="0"/>
      <w:divBdr>
        <w:top w:val="none" w:sz="0" w:space="0" w:color="auto"/>
        <w:left w:val="none" w:sz="0" w:space="0" w:color="auto"/>
        <w:bottom w:val="none" w:sz="0" w:space="0" w:color="auto"/>
        <w:right w:val="none" w:sz="0" w:space="0" w:color="auto"/>
      </w:divBdr>
    </w:div>
    <w:div w:id="1463115386">
      <w:bodyDiv w:val="1"/>
      <w:marLeft w:val="0"/>
      <w:marRight w:val="0"/>
      <w:marTop w:val="0"/>
      <w:marBottom w:val="0"/>
      <w:divBdr>
        <w:top w:val="none" w:sz="0" w:space="0" w:color="auto"/>
        <w:left w:val="none" w:sz="0" w:space="0" w:color="auto"/>
        <w:bottom w:val="none" w:sz="0" w:space="0" w:color="auto"/>
        <w:right w:val="none" w:sz="0" w:space="0" w:color="auto"/>
      </w:divBdr>
    </w:div>
    <w:div w:id="1463576547">
      <w:bodyDiv w:val="1"/>
      <w:marLeft w:val="0"/>
      <w:marRight w:val="0"/>
      <w:marTop w:val="0"/>
      <w:marBottom w:val="0"/>
      <w:divBdr>
        <w:top w:val="none" w:sz="0" w:space="0" w:color="auto"/>
        <w:left w:val="none" w:sz="0" w:space="0" w:color="auto"/>
        <w:bottom w:val="none" w:sz="0" w:space="0" w:color="auto"/>
        <w:right w:val="none" w:sz="0" w:space="0" w:color="auto"/>
      </w:divBdr>
      <w:divsChild>
        <w:div w:id="1901597866">
          <w:marLeft w:val="0"/>
          <w:marRight w:val="0"/>
          <w:marTop w:val="0"/>
          <w:marBottom w:val="0"/>
          <w:divBdr>
            <w:top w:val="none" w:sz="0" w:space="0" w:color="auto"/>
            <w:left w:val="none" w:sz="0" w:space="0" w:color="auto"/>
            <w:bottom w:val="none" w:sz="0" w:space="0" w:color="auto"/>
            <w:right w:val="none" w:sz="0" w:space="0" w:color="auto"/>
          </w:divBdr>
          <w:divsChild>
            <w:div w:id="1773356363">
              <w:marLeft w:val="0"/>
              <w:marRight w:val="0"/>
              <w:marTop w:val="0"/>
              <w:marBottom w:val="0"/>
              <w:divBdr>
                <w:top w:val="none" w:sz="0" w:space="0" w:color="auto"/>
                <w:left w:val="none" w:sz="0" w:space="0" w:color="auto"/>
                <w:bottom w:val="none" w:sz="0" w:space="0" w:color="auto"/>
                <w:right w:val="none" w:sz="0" w:space="0" w:color="auto"/>
              </w:divBdr>
              <w:divsChild>
                <w:div w:id="7612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8203">
      <w:bodyDiv w:val="1"/>
      <w:marLeft w:val="0"/>
      <w:marRight w:val="0"/>
      <w:marTop w:val="0"/>
      <w:marBottom w:val="0"/>
      <w:divBdr>
        <w:top w:val="none" w:sz="0" w:space="0" w:color="auto"/>
        <w:left w:val="none" w:sz="0" w:space="0" w:color="auto"/>
        <w:bottom w:val="none" w:sz="0" w:space="0" w:color="auto"/>
        <w:right w:val="none" w:sz="0" w:space="0" w:color="auto"/>
      </w:divBdr>
    </w:div>
    <w:div w:id="1468740526">
      <w:bodyDiv w:val="1"/>
      <w:marLeft w:val="0"/>
      <w:marRight w:val="0"/>
      <w:marTop w:val="0"/>
      <w:marBottom w:val="0"/>
      <w:divBdr>
        <w:top w:val="none" w:sz="0" w:space="0" w:color="auto"/>
        <w:left w:val="none" w:sz="0" w:space="0" w:color="auto"/>
        <w:bottom w:val="none" w:sz="0" w:space="0" w:color="auto"/>
        <w:right w:val="none" w:sz="0" w:space="0" w:color="auto"/>
      </w:divBdr>
    </w:div>
    <w:div w:id="1469591573">
      <w:bodyDiv w:val="1"/>
      <w:marLeft w:val="0"/>
      <w:marRight w:val="0"/>
      <w:marTop w:val="0"/>
      <w:marBottom w:val="0"/>
      <w:divBdr>
        <w:top w:val="none" w:sz="0" w:space="0" w:color="auto"/>
        <w:left w:val="none" w:sz="0" w:space="0" w:color="auto"/>
        <w:bottom w:val="none" w:sz="0" w:space="0" w:color="auto"/>
        <w:right w:val="none" w:sz="0" w:space="0" w:color="auto"/>
      </w:divBdr>
    </w:div>
    <w:div w:id="1470898224">
      <w:bodyDiv w:val="1"/>
      <w:marLeft w:val="0"/>
      <w:marRight w:val="0"/>
      <w:marTop w:val="0"/>
      <w:marBottom w:val="0"/>
      <w:divBdr>
        <w:top w:val="none" w:sz="0" w:space="0" w:color="auto"/>
        <w:left w:val="none" w:sz="0" w:space="0" w:color="auto"/>
        <w:bottom w:val="none" w:sz="0" w:space="0" w:color="auto"/>
        <w:right w:val="none" w:sz="0" w:space="0" w:color="auto"/>
      </w:divBdr>
      <w:divsChild>
        <w:div w:id="970743827">
          <w:marLeft w:val="0"/>
          <w:marRight w:val="0"/>
          <w:marTop w:val="0"/>
          <w:marBottom w:val="0"/>
          <w:divBdr>
            <w:top w:val="none" w:sz="0" w:space="0" w:color="auto"/>
            <w:left w:val="none" w:sz="0" w:space="0" w:color="auto"/>
            <w:bottom w:val="none" w:sz="0" w:space="0" w:color="auto"/>
            <w:right w:val="none" w:sz="0" w:space="0" w:color="auto"/>
          </w:divBdr>
        </w:div>
      </w:divsChild>
    </w:div>
    <w:div w:id="1475100970">
      <w:bodyDiv w:val="1"/>
      <w:marLeft w:val="0"/>
      <w:marRight w:val="0"/>
      <w:marTop w:val="0"/>
      <w:marBottom w:val="0"/>
      <w:divBdr>
        <w:top w:val="none" w:sz="0" w:space="0" w:color="auto"/>
        <w:left w:val="none" w:sz="0" w:space="0" w:color="auto"/>
        <w:bottom w:val="none" w:sz="0" w:space="0" w:color="auto"/>
        <w:right w:val="none" w:sz="0" w:space="0" w:color="auto"/>
      </w:divBdr>
    </w:div>
    <w:div w:id="1476484833">
      <w:bodyDiv w:val="1"/>
      <w:marLeft w:val="0"/>
      <w:marRight w:val="0"/>
      <w:marTop w:val="0"/>
      <w:marBottom w:val="0"/>
      <w:divBdr>
        <w:top w:val="none" w:sz="0" w:space="0" w:color="auto"/>
        <w:left w:val="none" w:sz="0" w:space="0" w:color="auto"/>
        <w:bottom w:val="none" w:sz="0" w:space="0" w:color="auto"/>
        <w:right w:val="none" w:sz="0" w:space="0" w:color="auto"/>
      </w:divBdr>
      <w:divsChild>
        <w:div w:id="453213495">
          <w:marLeft w:val="0"/>
          <w:marRight w:val="0"/>
          <w:marTop w:val="0"/>
          <w:marBottom w:val="0"/>
          <w:divBdr>
            <w:top w:val="none" w:sz="0" w:space="0" w:color="auto"/>
            <w:left w:val="none" w:sz="0" w:space="0" w:color="auto"/>
            <w:bottom w:val="none" w:sz="0" w:space="0" w:color="auto"/>
            <w:right w:val="none" w:sz="0" w:space="0" w:color="auto"/>
          </w:divBdr>
          <w:divsChild>
            <w:div w:id="54820817">
              <w:marLeft w:val="0"/>
              <w:marRight w:val="0"/>
              <w:marTop w:val="0"/>
              <w:marBottom w:val="0"/>
              <w:divBdr>
                <w:top w:val="none" w:sz="0" w:space="0" w:color="auto"/>
                <w:left w:val="none" w:sz="0" w:space="0" w:color="auto"/>
                <w:bottom w:val="none" w:sz="0" w:space="0" w:color="auto"/>
                <w:right w:val="none" w:sz="0" w:space="0" w:color="auto"/>
              </w:divBdr>
              <w:divsChild>
                <w:div w:id="1082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006">
      <w:bodyDiv w:val="1"/>
      <w:marLeft w:val="0"/>
      <w:marRight w:val="0"/>
      <w:marTop w:val="0"/>
      <w:marBottom w:val="0"/>
      <w:divBdr>
        <w:top w:val="none" w:sz="0" w:space="0" w:color="auto"/>
        <w:left w:val="none" w:sz="0" w:space="0" w:color="auto"/>
        <w:bottom w:val="none" w:sz="0" w:space="0" w:color="auto"/>
        <w:right w:val="none" w:sz="0" w:space="0" w:color="auto"/>
      </w:divBdr>
      <w:divsChild>
        <w:div w:id="517739377">
          <w:marLeft w:val="0"/>
          <w:marRight w:val="0"/>
          <w:marTop w:val="0"/>
          <w:marBottom w:val="0"/>
          <w:divBdr>
            <w:top w:val="none" w:sz="0" w:space="0" w:color="auto"/>
            <w:left w:val="none" w:sz="0" w:space="0" w:color="auto"/>
            <w:bottom w:val="none" w:sz="0" w:space="0" w:color="auto"/>
            <w:right w:val="none" w:sz="0" w:space="0" w:color="auto"/>
          </w:divBdr>
          <w:divsChild>
            <w:div w:id="1873179393">
              <w:marLeft w:val="0"/>
              <w:marRight w:val="0"/>
              <w:marTop w:val="0"/>
              <w:marBottom w:val="0"/>
              <w:divBdr>
                <w:top w:val="none" w:sz="0" w:space="0" w:color="auto"/>
                <w:left w:val="none" w:sz="0" w:space="0" w:color="auto"/>
                <w:bottom w:val="none" w:sz="0" w:space="0" w:color="auto"/>
                <w:right w:val="none" w:sz="0" w:space="0" w:color="auto"/>
              </w:divBdr>
              <w:divsChild>
                <w:div w:id="728844252">
                  <w:marLeft w:val="0"/>
                  <w:marRight w:val="0"/>
                  <w:marTop w:val="0"/>
                  <w:marBottom w:val="0"/>
                  <w:divBdr>
                    <w:top w:val="none" w:sz="0" w:space="0" w:color="auto"/>
                    <w:left w:val="none" w:sz="0" w:space="0" w:color="auto"/>
                    <w:bottom w:val="none" w:sz="0" w:space="0" w:color="auto"/>
                    <w:right w:val="none" w:sz="0" w:space="0" w:color="auto"/>
                  </w:divBdr>
                  <w:divsChild>
                    <w:div w:id="9852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426759">
      <w:bodyDiv w:val="1"/>
      <w:marLeft w:val="0"/>
      <w:marRight w:val="0"/>
      <w:marTop w:val="0"/>
      <w:marBottom w:val="0"/>
      <w:divBdr>
        <w:top w:val="none" w:sz="0" w:space="0" w:color="auto"/>
        <w:left w:val="none" w:sz="0" w:space="0" w:color="auto"/>
        <w:bottom w:val="none" w:sz="0" w:space="0" w:color="auto"/>
        <w:right w:val="none" w:sz="0" w:space="0" w:color="auto"/>
      </w:divBdr>
      <w:divsChild>
        <w:div w:id="900945248">
          <w:marLeft w:val="0"/>
          <w:marRight w:val="0"/>
          <w:marTop w:val="0"/>
          <w:marBottom w:val="0"/>
          <w:divBdr>
            <w:top w:val="none" w:sz="0" w:space="0" w:color="auto"/>
            <w:left w:val="none" w:sz="0" w:space="0" w:color="auto"/>
            <w:bottom w:val="none" w:sz="0" w:space="0" w:color="auto"/>
            <w:right w:val="none" w:sz="0" w:space="0" w:color="auto"/>
          </w:divBdr>
          <w:divsChild>
            <w:div w:id="239561884">
              <w:marLeft w:val="0"/>
              <w:marRight w:val="0"/>
              <w:marTop w:val="0"/>
              <w:marBottom w:val="0"/>
              <w:divBdr>
                <w:top w:val="none" w:sz="0" w:space="0" w:color="auto"/>
                <w:left w:val="none" w:sz="0" w:space="0" w:color="auto"/>
                <w:bottom w:val="none" w:sz="0" w:space="0" w:color="auto"/>
                <w:right w:val="none" w:sz="0" w:space="0" w:color="auto"/>
              </w:divBdr>
              <w:divsChild>
                <w:div w:id="293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961762">
      <w:bodyDiv w:val="1"/>
      <w:marLeft w:val="0"/>
      <w:marRight w:val="0"/>
      <w:marTop w:val="0"/>
      <w:marBottom w:val="0"/>
      <w:divBdr>
        <w:top w:val="none" w:sz="0" w:space="0" w:color="auto"/>
        <w:left w:val="none" w:sz="0" w:space="0" w:color="auto"/>
        <w:bottom w:val="none" w:sz="0" w:space="0" w:color="auto"/>
        <w:right w:val="none" w:sz="0" w:space="0" w:color="auto"/>
      </w:divBdr>
    </w:div>
    <w:div w:id="1485201090">
      <w:bodyDiv w:val="1"/>
      <w:marLeft w:val="0"/>
      <w:marRight w:val="0"/>
      <w:marTop w:val="0"/>
      <w:marBottom w:val="0"/>
      <w:divBdr>
        <w:top w:val="none" w:sz="0" w:space="0" w:color="auto"/>
        <w:left w:val="none" w:sz="0" w:space="0" w:color="auto"/>
        <w:bottom w:val="none" w:sz="0" w:space="0" w:color="auto"/>
        <w:right w:val="none" w:sz="0" w:space="0" w:color="auto"/>
      </w:divBdr>
    </w:div>
    <w:div w:id="1485514366">
      <w:bodyDiv w:val="1"/>
      <w:marLeft w:val="0"/>
      <w:marRight w:val="0"/>
      <w:marTop w:val="0"/>
      <w:marBottom w:val="0"/>
      <w:divBdr>
        <w:top w:val="none" w:sz="0" w:space="0" w:color="auto"/>
        <w:left w:val="none" w:sz="0" w:space="0" w:color="auto"/>
        <w:bottom w:val="none" w:sz="0" w:space="0" w:color="auto"/>
        <w:right w:val="none" w:sz="0" w:space="0" w:color="auto"/>
      </w:divBdr>
      <w:divsChild>
        <w:div w:id="549653173">
          <w:marLeft w:val="0"/>
          <w:marRight w:val="0"/>
          <w:marTop w:val="0"/>
          <w:marBottom w:val="0"/>
          <w:divBdr>
            <w:top w:val="none" w:sz="0" w:space="0" w:color="auto"/>
            <w:left w:val="none" w:sz="0" w:space="0" w:color="auto"/>
            <w:bottom w:val="none" w:sz="0" w:space="0" w:color="auto"/>
            <w:right w:val="none" w:sz="0" w:space="0" w:color="auto"/>
          </w:divBdr>
          <w:divsChild>
            <w:div w:id="1026907997">
              <w:marLeft w:val="0"/>
              <w:marRight w:val="0"/>
              <w:marTop w:val="0"/>
              <w:marBottom w:val="0"/>
              <w:divBdr>
                <w:top w:val="none" w:sz="0" w:space="0" w:color="auto"/>
                <w:left w:val="none" w:sz="0" w:space="0" w:color="auto"/>
                <w:bottom w:val="none" w:sz="0" w:space="0" w:color="auto"/>
                <w:right w:val="none" w:sz="0" w:space="0" w:color="auto"/>
              </w:divBdr>
              <w:divsChild>
                <w:div w:id="21301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2057">
      <w:bodyDiv w:val="1"/>
      <w:marLeft w:val="0"/>
      <w:marRight w:val="0"/>
      <w:marTop w:val="0"/>
      <w:marBottom w:val="0"/>
      <w:divBdr>
        <w:top w:val="none" w:sz="0" w:space="0" w:color="auto"/>
        <w:left w:val="none" w:sz="0" w:space="0" w:color="auto"/>
        <w:bottom w:val="none" w:sz="0" w:space="0" w:color="auto"/>
        <w:right w:val="none" w:sz="0" w:space="0" w:color="auto"/>
      </w:divBdr>
    </w:div>
    <w:div w:id="1488010861">
      <w:bodyDiv w:val="1"/>
      <w:marLeft w:val="0"/>
      <w:marRight w:val="0"/>
      <w:marTop w:val="0"/>
      <w:marBottom w:val="0"/>
      <w:divBdr>
        <w:top w:val="none" w:sz="0" w:space="0" w:color="auto"/>
        <w:left w:val="none" w:sz="0" w:space="0" w:color="auto"/>
        <w:bottom w:val="none" w:sz="0" w:space="0" w:color="auto"/>
        <w:right w:val="none" w:sz="0" w:space="0" w:color="auto"/>
      </w:divBdr>
      <w:divsChild>
        <w:div w:id="231278892">
          <w:marLeft w:val="0"/>
          <w:marRight w:val="0"/>
          <w:marTop w:val="0"/>
          <w:marBottom w:val="0"/>
          <w:divBdr>
            <w:top w:val="none" w:sz="0" w:space="0" w:color="auto"/>
            <w:left w:val="none" w:sz="0" w:space="0" w:color="auto"/>
            <w:bottom w:val="none" w:sz="0" w:space="0" w:color="auto"/>
            <w:right w:val="none" w:sz="0" w:space="0" w:color="auto"/>
          </w:divBdr>
          <w:divsChild>
            <w:div w:id="775368851">
              <w:marLeft w:val="0"/>
              <w:marRight w:val="0"/>
              <w:marTop w:val="0"/>
              <w:marBottom w:val="0"/>
              <w:divBdr>
                <w:top w:val="none" w:sz="0" w:space="0" w:color="auto"/>
                <w:left w:val="none" w:sz="0" w:space="0" w:color="auto"/>
                <w:bottom w:val="none" w:sz="0" w:space="0" w:color="auto"/>
                <w:right w:val="none" w:sz="0" w:space="0" w:color="auto"/>
              </w:divBdr>
              <w:divsChild>
                <w:div w:id="14011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24402">
      <w:bodyDiv w:val="1"/>
      <w:marLeft w:val="0"/>
      <w:marRight w:val="0"/>
      <w:marTop w:val="0"/>
      <w:marBottom w:val="0"/>
      <w:divBdr>
        <w:top w:val="none" w:sz="0" w:space="0" w:color="auto"/>
        <w:left w:val="none" w:sz="0" w:space="0" w:color="auto"/>
        <w:bottom w:val="none" w:sz="0" w:space="0" w:color="auto"/>
        <w:right w:val="none" w:sz="0" w:space="0" w:color="auto"/>
      </w:divBdr>
    </w:div>
    <w:div w:id="1495485671">
      <w:bodyDiv w:val="1"/>
      <w:marLeft w:val="0"/>
      <w:marRight w:val="0"/>
      <w:marTop w:val="0"/>
      <w:marBottom w:val="0"/>
      <w:divBdr>
        <w:top w:val="none" w:sz="0" w:space="0" w:color="auto"/>
        <w:left w:val="none" w:sz="0" w:space="0" w:color="auto"/>
        <w:bottom w:val="none" w:sz="0" w:space="0" w:color="auto"/>
        <w:right w:val="none" w:sz="0" w:space="0" w:color="auto"/>
      </w:divBdr>
    </w:div>
    <w:div w:id="1495996195">
      <w:bodyDiv w:val="1"/>
      <w:marLeft w:val="0"/>
      <w:marRight w:val="0"/>
      <w:marTop w:val="0"/>
      <w:marBottom w:val="0"/>
      <w:divBdr>
        <w:top w:val="none" w:sz="0" w:space="0" w:color="auto"/>
        <w:left w:val="none" w:sz="0" w:space="0" w:color="auto"/>
        <w:bottom w:val="none" w:sz="0" w:space="0" w:color="auto"/>
        <w:right w:val="none" w:sz="0" w:space="0" w:color="auto"/>
      </w:divBdr>
    </w:div>
    <w:div w:id="1496605439">
      <w:bodyDiv w:val="1"/>
      <w:marLeft w:val="0"/>
      <w:marRight w:val="0"/>
      <w:marTop w:val="0"/>
      <w:marBottom w:val="0"/>
      <w:divBdr>
        <w:top w:val="none" w:sz="0" w:space="0" w:color="auto"/>
        <w:left w:val="none" w:sz="0" w:space="0" w:color="auto"/>
        <w:bottom w:val="none" w:sz="0" w:space="0" w:color="auto"/>
        <w:right w:val="none" w:sz="0" w:space="0" w:color="auto"/>
      </w:divBdr>
    </w:div>
    <w:div w:id="1498496835">
      <w:bodyDiv w:val="1"/>
      <w:marLeft w:val="0"/>
      <w:marRight w:val="0"/>
      <w:marTop w:val="0"/>
      <w:marBottom w:val="0"/>
      <w:divBdr>
        <w:top w:val="none" w:sz="0" w:space="0" w:color="auto"/>
        <w:left w:val="none" w:sz="0" w:space="0" w:color="auto"/>
        <w:bottom w:val="none" w:sz="0" w:space="0" w:color="auto"/>
        <w:right w:val="none" w:sz="0" w:space="0" w:color="auto"/>
      </w:divBdr>
    </w:div>
    <w:div w:id="1501695764">
      <w:bodyDiv w:val="1"/>
      <w:marLeft w:val="0"/>
      <w:marRight w:val="0"/>
      <w:marTop w:val="0"/>
      <w:marBottom w:val="0"/>
      <w:divBdr>
        <w:top w:val="none" w:sz="0" w:space="0" w:color="auto"/>
        <w:left w:val="none" w:sz="0" w:space="0" w:color="auto"/>
        <w:bottom w:val="none" w:sz="0" w:space="0" w:color="auto"/>
        <w:right w:val="none" w:sz="0" w:space="0" w:color="auto"/>
      </w:divBdr>
      <w:divsChild>
        <w:div w:id="1413090484">
          <w:marLeft w:val="0"/>
          <w:marRight w:val="0"/>
          <w:marTop w:val="0"/>
          <w:marBottom w:val="0"/>
          <w:divBdr>
            <w:top w:val="none" w:sz="0" w:space="0" w:color="auto"/>
            <w:left w:val="none" w:sz="0" w:space="0" w:color="auto"/>
            <w:bottom w:val="none" w:sz="0" w:space="0" w:color="auto"/>
            <w:right w:val="none" w:sz="0" w:space="0" w:color="auto"/>
          </w:divBdr>
          <w:divsChild>
            <w:div w:id="1350788582">
              <w:marLeft w:val="0"/>
              <w:marRight w:val="0"/>
              <w:marTop w:val="0"/>
              <w:marBottom w:val="0"/>
              <w:divBdr>
                <w:top w:val="none" w:sz="0" w:space="0" w:color="auto"/>
                <w:left w:val="none" w:sz="0" w:space="0" w:color="auto"/>
                <w:bottom w:val="none" w:sz="0" w:space="0" w:color="auto"/>
                <w:right w:val="none" w:sz="0" w:space="0" w:color="auto"/>
              </w:divBdr>
              <w:divsChild>
                <w:div w:id="689647588">
                  <w:marLeft w:val="0"/>
                  <w:marRight w:val="0"/>
                  <w:marTop w:val="0"/>
                  <w:marBottom w:val="0"/>
                  <w:divBdr>
                    <w:top w:val="none" w:sz="0" w:space="0" w:color="auto"/>
                    <w:left w:val="none" w:sz="0" w:space="0" w:color="auto"/>
                    <w:bottom w:val="none" w:sz="0" w:space="0" w:color="auto"/>
                    <w:right w:val="none" w:sz="0" w:space="0" w:color="auto"/>
                  </w:divBdr>
                  <w:divsChild>
                    <w:div w:id="14723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769231">
      <w:bodyDiv w:val="1"/>
      <w:marLeft w:val="0"/>
      <w:marRight w:val="0"/>
      <w:marTop w:val="0"/>
      <w:marBottom w:val="0"/>
      <w:divBdr>
        <w:top w:val="none" w:sz="0" w:space="0" w:color="auto"/>
        <w:left w:val="none" w:sz="0" w:space="0" w:color="auto"/>
        <w:bottom w:val="none" w:sz="0" w:space="0" w:color="auto"/>
        <w:right w:val="none" w:sz="0" w:space="0" w:color="auto"/>
      </w:divBdr>
    </w:div>
    <w:div w:id="1503274137">
      <w:bodyDiv w:val="1"/>
      <w:marLeft w:val="0"/>
      <w:marRight w:val="0"/>
      <w:marTop w:val="0"/>
      <w:marBottom w:val="0"/>
      <w:divBdr>
        <w:top w:val="none" w:sz="0" w:space="0" w:color="auto"/>
        <w:left w:val="none" w:sz="0" w:space="0" w:color="auto"/>
        <w:bottom w:val="none" w:sz="0" w:space="0" w:color="auto"/>
        <w:right w:val="none" w:sz="0" w:space="0" w:color="auto"/>
      </w:divBdr>
    </w:div>
    <w:div w:id="1504517304">
      <w:bodyDiv w:val="1"/>
      <w:marLeft w:val="0"/>
      <w:marRight w:val="0"/>
      <w:marTop w:val="0"/>
      <w:marBottom w:val="0"/>
      <w:divBdr>
        <w:top w:val="none" w:sz="0" w:space="0" w:color="auto"/>
        <w:left w:val="none" w:sz="0" w:space="0" w:color="auto"/>
        <w:bottom w:val="none" w:sz="0" w:space="0" w:color="auto"/>
        <w:right w:val="none" w:sz="0" w:space="0" w:color="auto"/>
      </w:divBdr>
    </w:div>
    <w:div w:id="1504931839">
      <w:bodyDiv w:val="1"/>
      <w:marLeft w:val="0"/>
      <w:marRight w:val="0"/>
      <w:marTop w:val="0"/>
      <w:marBottom w:val="0"/>
      <w:divBdr>
        <w:top w:val="none" w:sz="0" w:space="0" w:color="auto"/>
        <w:left w:val="none" w:sz="0" w:space="0" w:color="auto"/>
        <w:bottom w:val="none" w:sz="0" w:space="0" w:color="auto"/>
        <w:right w:val="none" w:sz="0" w:space="0" w:color="auto"/>
      </w:divBdr>
    </w:div>
    <w:div w:id="1506049455">
      <w:bodyDiv w:val="1"/>
      <w:marLeft w:val="0"/>
      <w:marRight w:val="0"/>
      <w:marTop w:val="0"/>
      <w:marBottom w:val="0"/>
      <w:divBdr>
        <w:top w:val="none" w:sz="0" w:space="0" w:color="auto"/>
        <w:left w:val="none" w:sz="0" w:space="0" w:color="auto"/>
        <w:bottom w:val="none" w:sz="0" w:space="0" w:color="auto"/>
        <w:right w:val="none" w:sz="0" w:space="0" w:color="auto"/>
      </w:divBdr>
    </w:div>
    <w:div w:id="1508209641">
      <w:bodyDiv w:val="1"/>
      <w:marLeft w:val="0"/>
      <w:marRight w:val="0"/>
      <w:marTop w:val="0"/>
      <w:marBottom w:val="0"/>
      <w:divBdr>
        <w:top w:val="none" w:sz="0" w:space="0" w:color="auto"/>
        <w:left w:val="none" w:sz="0" w:space="0" w:color="auto"/>
        <w:bottom w:val="none" w:sz="0" w:space="0" w:color="auto"/>
        <w:right w:val="none" w:sz="0" w:space="0" w:color="auto"/>
      </w:divBdr>
    </w:div>
    <w:div w:id="1508716214">
      <w:bodyDiv w:val="1"/>
      <w:marLeft w:val="0"/>
      <w:marRight w:val="0"/>
      <w:marTop w:val="0"/>
      <w:marBottom w:val="0"/>
      <w:divBdr>
        <w:top w:val="none" w:sz="0" w:space="0" w:color="auto"/>
        <w:left w:val="none" w:sz="0" w:space="0" w:color="auto"/>
        <w:bottom w:val="none" w:sz="0" w:space="0" w:color="auto"/>
        <w:right w:val="none" w:sz="0" w:space="0" w:color="auto"/>
      </w:divBdr>
      <w:divsChild>
        <w:div w:id="408158490">
          <w:marLeft w:val="0"/>
          <w:marRight w:val="0"/>
          <w:marTop w:val="0"/>
          <w:marBottom w:val="0"/>
          <w:divBdr>
            <w:top w:val="none" w:sz="0" w:space="0" w:color="auto"/>
            <w:left w:val="none" w:sz="0" w:space="0" w:color="auto"/>
            <w:bottom w:val="none" w:sz="0" w:space="0" w:color="auto"/>
            <w:right w:val="none" w:sz="0" w:space="0" w:color="auto"/>
          </w:divBdr>
          <w:divsChild>
            <w:div w:id="1995643473">
              <w:marLeft w:val="0"/>
              <w:marRight w:val="0"/>
              <w:marTop w:val="0"/>
              <w:marBottom w:val="0"/>
              <w:divBdr>
                <w:top w:val="none" w:sz="0" w:space="0" w:color="auto"/>
                <w:left w:val="none" w:sz="0" w:space="0" w:color="auto"/>
                <w:bottom w:val="none" w:sz="0" w:space="0" w:color="auto"/>
                <w:right w:val="none" w:sz="0" w:space="0" w:color="auto"/>
              </w:divBdr>
              <w:divsChild>
                <w:div w:id="1238634867">
                  <w:marLeft w:val="0"/>
                  <w:marRight w:val="0"/>
                  <w:marTop w:val="0"/>
                  <w:marBottom w:val="0"/>
                  <w:divBdr>
                    <w:top w:val="none" w:sz="0" w:space="0" w:color="auto"/>
                    <w:left w:val="none" w:sz="0" w:space="0" w:color="auto"/>
                    <w:bottom w:val="none" w:sz="0" w:space="0" w:color="auto"/>
                    <w:right w:val="none" w:sz="0" w:space="0" w:color="auto"/>
                  </w:divBdr>
                  <w:divsChild>
                    <w:div w:id="5985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032525">
      <w:bodyDiv w:val="1"/>
      <w:marLeft w:val="0"/>
      <w:marRight w:val="0"/>
      <w:marTop w:val="0"/>
      <w:marBottom w:val="0"/>
      <w:divBdr>
        <w:top w:val="none" w:sz="0" w:space="0" w:color="auto"/>
        <w:left w:val="none" w:sz="0" w:space="0" w:color="auto"/>
        <w:bottom w:val="none" w:sz="0" w:space="0" w:color="auto"/>
        <w:right w:val="none" w:sz="0" w:space="0" w:color="auto"/>
      </w:divBdr>
    </w:div>
    <w:div w:id="1517382779">
      <w:bodyDiv w:val="1"/>
      <w:marLeft w:val="0"/>
      <w:marRight w:val="0"/>
      <w:marTop w:val="0"/>
      <w:marBottom w:val="0"/>
      <w:divBdr>
        <w:top w:val="none" w:sz="0" w:space="0" w:color="auto"/>
        <w:left w:val="none" w:sz="0" w:space="0" w:color="auto"/>
        <w:bottom w:val="none" w:sz="0" w:space="0" w:color="auto"/>
        <w:right w:val="none" w:sz="0" w:space="0" w:color="auto"/>
      </w:divBdr>
      <w:divsChild>
        <w:div w:id="1230461991">
          <w:marLeft w:val="0"/>
          <w:marRight w:val="0"/>
          <w:marTop w:val="0"/>
          <w:marBottom w:val="0"/>
          <w:divBdr>
            <w:top w:val="none" w:sz="0" w:space="0" w:color="auto"/>
            <w:left w:val="none" w:sz="0" w:space="0" w:color="auto"/>
            <w:bottom w:val="none" w:sz="0" w:space="0" w:color="auto"/>
            <w:right w:val="none" w:sz="0" w:space="0" w:color="auto"/>
          </w:divBdr>
          <w:divsChild>
            <w:div w:id="9332134">
              <w:marLeft w:val="0"/>
              <w:marRight w:val="0"/>
              <w:marTop w:val="0"/>
              <w:marBottom w:val="0"/>
              <w:divBdr>
                <w:top w:val="none" w:sz="0" w:space="0" w:color="auto"/>
                <w:left w:val="none" w:sz="0" w:space="0" w:color="auto"/>
                <w:bottom w:val="none" w:sz="0" w:space="0" w:color="auto"/>
                <w:right w:val="none" w:sz="0" w:space="0" w:color="auto"/>
              </w:divBdr>
              <w:divsChild>
                <w:div w:id="4611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39008">
      <w:bodyDiv w:val="1"/>
      <w:marLeft w:val="0"/>
      <w:marRight w:val="0"/>
      <w:marTop w:val="0"/>
      <w:marBottom w:val="0"/>
      <w:divBdr>
        <w:top w:val="none" w:sz="0" w:space="0" w:color="auto"/>
        <w:left w:val="none" w:sz="0" w:space="0" w:color="auto"/>
        <w:bottom w:val="none" w:sz="0" w:space="0" w:color="auto"/>
        <w:right w:val="none" w:sz="0" w:space="0" w:color="auto"/>
      </w:divBdr>
      <w:divsChild>
        <w:div w:id="1790395412">
          <w:marLeft w:val="0"/>
          <w:marRight w:val="0"/>
          <w:marTop w:val="0"/>
          <w:marBottom w:val="0"/>
          <w:divBdr>
            <w:top w:val="none" w:sz="0" w:space="0" w:color="auto"/>
            <w:left w:val="none" w:sz="0" w:space="0" w:color="auto"/>
            <w:bottom w:val="none" w:sz="0" w:space="0" w:color="auto"/>
            <w:right w:val="none" w:sz="0" w:space="0" w:color="auto"/>
          </w:divBdr>
          <w:divsChild>
            <w:div w:id="733351659">
              <w:marLeft w:val="0"/>
              <w:marRight w:val="0"/>
              <w:marTop w:val="0"/>
              <w:marBottom w:val="0"/>
              <w:divBdr>
                <w:top w:val="none" w:sz="0" w:space="0" w:color="auto"/>
                <w:left w:val="none" w:sz="0" w:space="0" w:color="auto"/>
                <w:bottom w:val="none" w:sz="0" w:space="0" w:color="auto"/>
                <w:right w:val="none" w:sz="0" w:space="0" w:color="auto"/>
              </w:divBdr>
              <w:divsChild>
                <w:div w:id="9902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47260">
      <w:bodyDiv w:val="1"/>
      <w:marLeft w:val="0"/>
      <w:marRight w:val="0"/>
      <w:marTop w:val="0"/>
      <w:marBottom w:val="0"/>
      <w:divBdr>
        <w:top w:val="none" w:sz="0" w:space="0" w:color="auto"/>
        <w:left w:val="none" w:sz="0" w:space="0" w:color="auto"/>
        <w:bottom w:val="none" w:sz="0" w:space="0" w:color="auto"/>
        <w:right w:val="none" w:sz="0" w:space="0" w:color="auto"/>
      </w:divBdr>
      <w:divsChild>
        <w:div w:id="2137865563">
          <w:marLeft w:val="0"/>
          <w:marRight w:val="0"/>
          <w:marTop w:val="0"/>
          <w:marBottom w:val="0"/>
          <w:divBdr>
            <w:top w:val="none" w:sz="0" w:space="0" w:color="auto"/>
            <w:left w:val="none" w:sz="0" w:space="0" w:color="auto"/>
            <w:bottom w:val="none" w:sz="0" w:space="0" w:color="auto"/>
            <w:right w:val="none" w:sz="0" w:space="0" w:color="auto"/>
          </w:divBdr>
          <w:divsChild>
            <w:div w:id="919603350">
              <w:marLeft w:val="0"/>
              <w:marRight w:val="0"/>
              <w:marTop w:val="0"/>
              <w:marBottom w:val="0"/>
              <w:divBdr>
                <w:top w:val="none" w:sz="0" w:space="0" w:color="auto"/>
                <w:left w:val="none" w:sz="0" w:space="0" w:color="auto"/>
                <w:bottom w:val="none" w:sz="0" w:space="0" w:color="auto"/>
                <w:right w:val="none" w:sz="0" w:space="0" w:color="auto"/>
              </w:divBdr>
              <w:divsChild>
                <w:div w:id="935870263">
                  <w:marLeft w:val="0"/>
                  <w:marRight w:val="0"/>
                  <w:marTop w:val="0"/>
                  <w:marBottom w:val="0"/>
                  <w:divBdr>
                    <w:top w:val="none" w:sz="0" w:space="0" w:color="auto"/>
                    <w:left w:val="none" w:sz="0" w:space="0" w:color="auto"/>
                    <w:bottom w:val="none" w:sz="0" w:space="0" w:color="auto"/>
                    <w:right w:val="none" w:sz="0" w:space="0" w:color="auto"/>
                  </w:divBdr>
                  <w:divsChild>
                    <w:div w:id="21283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25770">
      <w:bodyDiv w:val="1"/>
      <w:marLeft w:val="0"/>
      <w:marRight w:val="0"/>
      <w:marTop w:val="0"/>
      <w:marBottom w:val="0"/>
      <w:divBdr>
        <w:top w:val="none" w:sz="0" w:space="0" w:color="auto"/>
        <w:left w:val="none" w:sz="0" w:space="0" w:color="auto"/>
        <w:bottom w:val="none" w:sz="0" w:space="0" w:color="auto"/>
        <w:right w:val="none" w:sz="0" w:space="0" w:color="auto"/>
      </w:divBdr>
    </w:div>
    <w:div w:id="1532182177">
      <w:bodyDiv w:val="1"/>
      <w:marLeft w:val="0"/>
      <w:marRight w:val="0"/>
      <w:marTop w:val="0"/>
      <w:marBottom w:val="0"/>
      <w:divBdr>
        <w:top w:val="none" w:sz="0" w:space="0" w:color="auto"/>
        <w:left w:val="none" w:sz="0" w:space="0" w:color="auto"/>
        <w:bottom w:val="none" w:sz="0" w:space="0" w:color="auto"/>
        <w:right w:val="none" w:sz="0" w:space="0" w:color="auto"/>
      </w:divBdr>
    </w:div>
    <w:div w:id="1541823216">
      <w:bodyDiv w:val="1"/>
      <w:marLeft w:val="0"/>
      <w:marRight w:val="0"/>
      <w:marTop w:val="0"/>
      <w:marBottom w:val="0"/>
      <w:divBdr>
        <w:top w:val="none" w:sz="0" w:space="0" w:color="auto"/>
        <w:left w:val="none" w:sz="0" w:space="0" w:color="auto"/>
        <w:bottom w:val="none" w:sz="0" w:space="0" w:color="auto"/>
        <w:right w:val="none" w:sz="0" w:space="0" w:color="auto"/>
      </w:divBdr>
    </w:div>
    <w:div w:id="1541943340">
      <w:bodyDiv w:val="1"/>
      <w:marLeft w:val="0"/>
      <w:marRight w:val="0"/>
      <w:marTop w:val="0"/>
      <w:marBottom w:val="0"/>
      <w:divBdr>
        <w:top w:val="none" w:sz="0" w:space="0" w:color="auto"/>
        <w:left w:val="none" w:sz="0" w:space="0" w:color="auto"/>
        <w:bottom w:val="none" w:sz="0" w:space="0" w:color="auto"/>
        <w:right w:val="none" w:sz="0" w:space="0" w:color="auto"/>
      </w:divBdr>
    </w:div>
    <w:div w:id="1549999153">
      <w:bodyDiv w:val="1"/>
      <w:marLeft w:val="0"/>
      <w:marRight w:val="0"/>
      <w:marTop w:val="0"/>
      <w:marBottom w:val="0"/>
      <w:divBdr>
        <w:top w:val="none" w:sz="0" w:space="0" w:color="auto"/>
        <w:left w:val="none" w:sz="0" w:space="0" w:color="auto"/>
        <w:bottom w:val="none" w:sz="0" w:space="0" w:color="auto"/>
        <w:right w:val="none" w:sz="0" w:space="0" w:color="auto"/>
      </w:divBdr>
      <w:divsChild>
        <w:div w:id="1189028208">
          <w:marLeft w:val="0"/>
          <w:marRight w:val="0"/>
          <w:marTop w:val="0"/>
          <w:marBottom w:val="0"/>
          <w:divBdr>
            <w:top w:val="none" w:sz="0" w:space="0" w:color="auto"/>
            <w:left w:val="none" w:sz="0" w:space="0" w:color="auto"/>
            <w:bottom w:val="none" w:sz="0" w:space="0" w:color="auto"/>
            <w:right w:val="none" w:sz="0" w:space="0" w:color="auto"/>
          </w:divBdr>
          <w:divsChild>
            <w:div w:id="1264194346">
              <w:marLeft w:val="0"/>
              <w:marRight w:val="0"/>
              <w:marTop w:val="0"/>
              <w:marBottom w:val="0"/>
              <w:divBdr>
                <w:top w:val="none" w:sz="0" w:space="0" w:color="auto"/>
                <w:left w:val="none" w:sz="0" w:space="0" w:color="auto"/>
                <w:bottom w:val="none" w:sz="0" w:space="0" w:color="auto"/>
                <w:right w:val="none" w:sz="0" w:space="0" w:color="auto"/>
              </w:divBdr>
              <w:divsChild>
                <w:div w:id="10598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92531">
      <w:bodyDiv w:val="1"/>
      <w:marLeft w:val="0"/>
      <w:marRight w:val="0"/>
      <w:marTop w:val="0"/>
      <w:marBottom w:val="0"/>
      <w:divBdr>
        <w:top w:val="none" w:sz="0" w:space="0" w:color="auto"/>
        <w:left w:val="none" w:sz="0" w:space="0" w:color="auto"/>
        <w:bottom w:val="none" w:sz="0" w:space="0" w:color="auto"/>
        <w:right w:val="none" w:sz="0" w:space="0" w:color="auto"/>
      </w:divBdr>
    </w:div>
    <w:div w:id="1553535221">
      <w:bodyDiv w:val="1"/>
      <w:marLeft w:val="0"/>
      <w:marRight w:val="0"/>
      <w:marTop w:val="0"/>
      <w:marBottom w:val="0"/>
      <w:divBdr>
        <w:top w:val="none" w:sz="0" w:space="0" w:color="auto"/>
        <w:left w:val="none" w:sz="0" w:space="0" w:color="auto"/>
        <w:bottom w:val="none" w:sz="0" w:space="0" w:color="auto"/>
        <w:right w:val="none" w:sz="0" w:space="0" w:color="auto"/>
      </w:divBdr>
    </w:div>
    <w:div w:id="1560439076">
      <w:bodyDiv w:val="1"/>
      <w:marLeft w:val="0"/>
      <w:marRight w:val="0"/>
      <w:marTop w:val="0"/>
      <w:marBottom w:val="0"/>
      <w:divBdr>
        <w:top w:val="none" w:sz="0" w:space="0" w:color="auto"/>
        <w:left w:val="none" w:sz="0" w:space="0" w:color="auto"/>
        <w:bottom w:val="none" w:sz="0" w:space="0" w:color="auto"/>
        <w:right w:val="none" w:sz="0" w:space="0" w:color="auto"/>
      </w:divBdr>
      <w:divsChild>
        <w:div w:id="2092071663">
          <w:marLeft w:val="0"/>
          <w:marRight w:val="0"/>
          <w:marTop w:val="0"/>
          <w:marBottom w:val="0"/>
          <w:divBdr>
            <w:top w:val="none" w:sz="0" w:space="0" w:color="auto"/>
            <w:left w:val="none" w:sz="0" w:space="0" w:color="auto"/>
            <w:bottom w:val="none" w:sz="0" w:space="0" w:color="auto"/>
            <w:right w:val="none" w:sz="0" w:space="0" w:color="auto"/>
          </w:divBdr>
          <w:divsChild>
            <w:div w:id="789855743">
              <w:marLeft w:val="0"/>
              <w:marRight w:val="0"/>
              <w:marTop w:val="0"/>
              <w:marBottom w:val="0"/>
              <w:divBdr>
                <w:top w:val="none" w:sz="0" w:space="0" w:color="auto"/>
                <w:left w:val="none" w:sz="0" w:space="0" w:color="auto"/>
                <w:bottom w:val="none" w:sz="0" w:space="0" w:color="auto"/>
                <w:right w:val="none" w:sz="0" w:space="0" w:color="auto"/>
              </w:divBdr>
              <w:divsChild>
                <w:div w:id="2017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14527">
      <w:bodyDiv w:val="1"/>
      <w:marLeft w:val="0"/>
      <w:marRight w:val="0"/>
      <w:marTop w:val="0"/>
      <w:marBottom w:val="0"/>
      <w:divBdr>
        <w:top w:val="none" w:sz="0" w:space="0" w:color="auto"/>
        <w:left w:val="none" w:sz="0" w:space="0" w:color="auto"/>
        <w:bottom w:val="none" w:sz="0" w:space="0" w:color="auto"/>
        <w:right w:val="none" w:sz="0" w:space="0" w:color="auto"/>
      </w:divBdr>
    </w:div>
    <w:div w:id="1567687457">
      <w:bodyDiv w:val="1"/>
      <w:marLeft w:val="0"/>
      <w:marRight w:val="0"/>
      <w:marTop w:val="0"/>
      <w:marBottom w:val="0"/>
      <w:divBdr>
        <w:top w:val="none" w:sz="0" w:space="0" w:color="auto"/>
        <w:left w:val="none" w:sz="0" w:space="0" w:color="auto"/>
        <w:bottom w:val="none" w:sz="0" w:space="0" w:color="auto"/>
        <w:right w:val="none" w:sz="0" w:space="0" w:color="auto"/>
      </w:divBdr>
    </w:div>
    <w:div w:id="1568343283">
      <w:bodyDiv w:val="1"/>
      <w:marLeft w:val="0"/>
      <w:marRight w:val="0"/>
      <w:marTop w:val="0"/>
      <w:marBottom w:val="0"/>
      <w:divBdr>
        <w:top w:val="none" w:sz="0" w:space="0" w:color="auto"/>
        <w:left w:val="none" w:sz="0" w:space="0" w:color="auto"/>
        <w:bottom w:val="none" w:sz="0" w:space="0" w:color="auto"/>
        <w:right w:val="none" w:sz="0" w:space="0" w:color="auto"/>
      </w:divBdr>
    </w:div>
    <w:div w:id="1569026689">
      <w:bodyDiv w:val="1"/>
      <w:marLeft w:val="0"/>
      <w:marRight w:val="0"/>
      <w:marTop w:val="0"/>
      <w:marBottom w:val="0"/>
      <w:divBdr>
        <w:top w:val="none" w:sz="0" w:space="0" w:color="auto"/>
        <w:left w:val="none" w:sz="0" w:space="0" w:color="auto"/>
        <w:bottom w:val="none" w:sz="0" w:space="0" w:color="auto"/>
        <w:right w:val="none" w:sz="0" w:space="0" w:color="auto"/>
      </w:divBdr>
    </w:div>
    <w:div w:id="1569534356">
      <w:bodyDiv w:val="1"/>
      <w:marLeft w:val="0"/>
      <w:marRight w:val="0"/>
      <w:marTop w:val="0"/>
      <w:marBottom w:val="0"/>
      <w:divBdr>
        <w:top w:val="none" w:sz="0" w:space="0" w:color="auto"/>
        <w:left w:val="none" w:sz="0" w:space="0" w:color="auto"/>
        <w:bottom w:val="none" w:sz="0" w:space="0" w:color="auto"/>
        <w:right w:val="none" w:sz="0" w:space="0" w:color="auto"/>
      </w:divBdr>
    </w:div>
    <w:div w:id="1571580144">
      <w:bodyDiv w:val="1"/>
      <w:marLeft w:val="0"/>
      <w:marRight w:val="0"/>
      <w:marTop w:val="0"/>
      <w:marBottom w:val="0"/>
      <w:divBdr>
        <w:top w:val="none" w:sz="0" w:space="0" w:color="auto"/>
        <w:left w:val="none" w:sz="0" w:space="0" w:color="auto"/>
        <w:bottom w:val="none" w:sz="0" w:space="0" w:color="auto"/>
        <w:right w:val="none" w:sz="0" w:space="0" w:color="auto"/>
      </w:divBdr>
    </w:div>
    <w:div w:id="1572891596">
      <w:bodyDiv w:val="1"/>
      <w:marLeft w:val="0"/>
      <w:marRight w:val="0"/>
      <w:marTop w:val="0"/>
      <w:marBottom w:val="0"/>
      <w:divBdr>
        <w:top w:val="none" w:sz="0" w:space="0" w:color="auto"/>
        <w:left w:val="none" w:sz="0" w:space="0" w:color="auto"/>
        <w:bottom w:val="none" w:sz="0" w:space="0" w:color="auto"/>
        <w:right w:val="none" w:sz="0" w:space="0" w:color="auto"/>
      </w:divBdr>
      <w:divsChild>
        <w:div w:id="959452617">
          <w:marLeft w:val="0"/>
          <w:marRight w:val="0"/>
          <w:marTop w:val="0"/>
          <w:marBottom w:val="0"/>
          <w:divBdr>
            <w:top w:val="none" w:sz="0" w:space="0" w:color="auto"/>
            <w:left w:val="none" w:sz="0" w:space="0" w:color="auto"/>
            <w:bottom w:val="none" w:sz="0" w:space="0" w:color="auto"/>
            <w:right w:val="none" w:sz="0" w:space="0" w:color="auto"/>
          </w:divBdr>
          <w:divsChild>
            <w:div w:id="292903904">
              <w:marLeft w:val="0"/>
              <w:marRight w:val="0"/>
              <w:marTop w:val="0"/>
              <w:marBottom w:val="0"/>
              <w:divBdr>
                <w:top w:val="none" w:sz="0" w:space="0" w:color="auto"/>
                <w:left w:val="none" w:sz="0" w:space="0" w:color="auto"/>
                <w:bottom w:val="none" w:sz="0" w:space="0" w:color="auto"/>
                <w:right w:val="none" w:sz="0" w:space="0" w:color="auto"/>
              </w:divBdr>
              <w:divsChild>
                <w:div w:id="19676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0934">
      <w:bodyDiv w:val="1"/>
      <w:marLeft w:val="0"/>
      <w:marRight w:val="0"/>
      <w:marTop w:val="0"/>
      <w:marBottom w:val="0"/>
      <w:divBdr>
        <w:top w:val="none" w:sz="0" w:space="0" w:color="auto"/>
        <w:left w:val="none" w:sz="0" w:space="0" w:color="auto"/>
        <w:bottom w:val="none" w:sz="0" w:space="0" w:color="auto"/>
        <w:right w:val="none" w:sz="0" w:space="0" w:color="auto"/>
      </w:divBdr>
    </w:div>
    <w:div w:id="1576280389">
      <w:bodyDiv w:val="1"/>
      <w:marLeft w:val="0"/>
      <w:marRight w:val="0"/>
      <w:marTop w:val="0"/>
      <w:marBottom w:val="0"/>
      <w:divBdr>
        <w:top w:val="none" w:sz="0" w:space="0" w:color="auto"/>
        <w:left w:val="none" w:sz="0" w:space="0" w:color="auto"/>
        <w:bottom w:val="none" w:sz="0" w:space="0" w:color="auto"/>
        <w:right w:val="none" w:sz="0" w:space="0" w:color="auto"/>
      </w:divBdr>
      <w:divsChild>
        <w:div w:id="788015821">
          <w:marLeft w:val="0"/>
          <w:marRight w:val="0"/>
          <w:marTop w:val="0"/>
          <w:marBottom w:val="0"/>
          <w:divBdr>
            <w:top w:val="none" w:sz="0" w:space="0" w:color="auto"/>
            <w:left w:val="none" w:sz="0" w:space="0" w:color="auto"/>
            <w:bottom w:val="none" w:sz="0" w:space="0" w:color="auto"/>
            <w:right w:val="none" w:sz="0" w:space="0" w:color="auto"/>
          </w:divBdr>
        </w:div>
        <w:div w:id="422412011">
          <w:marLeft w:val="0"/>
          <w:marRight w:val="0"/>
          <w:marTop w:val="0"/>
          <w:marBottom w:val="0"/>
          <w:divBdr>
            <w:top w:val="none" w:sz="0" w:space="0" w:color="auto"/>
            <w:left w:val="none" w:sz="0" w:space="0" w:color="auto"/>
            <w:bottom w:val="none" w:sz="0" w:space="0" w:color="auto"/>
            <w:right w:val="none" w:sz="0" w:space="0" w:color="auto"/>
          </w:divBdr>
        </w:div>
        <w:div w:id="611786646">
          <w:marLeft w:val="0"/>
          <w:marRight w:val="0"/>
          <w:marTop w:val="0"/>
          <w:marBottom w:val="0"/>
          <w:divBdr>
            <w:top w:val="none" w:sz="0" w:space="0" w:color="auto"/>
            <w:left w:val="none" w:sz="0" w:space="0" w:color="auto"/>
            <w:bottom w:val="none" w:sz="0" w:space="0" w:color="auto"/>
            <w:right w:val="none" w:sz="0" w:space="0" w:color="auto"/>
          </w:divBdr>
        </w:div>
      </w:divsChild>
    </w:div>
    <w:div w:id="1583173182">
      <w:bodyDiv w:val="1"/>
      <w:marLeft w:val="0"/>
      <w:marRight w:val="0"/>
      <w:marTop w:val="0"/>
      <w:marBottom w:val="0"/>
      <w:divBdr>
        <w:top w:val="none" w:sz="0" w:space="0" w:color="auto"/>
        <w:left w:val="none" w:sz="0" w:space="0" w:color="auto"/>
        <w:bottom w:val="none" w:sz="0" w:space="0" w:color="auto"/>
        <w:right w:val="none" w:sz="0" w:space="0" w:color="auto"/>
      </w:divBdr>
    </w:div>
    <w:div w:id="1583179269">
      <w:bodyDiv w:val="1"/>
      <w:marLeft w:val="0"/>
      <w:marRight w:val="0"/>
      <w:marTop w:val="0"/>
      <w:marBottom w:val="0"/>
      <w:divBdr>
        <w:top w:val="none" w:sz="0" w:space="0" w:color="auto"/>
        <w:left w:val="none" w:sz="0" w:space="0" w:color="auto"/>
        <w:bottom w:val="none" w:sz="0" w:space="0" w:color="auto"/>
        <w:right w:val="none" w:sz="0" w:space="0" w:color="auto"/>
      </w:divBdr>
    </w:div>
    <w:div w:id="1586039272">
      <w:bodyDiv w:val="1"/>
      <w:marLeft w:val="0"/>
      <w:marRight w:val="0"/>
      <w:marTop w:val="0"/>
      <w:marBottom w:val="0"/>
      <w:divBdr>
        <w:top w:val="none" w:sz="0" w:space="0" w:color="auto"/>
        <w:left w:val="none" w:sz="0" w:space="0" w:color="auto"/>
        <w:bottom w:val="none" w:sz="0" w:space="0" w:color="auto"/>
        <w:right w:val="none" w:sz="0" w:space="0" w:color="auto"/>
      </w:divBdr>
    </w:div>
    <w:div w:id="1587421800">
      <w:bodyDiv w:val="1"/>
      <w:marLeft w:val="0"/>
      <w:marRight w:val="0"/>
      <w:marTop w:val="0"/>
      <w:marBottom w:val="0"/>
      <w:divBdr>
        <w:top w:val="none" w:sz="0" w:space="0" w:color="auto"/>
        <w:left w:val="none" w:sz="0" w:space="0" w:color="auto"/>
        <w:bottom w:val="none" w:sz="0" w:space="0" w:color="auto"/>
        <w:right w:val="none" w:sz="0" w:space="0" w:color="auto"/>
      </w:divBdr>
      <w:divsChild>
        <w:div w:id="622080636">
          <w:marLeft w:val="0"/>
          <w:marRight w:val="0"/>
          <w:marTop w:val="0"/>
          <w:marBottom w:val="0"/>
          <w:divBdr>
            <w:top w:val="none" w:sz="0" w:space="0" w:color="auto"/>
            <w:left w:val="none" w:sz="0" w:space="0" w:color="auto"/>
            <w:bottom w:val="none" w:sz="0" w:space="0" w:color="auto"/>
            <w:right w:val="none" w:sz="0" w:space="0" w:color="auto"/>
          </w:divBdr>
          <w:divsChild>
            <w:div w:id="1533150903">
              <w:marLeft w:val="0"/>
              <w:marRight w:val="0"/>
              <w:marTop w:val="0"/>
              <w:marBottom w:val="0"/>
              <w:divBdr>
                <w:top w:val="none" w:sz="0" w:space="0" w:color="auto"/>
                <w:left w:val="none" w:sz="0" w:space="0" w:color="auto"/>
                <w:bottom w:val="none" w:sz="0" w:space="0" w:color="auto"/>
                <w:right w:val="none" w:sz="0" w:space="0" w:color="auto"/>
              </w:divBdr>
              <w:divsChild>
                <w:div w:id="15269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7362">
      <w:bodyDiv w:val="1"/>
      <w:marLeft w:val="0"/>
      <w:marRight w:val="0"/>
      <w:marTop w:val="0"/>
      <w:marBottom w:val="0"/>
      <w:divBdr>
        <w:top w:val="none" w:sz="0" w:space="0" w:color="auto"/>
        <w:left w:val="none" w:sz="0" w:space="0" w:color="auto"/>
        <w:bottom w:val="none" w:sz="0" w:space="0" w:color="auto"/>
        <w:right w:val="none" w:sz="0" w:space="0" w:color="auto"/>
      </w:divBdr>
    </w:div>
    <w:div w:id="1589381589">
      <w:bodyDiv w:val="1"/>
      <w:marLeft w:val="0"/>
      <w:marRight w:val="0"/>
      <w:marTop w:val="0"/>
      <w:marBottom w:val="0"/>
      <w:divBdr>
        <w:top w:val="none" w:sz="0" w:space="0" w:color="auto"/>
        <w:left w:val="none" w:sz="0" w:space="0" w:color="auto"/>
        <w:bottom w:val="none" w:sz="0" w:space="0" w:color="auto"/>
        <w:right w:val="none" w:sz="0" w:space="0" w:color="auto"/>
      </w:divBdr>
      <w:divsChild>
        <w:div w:id="1279525413">
          <w:marLeft w:val="0"/>
          <w:marRight w:val="0"/>
          <w:marTop w:val="0"/>
          <w:marBottom w:val="0"/>
          <w:divBdr>
            <w:top w:val="none" w:sz="0" w:space="0" w:color="auto"/>
            <w:left w:val="none" w:sz="0" w:space="0" w:color="auto"/>
            <w:bottom w:val="none" w:sz="0" w:space="0" w:color="auto"/>
            <w:right w:val="none" w:sz="0" w:space="0" w:color="auto"/>
          </w:divBdr>
          <w:divsChild>
            <w:div w:id="14356246">
              <w:marLeft w:val="0"/>
              <w:marRight w:val="0"/>
              <w:marTop w:val="0"/>
              <w:marBottom w:val="0"/>
              <w:divBdr>
                <w:top w:val="none" w:sz="0" w:space="0" w:color="auto"/>
                <w:left w:val="none" w:sz="0" w:space="0" w:color="auto"/>
                <w:bottom w:val="none" w:sz="0" w:space="0" w:color="auto"/>
                <w:right w:val="none" w:sz="0" w:space="0" w:color="auto"/>
              </w:divBdr>
              <w:divsChild>
                <w:div w:id="143857959">
                  <w:marLeft w:val="0"/>
                  <w:marRight w:val="0"/>
                  <w:marTop w:val="0"/>
                  <w:marBottom w:val="0"/>
                  <w:divBdr>
                    <w:top w:val="none" w:sz="0" w:space="0" w:color="auto"/>
                    <w:left w:val="none" w:sz="0" w:space="0" w:color="auto"/>
                    <w:bottom w:val="none" w:sz="0" w:space="0" w:color="auto"/>
                    <w:right w:val="none" w:sz="0" w:space="0" w:color="auto"/>
                  </w:divBdr>
                  <w:divsChild>
                    <w:div w:id="1231042184">
                      <w:marLeft w:val="0"/>
                      <w:marRight w:val="0"/>
                      <w:marTop w:val="0"/>
                      <w:marBottom w:val="0"/>
                      <w:divBdr>
                        <w:top w:val="none" w:sz="0" w:space="0" w:color="auto"/>
                        <w:left w:val="none" w:sz="0" w:space="0" w:color="auto"/>
                        <w:bottom w:val="none" w:sz="0" w:space="0" w:color="auto"/>
                        <w:right w:val="none" w:sz="0" w:space="0" w:color="auto"/>
                      </w:divBdr>
                      <w:divsChild>
                        <w:div w:id="462357046">
                          <w:marLeft w:val="0"/>
                          <w:marRight w:val="0"/>
                          <w:marTop w:val="0"/>
                          <w:marBottom w:val="0"/>
                          <w:divBdr>
                            <w:top w:val="none" w:sz="0" w:space="0" w:color="auto"/>
                            <w:left w:val="none" w:sz="0" w:space="0" w:color="auto"/>
                            <w:bottom w:val="none" w:sz="0" w:space="0" w:color="auto"/>
                            <w:right w:val="none" w:sz="0" w:space="0" w:color="auto"/>
                          </w:divBdr>
                          <w:divsChild>
                            <w:div w:id="233318450">
                              <w:marLeft w:val="0"/>
                              <w:marRight w:val="0"/>
                              <w:marTop w:val="0"/>
                              <w:marBottom w:val="0"/>
                              <w:divBdr>
                                <w:top w:val="none" w:sz="0" w:space="0" w:color="auto"/>
                                <w:left w:val="none" w:sz="0" w:space="0" w:color="auto"/>
                                <w:bottom w:val="none" w:sz="0" w:space="0" w:color="auto"/>
                                <w:right w:val="none" w:sz="0" w:space="0" w:color="auto"/>
                              </w:divBdr>
                              <w:divsChild>
                                <w:div w:id="926118260">
                                  <w:marLeft w:val="0"/>
                                  <w:marRight w:val="0"/>
                                  <w:marTop w:val="0"/>
                                  <w:marBottom w:val="0"/>
                                  <w:divBdr>
                                    <w:top w:val="none" w:sz="0" w:space="0" w:color="auto"/>
                                    <w:left w:val="none" w:sz="0" w:space="0" w:color="auto"/>
                                    <w:bottom w:val="none" w:sz="0" w:space="0" w:color="auto"/>
                                    <w:right w:val="none" w:sz="0" w:space="0" w:color="auto"/>
                                  </w:divBdr>
                                  <w:divsChild>
                                    <w:div w:id="7136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812266">
              <w:marLeft w:val="0"/>
              <w:marRight w:val="0"/>
              <w:marTop w:val="0"/>
              <w:marBottom w:val="0"/>
              <w:divBdr>
                <w:top w:val="none" w:sz="0" w:space="0" w:color="auto"/>
                <w:left w:val="none" w:sz="0" w:space="0" w:color="auto"/>
                <w:bottom w:val="none" w:sz="0" w:space="0" w:color="auto"/>
                <w:right w:val="none" w:sz="0" w:space="0" w:color="auto"/>
              </w:divBdr>
              <w:divsChild>
                <w:div w:id="427116541">
                  <w:marLeft w:val="0"/>
                  <w:marRight w:val="0"/>
                  <w:marTop w:val="0"/>
                  <w:marBottom w:val="0"/>
                  <w:divBdr>
                    <w:top w:val="none" w:sz="0" w:space="0" w:color="auto"/>
                    <w:left w:val="none" w:sz="0" w:space="0" w:color="auto"/>
                    <w:bottom w:val="none" w:sz="0" w:space="0" w:color="auto"/>
                    <w:right w:val="none" w:sz="0" w:space="0" w:color="auto"/>
                  </w:divBdr>
                  <w:divsChild>
                    <w:div w:id="1582333584">
                      <w:marLeft w:val="0"/>
                      <w:marRight w:val="0"/>
                      <w:marTop w:val="0"/>
                      <w:marBottom w:val="0"/>
                      <w:divBdr>
                        <w:top w:val="none" w:sz="0" w:space="0" w:color="auto"/>
                        <w:left w:val="none" w:sz="0" w:space="0" w:color="auto"/>
                        <w:bottom w:val="none" w:sz="0" w:space="0" w:color="auto"/>
                        <w:right w:val="none" w:sz="0" w:space="0" w:color="auto"/>
                      </w:divBdr>
                      <w:divsChild>
                        <w:div w:id="1475563551">
                          <w:marLeft w:val="0"/>
                          <w:marRight w:val="0"/>
                          <w:marTop w:val="0"/>
                          <w:marBottom w:val="0"/>
                          <w:divBdr>
                            <w:top w:val="none" w:sz="0" w:space="0" w:color="auto"/>
                            <w:left w:val="none" w:sz="0" w:space="0" w:color="auto"/>
                            <w:bottom w:val="none" w:sz="0" w:space="0" w:color="auto"/>
                            <w:right w:val="none" w:sz="0" w:space="0" w:color="auto"/>
                          </w:divBdr>
                          <w:divsChild>
                            <w:div w:id="268202054">
                              <w:marLeft w:val="0"/>
                              <w:marRight w:val="0"/>
                              <w:marTop w:val="0"/>
                              <w:marBottom w:val="0"/>
                              <w:divBdr>
                                <w:top w:val="none" w:sz="0" w:space="0" w:color="auto"/>
                                <w:left w:val="none" w:sz="0" w:space="0" w:color="auto"/>
                                <w:bottom w:val="none" w:sz="0" w:space="0" w:color="auto"/>
                                <w:right w:val="none" w:sz="0" w:space="0" w:color="auto"/>
                              </w:divBdr>
                              <w:divsChild>
                                <w:div w:id="54789007">
                                  <w:marLeft w:val="0"/>
                                  <w:marRight w:val="0"/>
                                  <w:marTop w:val="0"/>
                                  <w:marBottom w:val="0"/>
                                  <w:divBdr>
                                    <w:top w:val="none" w:sz="0" w:space="0" w:color="auto"/>
                                    <w:left w:val="none" w:sz="0" w:space="0" w:color="auto"/>
                                    <w:bottom w:val="none" w:sz="0" w:space="0" w:color="auto"/>
                                    <w:right w:val="none" w:sz="0" w:space="0" w:color="auto"/>
                                  </w:divBdr>
                                  <w:divsChild>
                                    <w:div w:id="1826899111">
                                      <w:marLeft w:val="0"/>
                                      <w:marRight w:val="0"/>
                                      <w:marTop w:val="0"/>
                                      <w:marBottom w:val="0"/>
                                      <w:divBdr>
                                        <w:top w:val="none" w:sz="0" w:space="0" w:color="auto"/>
                                        <w:left w:val="none" w:sz="0" w:space="0" w:color="auto"/>
                                        <w:bottom w:val="none" w:sz="0" w:space="0" w:color="auto"/>
                                        <w:right w:val="none" w:sz="0" w:space="0" w:color="auto"/>
                                      </w:divBdr>
                                      <w:divsChild>
                                        <w:div w:id="1229345167">
                                          <w:marLeft w:val="0"/>
                                          <w:marRight w:val="0"/>
                                          <w:marTop w:val="0"/>
                                          <w:marBottom w:val="0"/>
                                          <w:divBdr>
                                            <w:top w:val="none" w:sz="0" w:space="0" w:color="auto"/>
                                            <w:left w:val="none" w:sz="0" w:space="0" w:color="auto"/>
                                            <w:bottom w:val="none" w:sz="0" w:space="0" w:color="auto"/>
                                            <w:right w:val="none" w:sz="0" w:space="0" w:color="auto"/>
                                          </w:divBdr>
                                        </w:div>
                                      </w:divsChild>
                                    </w:div>
                                    <w:div w:id="1896769633">
                                      <w:marLeft w:val="0"/>
                                      <w:marRight w:val="0"/>
                                      <w:marTop w:val="0"/>
                                      <w:marBottom w:val="0"/>
                                      <w:divBdr>
                                        <w:top w:val="none" w:sz="0" w:space="0" w:color="auto"/>
                                        <w:left w:val="none" w:sz="0" w:space="0" w:color="auto"/>
                                        <w:bottom w:val="none" w:sz="0" w:space="0" w:color="auto"/>
                                        <w:right w:val="none" w:sz="0" w:space="0" w:color="auto"/>
                                      </w:divBdr>
                                      <w:divsChild>
                                        <w:div w:id="1070924930">
                                          <w:marLeft w:val="0"/>
                                          <w:marRight w:val="0"/>
                                          <w:marTop w:val="0"/>
                                          <w:marBottom w:val="0"/>
                                          <w:divBdr>
                                            <w:top w:val="none" w:sz="0" w:space="0" w:color="auto"/>
                                            <w:left w:val="none" w:sz="0" w:space="0" w:color="auto"/>
                                            <w:bottom w:val="none" w:sz="0" w:space="0" w:color="auto"/>
                                            <w:right w:val="none" w:sz="0" w:space="0" w:color="auto"/>
                                          </w:divBdr>
                                          <w:divsChild>
                                            <w:div w:id="386684812">
                                              <w:marLeft w:val="0"/>
                                              <w:marRight w:val="0"/>
                                              <w:marTop w:val="0"/>
                                              <w:marBottom w:val="0"/>
                                              <w:divBdr>
                                                <w:top w:val="none" w:sz="0" w:space="0" w:color="auto"/>
                                                <w:left w:val="none" w:sz="0" w:space="0" w:color="auto"/>
                                                <w:bottom w:val="none" w:sz="0" w:space="0" w:color="auto"/>
                                                <w:right w:val="none" w:sz="0" w:space="0" w:color="auto"/>
                                              </w:divBdr>
                                              <w:divsChild>
                                                <w:div w:id="11998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038732">
                      <w:marLeft w:val="0"/>
                      <w:marRight w:val="0"/>
                      <w:marTop w:val="0"/>
                      <w:marBottom w:val="0"/>
                      <w:divBdr>
                        <w:top w:val="none" w:sz="0" w:space="0" w:color="auto"/>
                        <w:left w:val="none" w:sz="0" w:space="0" w:color="auto"/>
                        <w:bottom w:val="none" w:sz="0" w:space="0" w:color="auto"/>
                        <w:right w:val="none" w:sz="0" w:space="0" w:color="auto"/>
                      </w:divBdr>
                      <w:divsChild>
                        <w:div w:id="108745092">
                          <w:marLeft w:val="0"/>
                          <w:marRight w:val="0"/>
                          <w:marTop w:val="0"/>
                          <w:marBottom w:val="0"/>
                          <w:divBdr>
                            <w:top w:val="none" w:sz="0" w:space="0" w:color="auto"/>
                            <w:left w:val="none" w:sz="0" w:space="0" w:color="auto"/>
                            <w:bottom w:val="none" w:sz="0" w:space="0" w:color="auto"/>
                            <w:right w:val="none" w:sz="0" w:space="0" w:color="auto"/>
                          </w:divBdr>
                          <w:divsChild>
                            <w:div w:id="1914703059">
                              <w:marLeft w:val="0"/>
                              <w:marRight w:val="0"/>
                              <w:marTop w:val="0"/>
                              <w:marBottom w:val="0"/>
                              <w:divBdr>
                                <w:top w:val="none" w:sz="0" w:space="0" w:color="auto"/>
                                <w:left w:val="none" w:sz="0" w:space="0" w:color="auto"/>
                                <w:bottom w:val="none" w:sz="0" w:space="0" w:color="auto"/>
                                <w:right w:val="none" w:sz="0" w:space="0" w:color="auto"/>
                              </w:divBdr>
                              <w:divsChild>
                                <w:div w:id="1315182900">
                                  <w:marLeft w:val="0"/>
                                  <w:marRight w:val="0"/>
                                  <w:marTop w:val="0"/>
                                  <w:marBottom w:val="0"/>
                                  <w:divBdr>
                                    <w:top w:val="none" w:sz="0" w:space="0" w:color="auto"/>
                                    <w:left w:val="none" w:sz="0" w:space="0" w:color="auto"/>
                                    <w:bottom w:val="none" w:sz="0" w:space="0" w:color="auto"/>
                                    <w:right w:val="none" w:sz="0" w:space="0" w:color="auto"/>
                                  </w:divBdr>
                                  <w:divsChild>
                                    <w:div w:id="2212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91651">
                          <w:marLeft w:val="0"/>
                          <w:marRight w:val="0"/>
                          <w:marTop w:val="0"/>
                          <w:marBottom w:val="0"/>
                          <w:divBdr>
                            <w:top w:val="none" w:sz="0" w:space="0" w:color="auto"/>
                            <w:left w:val="none" w:sz="0" w:space="0" w:color="auto"/>
                            <w:bottom w:val="none" w:sz="0" w:space="0" w:color="auto"/>
                            <w:right w:val="none" w:sz="0" w:space="0" w:color="auto"/>
                          </w:divBdr>
                          <w:divsChild>
                            <w:div w:id="1101145864">
                              <w:marLeft w:val="0"/>
                              <w:marRight w:val="0"/>
                              <w:marTop w:val="0"/>
                              <w:marBottom w:val="0"/>
                              <w:divBdr>
                                <w:top w:val="none" w:sz="0" w:space="0" w:color="auto"/>
                                <w:left w:val="none" w:sz="0" w:space="0" w:color="auto"/>
                                <w:bottom w:val="none" w:sz="0" w:space="0" w:color="auto"/>
                                <w:right w:val="none" w:sz="0" w:space="0" w:color="auto"/>
                              </w:divBdr>
                              <w:divsChild>
                                <w:div w:id="16038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769441">
              <w:marLeft w:val="0"/>
              <w:marRight w:val="0"/>
              <w:marTop w:val="0"/>
              <w:marBottom w:val="0"/>
              <w:divBdr>
                <w:top w:val="none" w:sz="0" w:space="0" w:color="auto"/>
                <w:left w:val="none" w:sz="0" w:space="0" w:color="auto"/>
                <w:bottom w:val="none" w:sz="0" w:space="0" w:color="auto"/>
                <w:right w:val="none" w:sz="0" w:space="0" w:color="auto"/>
              </w:divBdr>
              <w:divsChild>
                <w:div w:id="1260257555">
                  <w:marLeft w:val="0"/>
                  <w:marRight w:val="0"/>
                  <w:marTop w:val="0"/>
                  <w:marBottom w:val="0"/>
                  <w:divBdr>
                    <w:top w:val="none" w:sz="0" w:space="0" w:color="auto"/>
                    <w:left w:val="none" w:sz="0" w:space="0" w:color="auto"/>
                    <w:bottom w:val="none" w:sz="0" w:space="0" w:color="auto"/>
                    <w:right w:val="none" w:sz="0" w:space="0" w:color="auto"/>
                  </w:divBdr>
                  <w:divsChild>
                    <w:div w:id="1663653813">
                      <w:marLeft w:val="0"/>
                      <w:marRight w:val="0"/>
                      <w:marTop w:val="0"/>
                      <w:marBottom w:val="0"/>
                      <w:divBdr>
                        <w:top w:val="none" w:sz="0" w:space="0" w:color="auto"/>
                        <w:left w:val="none" w:sz="0" w:space="0" w:color="auto"/>
                        <w:bottom w:val="none" w:sz="0" w:space="0" w:color="auto"/>
                        <w:right w:val="none" w:sz="0" w:space="0" w:color="auto"/>
                      </w:divBdr>
                      <w:divsChild>
                        <w:div w:id="2125153291">
                          <w:marLeft w:val="0"/>
                          <w:marRight w:val="0"/>
                          <w:marTop w:val="0"/>
                          <w:marBottom w:val="0"/>
                          <w:divBdr>
                            <w:top w:val="none" w:sz="0" w:space="0" w:color="auto"/>
                            <w:left w:val="none" w:sz="0" w:space="0" w:color="auto"/>
                            <w:bottom w:val="none" w:sz="0" w:space="0" w:color="auto"/>
                            <w:right w:val="none" w:sz="0" w:space="0" w:color="auto"/>
                          </w:divBdr>
                          <w:divsChild>
                            <w:div w:id="1173253598">
                              <w:marLeft w:val="0"/>
                              <w:marRight w:val="0"/>
                              <w:marTop w:val="0"/>
                              <w:marBottom w:val="0"/>
                              <w:divBdr>
                                <w:top w:val="none" w:sz="0" w:space="0" w:color="auto"/>
                                <w:left w:val="none" w:sz="0" w:space="0" w:color="auto"/>
                                <w:bottom w:val="none" w:sz="0" w:space="0" w:color="auto"/>
                                <w:right w:val="none" w:sz="0" w:space="0" w:color="auto"/>
                              </w:divBdr>
                              <w:divsChild>
                                <w:div w:id="1022433630">
                                  <w:marLeft w:val="0"/>
                                  <w:marRight w:val="0"/>
                                  <w:marTop w:val="0"/>
                                  <w:marBottom w:val="0"/>
                                  <w:divBdr>
                                    <w:top w:val="none" w:sz="0" w:space="0" w:color="auto"/>
                                    <w:left w:val="none" w:sz="0" w:space="0" w:color="auto"/>
                                    <w:bottom w:val="none" w:sz="0" w:space="0" w:color="auto"/>
                                    <w:right w:val="none" w:sz="0" w:space="0" w:color="auto"/>
                                  </w:divBdr>
                                  <w:divsChild>
                                    <w:div w:id="87819051">
                                      <w:marLeft w:val="0"/>
                                      <w:marRight w:val="0"/>
                                      <w:marTop w:val="0"/>
                                      <w:marBottom w:val="0"/>
                                      <w:divBdr>
                                        <w:top w:val="none" w:sz="0" w:space="0" w:color="auto"/>
                                        <w:left w:val="none" w:sz="0" w:space="0" w:color="auto"/>
                                        <w:bottom w:val="none" w:sz="0" w:space="0" w:color="auto"/>
                                        <w:right w:val="none" w:sz="0" w:space="0" w:color="auto"/>
                                      </w:divBdr>
                                      <w:divsChild>
                                        <w:div w:id="1574074647">
                                          <w:marLeft w:val="0"/>
                                          <w:marRight w:val="0"/>
                                          <w:marTop w:val="0"/>
                                          <w:marBottom w:val="0"/>
                                          <w:divBdr>
                                            <w:top w:val="none" w:sz="0" w:space="0" w:color="auto"/>
                                            <w:left w:val="none" w:sz="0" w:space="0" w:color="auto"/>
                                            <w:bottom w:val="none" w:sz="0" w:space="0" w:color="auto"/>
                                            <w:right w:val="none" w:sz="0" w:space="0" w:color="auto"/>
                                          </w:divBdr>
                                        </w:div>
                                      </w:divsChild>
                                    </w:div>
                                    <w:div w:id="1236738916">
                                      <w:marLeft w:val="0"/>
                                      <w:marRight w:val="0"/>
                                      <w:marTop w:val="0"/>
                                      <w:marBottom w:val="0"/>
                                      <w:divBdr>
                                        <w:top w:val="none" w:sz="0" w:space="0" w:color="auto"/>
                                        <w:left w:val="none" w:sz="0" w:space="0" w:color="auto"/>
                                        <w:bottom w:val="none" w:sz="0" w:space="0" w:color="auto"/>
                                        <w:right w:val="none" w:sz="0" w:space="0" w:color="auto"/>
                                      </w:divBdr>
                                      <w:divsChild>
                                        <w:div w:id="2050253566">
                                          <w:marLeft w:val="0"/>
                                          <w:marRight w:val="0"/>
                                          <w:marTop w:val="0"/>
                                          <w:marBottom w:val="0"/>
                                          <w:divBdr>
                                            <w:top w:val="none" w:sz="0" w:space="0" w:color="auto"/>
                                            <w:left w:val="none" w:sz="0" w:space="0" w:color="auto"/>
                                            <w:bottom w:val="none" w:sz="0" w:space="0" w:color="auto"/>
                                            <w:right w:val="none" w:sz="0" w:space="0" w:color="auto"/>
                                          </w:divBdr>
                                        </w:div>
                                      </w:divsChild>
                                    </w:div>
                                    <w:div w:id="1106995853">
                                      <w:marLeft w:val="0"/>
                                      <w:marRight w:val="0"/>
                                      <w:marTop w:val="0"/>
                                      <w:marBottom w:val="0"/>
                                      <w:divBdr>
                                        <w:top w:val="none" w:sz="0" w:space="0" w:color="auto"/>
                                        <w:left w:val="none" w:sz="0" w:space="0" w:color="auto"/>
                                        <w:bottom w:val="none" w:sz="0" w:space="0" w:color="auto"/>
                                        <w:right w:val="none" w:sz="0" w:space="0" w:color="auto"/>
                                      </w:divBdr>
                                      <w:divsChild>
                                        <w:div w:id="13571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31114">
              <w:marLeft w:val="0"/>
              <w:marRight w:val="0"/>
              <w:marTop w:val="0"/>
              <w:marBottom w:val="0"/>
              <w:divBdr>
                <w:top w:val="none" w:sz="0" w:space="0" w:color="auto"/>
                <w:left w:val="none" w:sz="0" w:space="0" w:color="auto"/>
                <w:bottom w:val="none" w:sz="0" w:space="0" w:color="auto"/>
                <w:right w:val="none" w:sz="0" w:space="0" w:color="auto"/>
              </w:divBdr>
              <w:divsChild>
                <w:div w:id="1178084111">
                  <w:marLeft w:val="0"/>
                  <w:marRight w:val="0"/>
                  <w:marTop w:val="0"/>
                  <w:marBottom w:val="0"/>
                  <w:divBdr>
                    <w:top w:val="none" w:sz="0" w:space="0" w:color="auto"/>
                    <w:left w:val="none" w:sz="0" w:space="0" w:color="auto"/>
                    <w:bottom w:val="none" w:sz="0" w:space="0" w:color="auto"/>
                    <w:right w:val="none" w:sz="0" w:space="0" w:color="auto"/>
                  </w:divBdr>
                  <w:divsChild>
                    <w:div w:id="8282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84898">
      <w:bodyDiv w:val="1"/>
      <w:marLeft w:val="0"/>
      <w:marRight w:val="0"/>
      <w:marTop w:val="0"/>
      <w:marBottom w:val="0"/>
      <w:divBdr>
        <w:top w:val="none" w:sz="0" w:space="0" w:color="auto"/>
        <w:left w:val="none" w:sz="0" w:space="0" w:color="auto"/>
        <w:bottom w:val="none" w:sz="0" w:space="0" w:color="auto"/>
        <w:right w:val="none" w:sz="0" w:space="0" w:color="auto"/>
      </w:divBdr>
    </w:div>
    <w:div w:id="1597638018">
      <w:bodyDiv w:val="1"/>
      <w:marLeft w:val="0"/>
      <w:marRight w:val="0"/>
      <w:marTop w:val="0"/>
      <w:marBottom w:val="0"/>
      <w:divBdr>
        <w:top w:val="none" w:sz="0" w:space="0" w:color="auto"/>
        <w:left w:val="none" w:sz="0" w:space="0" w:color="auto"/>
        <w:bottom w:val="none" w:sz="0" w:space="0" w:color="auto"/>
        <w:right w:val="none" w:sz="0" w:space="0" w:color="auto"/>
      </w:divBdr>
    </w:div>
    <w:div w:id="1598979209">
      <w:bodyDiv w:val="1"/>
      <w:marLeft w:val="0"/>
      <w:marRight w:val="0"/>
      <w:marTop w:val="0"/>
      <w:marBottom w:val="0"/>
      <w:divBdr>
        <w:top w:val="none" w:sz="0" w:space="0" w:color="auto"/>
        <w:left w:val="none" w:sz="0" w:space="0" w:color="auto"/>
        <w:bottom w:val="none" w:sz="0" w:space="0" w:color="auto"/>
        <w:right w:val="none" w:sz="0" w:space="0" w:color="auto"/>
      </w:divBdr>
    </w:div>
    <w:div w:id="1599947774">
      <w:bodyDiv w:val="1"/>
      <w:marLeft w:val="0"/>
      <w:marRight w:val="0"/>
      <w:marTop w:val="0"/>
      <w:marBottom w:val="0"/>
      <w:divBdr>
        <w:top w:val="none" w:sz="0" w:space="0" w:color="auto"/>
        <w:left w:val="none" w:sz="0" w:space="0" w:color="auto"/>
        <w:bottom w:val="none" w:sz="0" w:space="0" w:color="auto"/>
        <w:right w:val="none" w:sz="0" w:space="0" w:color="auto"/>
      </w:divBdr>
    </w:div>
    <w:div w:id="1601840936">
      <w:bodyDiv w:val="1"/>
      <w:marLeft w:val="0"/>
      <w:marRight w:val="0"/>
      <w:marTop w:val="0"/>
      <w:marBottom w:val="0"/>
      <w:divBdr>
        <w:top w:val="none" w:sz="0" w:space="0" w:color="auto"/>
        <w:left w:val="none" w:sz="0" w:space="0" w:color="auto"/>
        <w:bottom w:val="none" w:sz="0" w:space="0" w:color="auto"/>
        <w:right w:val="none" w:sz="0" w:space="0" w:color="auto"/>
      </w:divBdr>
      <w:divsChild>
        <w:div w:id="1402486757">
          <w:marLeft w:val="0"/>
          <w:marRight w:val="0"/>
          <w:marTop w:val="0"/>
          <w:marBottom w:val="0"/>
          <w:divBdr>
            <w:top w:val="none" w:sz="0" w:space="0" w:color="auto"/>
            <w:left w:val="none" w:sz="0" w:space="0" w:color="auto"/>
            <w:bottom w:val="none" w:sz="0" w:space="0" w:color="auto"/>
            <w:right w:val="none" w:sz="0" w:space="0" w:color="auto"/>
          </w:divBdr>
          <w:divsChild>
            <w:div w:id="858740694">
              <w:marLeft w:val="0"/>
              <w:marRight w:val="0"/>
              <w:marTop w:val="0"/>
              <w:marBottom w:val="0"/>
              <w:divBdr>
                <w:top w:val="none" w:sz="0" w:space="0" w:color="auto"/>
                <w:left w:val="none" w:sz="0" w:space="0" w:color="auto"/>
                <w:bottom w:val="none" w:sz="0" w:space="0" w:color="auto"/>
                <w:right w:val="none" w:sz="0" w:space="0" w:color="auto"/>
              </w:divBdr>
              <w:divsChild>
                <w:div w:id="13629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29970">
      <w:bodyDiv w:val="1"/>
      <w:marLeft w:val="0"/>
      <w:marRight w:val="0"/>
      <w:marTop w:val="0"/>
      <w:marBottom w:val="0"/>
      <w:divBdr>
        <w:top w:val="none" w:sz="0" w:space="0" w:color="auto"/>
        <w:left w:val="none" w:sz="0" w:space="0" w:color="auto"/>
        <w:bottom w:val="none" w:sz="0" w:space="0" w:color="auto"/>
        <w:right w:val="none" w:sz="0" w:space="0" w:color="auto"/>
      </w:divBdr>
      <w:divsChild>
        <w:div w:id="1528568099">
          <w:marLeft w:val="0"/>
          <w:marRight w:val="0"/>
          <w:marTop w:val="0"/>
          <w:marBottom w:val="0"/>
          <w:divBdr>
            <w:top w:val="none" w:sz="0" w:space="0" w:color="auto"/>
            <w:left w:val="none" w:sz="0" w:space="0" w:color="auto"/>
            <w:bottom w:val="none" w:sz="0" w:space="0" w:color="auto"/>
            <w:right w:val="none" w:sz="0" w:space="0" w:color="auto"/>
          </w:divBdr>
          <w:divsChild>
            <w:div w:id="281690039">
              <w:marLeft w:val="0"/>
              <w:marRight w:val="0"/>
              <w:marTop w:val="0"/>
              <w:marBottom w:val="0"/>
              <w:divBdr>
                <w:top w:val="none" w:sz="0" w:space="0" w:color="auto"/>
                <w:left w:val="none" w:sz="0" w:space="0" w:color="auto"/>
                <w:bottom w:val="none" w:sz="0" w:space="0" w:color="auto"/>
                <w:right w:val="none" w:sz="0" w:space="0" w:color="auto"/>
              </w:divBdr>
              <w:divsChild>
                <w:div w:id="21408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8787">
      <w:bodyDiv w:val="1"/>
      <w:marLeft w:val="0"/>
      <w:marRight w:val="0"/>
      <w:marTop w:val="0"/>
      <w:marBottom w:val="0"/>
      <w:divBdr>
        <w:top w:val="none" w:sz="0" w:space="0" w:color="auto"/>
        <w:left w:val="none" w:sz="0" w:space="0" w:color="auto"/>
        <w:bottom w:val="none" w:sz="0" w:space="0" w:color="auto"/>
        <w:right w:val="none" w:sz="0" w:space="0" w:color="auto"/>
      </w:divBdr>
    </w:div>
    <w:div w:id="1607614494">
      <w:bodyDiv w:val="1"/>
      <w:marLeft w:val="0"/>
      <w:marRight w:val="0"/>
      <w:marTop w:val="0"/>
      <w:marBottom w:val="0"/>
      <w:divBdr>
        <w:top w:val="none" w:sz="0" w:space="0" w:color="auto"/>
        <w:left w:val="none" w:sz="0" w:space="0" w:color="auto"/>
        <w:bottom w:val="none" w:sz="0" w:space="0" w:color="auto"/>
        <w:right w:val="none" w:sz="0" w:space="0" w:color="auto"/>
      </w:divBdr>
    </w:div>
    <w:div w:id="1609115453">
      <w:bodyDiv w:val="1"/>
      <w:marLeft w:val="0"/>
      <w:marRight w:val="0"/>
      <w:marTop w:val="0"/>
      <w:marBottom w:val="0"/>
      <w:divBdr>
        <w:top w:val="none" w:sz="0" w:space="0" w:color="auto"/>
        <w:left w:val="none" w:sz="0" w:space="0" w:color="auto"/>
        <w:bottom w:val="none" w:sz="0" w:space="0" w:color="auto"/>
        <w:right w:val="none" w:sz="0" w:space="0" w:color="auto"/>
      </w:divBdr>
    </w:div>
    <w:div w:id="1611011191">
      <w:bodyDiv w:val="1"/>
      <w:marLeft w:val="0"/>
      <w:marRight w:val="0"/>
      <w:marTop w:val="0"/>
      <w:marBottom w:val="0"/>
      <w:divBdr>
        <w:top w:val="none" w:sz="0" w:space="0" w:color="auto"/>
        <w:left w:val="none" w:sz="0" w:space="0" w:color="auto"/>
        <w:bottom w:val="none" w:sz="0" w:space="0" w:color="auto"/>
        <w:right w:val="none" w:sz="0" w:space="0" w:color="auto"/>
      </w:divBdr>
      <w:divsChild>
        <w:div w:id="1745490441">
          <w:marLeft w:val="0"/>
          <w:marRight w:val="0"/>
          <w:marTop w:val="0"/>
          <w:marBottom w:val="0"/>
          <w:divBdr>
            <w:top w:val="none" w:sz="0" w:space="0" w:color="auto"/>
            <w:left w:val="none" w:sz="0" w:space="0" w:color="auto"/>
            <w:bottom w:val="none" w:sz="0" w:space="0" w:color="auto"/>
            <w:right w:val="none" w:sz="0" w:space="0" w:color="auto"/>
          </w:divBdr>
        </w:div>
      </w:divsChild>
    </w:div>
    <w:div w:id="1611693503">
      <w:bodyDiv w:val="1"/>
      <w:marLeft w:val="0"/>
      <w:marRight w:val="0"/>
      <w:marTop w:val="0"/>
      <w:marBottom w:val="0"/>
      <w:divBdr>
        <w:top w:val="none" w:sz="0" w:space="0" w:color="auto"/>
        <w:left w:val="none" w:sz="0" w:space="0" w:color="auto"/>
        <w:bottom w:val="none" w:sz="0" w:space="0" w:color="auto"/>
        <w:right w:val="none" w:sz="0" w:space="0" w:color="auto"/>
      </w:divBdr>
      <w:divsChild>
        <w:div w:id="1154372997">
          <w:marLeft w:val="0"/>
          <w:marRight w:val="0"/>
          <w:marTop w:val="0"/>
          <w:marBottom w:val="0"/>
          <w:divBdr>
            <w:top w:val="none" w:sz="0" w:space="0" w:color="auto"/>
            <w:left w:val="none" w:sz="0" w:space="0" w:color="auto"/>
            <w:bottom w:val="none" w:sz="0" w:space="0" w:color="auto"/>
            <w:right w:val="none" w:sz="0" w:space="0" w:color="auto"/>
          </w:divBdr>
          <w:divsChild>
            <w:div w:id="1905870004">
              <w:marLeft w:val="0"/>
              <w:marRight w:val="0"/>
              <w:marTop w:val="0"/>
              <w:marBottom w:val="0"/>
              <w:divBdr>
                <w:top w:val="none" w:sz="0" w:space="0" w:color="auto"/>
                <w:left w:val="none" w:sz="0" w:space="0" w:color="auto"/>
                <w:bottom w:val="none" w:sz="0" w:space="0" w:color="auto"/>
                <w:right w:val="none" w:sz="0" w:space="0" w:color="auto"/>
              </w:divBdr>
              <w:divsChild>
                <w:div w:id="16601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3904">
      <w:bodyDiv w:val="1"/>
      <w:marLeft w:val="0"/>
      <w:marRight w:val="0"/>
      <w:marTop w:val="0"/>
      <w:marBottom w:val="0"/>
      <w:divBdr>
        <w:top w:val="none" w:sz="0" w:space="0" w:color="auto"/>
        <w:left w:val="none" w:sz="0" w:space="0" w:color="auto"/>
        <w:bottom w:val="none" w:sz="0" w:space="0" w:color="auto"/>
        <w:right w:val="none" w:sz="0" w:space="0" w:color="auto"/>
      </w:divBdr>
      <w:divsChild>
        <w:div w:id="422453062">
          <w:marLeft w:val="0"/>
          <w:marRight w:val="0"/>
          <w:marTop w:val="0"/>
          <w:marBottom w:val="0"/>
          <w:divBdr>
            <w:top w:val="none" w:sz="0" w:space="0" w:color="auto"/>
            <w:left w:val="none" w:sz="0" w:space="0" w:color="auto"/>
            <w:bottom w:val="none" w:sz="0" w:space="0" w:color="auto"/>
            <w:right w:val="none" w:sz="0" w:space="0" w:color="auto"/>
          </w:divBdr>
          <w:divsChild>
            <w:div w:id="464663222">
              <w:marLeft w:val="0"/>
              <w:marRight w:val="0"/>
              <w:marTop w:val="0"/>
              <w:marBottom w:val="0"/>
              <w:divBdr>
                <w:top w:val="none" w:sz="0" w:space="0" w:color="auto"/>
                <w:left w:val="none" w:sz="0" w:space="0" w:color="auto"/>
                <w:bottom w:val="none" w:sz="0" w:space="0" w:color="auto"/>
                <w:right w:val="none" w:sz="0" w:space="0" w:color="auto"/>
              </w:divBdr>
              <w:divsChild>
                <w:div w:id="9932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35239">
      <w:bodyDiv w:val="1"/>
      <w:marLeft w:val="0"/>
      <w:marRight w:val="0"/>
      <w:marTop w:val="0"/>
      <w:marBottom w:val="0"/>
      <w:divBdr>
        <w:top w:val="none" w:sz="0" w:space="0" w:color="auto"/>
        <w:left w:val="none" w:sz="0" w:space="0" w:color="auto"/>
        <w:bottom w:val="none" w:sz="0" w:space="0" w:color="auto"/>
        <w:right w:val="none" w:sz="0" w:space="0" w:color="auto"/>
      </w:divBdr>
    </w:div>
    <w:div w:id="1615861222">
      <w:bodyDiv w:val="1"/>
      <w:marLeft w:val="0"/>
      <w:marRight w:val="0"/>
      <w:marTop w:val="0"/>
      <w:marBottom w:val="0"/>
      <w:divBdr>
        <w:top w:val="none" w:sz="0" w:space="0" w:color="auto"/>
        <w:left w:val="none" w:sz="0" w:space="0" w:color="auto"/>
        <w:bottom w:val="none" w:sz="0" w:space="0" w:color="auto"/>
        <w:right w:val="none" w:sz="0" w:space="0" w:color="auto"/>
      </w:divBdr>
      <w:divsChild>
        <w:div w:id="197859509">
          <w:marLeft w:val="0"/>
          <w:marRight w:val="0"/>
          <w:marTop w:val="0"/>
          <w:marBottom w:val="0"/>
          <w:divBdr>
            <w:top w:val="none" w:sz="0" w:space="0" w:color="auto"/>
            <w:left w:val="none" w:sz="0" w:space="0" w:color="auto"/>
            <w:bottom w:val="none" w:sz="0" w:space="0" w:color="auto"/>
            <w:right w:val="none" w:sz="0" w:space="0" w:color="auto"/>
          </w:divBdr>
          <w:divsChild>
            <w:div w:id="683752399">
              <w:marLeft w:val="0"/>
              <w:marRight w:val="0"/>
              <w:marTop w:val="0"/>
              <w:marBottom w:val="0"/>
              <w:divBdr>
                <w:top w:val="none" w:sz="0" w:space="0" w:color="auto"/>
                <w:left w:val="none" w:sz="0" w:space="0" w:color="auto"/>
                <w:bottom w:val="none" w:sz="0" w:space="0" w:color="auto"/>
                <w:right w:val="none" w:sz="0" w:space="0" w:color="auto"/>
              </w:divBdr>
              <w:divsChild>
                <w:div w:id="648293143">
                  <w:marLeft w:val="0"/>
                  <w:marRight w:val="0"/>
                  <w:marTop w:val="0"/>
                  <w:marBottom w:val="0"/>
                  <w:divBdr>
                    <w:top w:val="none" w:sz="0" w:space="0" w:color="auto"/>
                    <w:left w:val="none" w:sz="0" w:space="0" w:color="auto"/>
                    <w:bottom w:val="none" w:sz="0" w:space="0" w:color="auto"/>
                    <w:right w:val="none" w:sz="0" w:space="0" w:color="auto"/>
                  </w:divBdr>
                  <w:divsChild>
                    <w:div w:id="2190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99430">
      <w:bodyDiv w:val="1"/>
      <w:marLeft w:val="0"/>
      <w:marRight w:val="0"/>
      <w:marTop w:val="0"/>
      <w:marBottom w:val="0"/>
      <w:divBdr>
        <w:top w:val="none" w:sz="0" w:space="0" w:color="auto"/>
        <w:left w:val="none" w:sz="0" w:space="0" w:color="auto"/>
        <w:bottom w:val="none" w:sz="0" w:space="0" w:color="auto"/>
        <w:right w:val="none" w:sz="0" w:space="0" w:color="auto"/>
      </w:divBdr>
    </w:div>
    <w:div w:id="1622106760">
      <w:bodyDiv w:val="1"/>
      <w:marLeft w:val="0"/>
      <w:marRight w:val="0"/>
      <w:marTop w:val="0"/>
      <w:marBottom w:val="0"/>
      <w:divBdr>
        <w:top w:val="none" w:sz="0" w:space="0" w:color="auto"/>
        <w:left w:val="none" w:sz="0" w:space="0" w:color="auto"/>
        <w:bottom w:val="none" w:sz="0" w:space="0" w:color="auto"/>
        <w:right w:val="none" w:sz="0" w:space="0" w:color="auto"/>
      </w:divBdr>
    </w:div>
    <w:div w:id="1622414280">
      <w:bodyDiv w:val="1"/>
      <w:marLeft w:val="0"/>
      <w:marRight w:val="0"/>
      <w:marTop w:val="0"/>
      <w:marBottom w:val="0"/>
      <w:divBdr>
        <w:top w:val="none" w:sz="0" w:space="0" w:color="auto"/>
        <w:left w:val="none" w:sz="0" w:space="0" w:color="auto"/>
        <w:bottom w:val="none" w:sz="0" w:space="0" w:color="auto"/>
        <w:right w:val="none" w:sz="0" w:space="0" w:color="auto"/>
      </w:divBdr>
    </w:div>
    <w:div w:id="1623076041">
      <w:bodyDiv w:val="1"/>
      <w:marLeft w:val="0"/>
      <w:marRight w:val="0"/>
      <w:marTop w:val="0"/>
      <w:marBottom w:val="0"/>
      <w:divBdr>
        <w:top w:val="none" w:sz="0" w:space="0" w:color="auto"/>
        <w:left w:val="none" w:sz="0" w:space="0" w:color="auto"/>
        <w:bottom w:val="none" w:sz="0" w:space="0" w:color="auto"/>
        <w:right w:val="none" w:sz="0" w:space="0" w:color="auto"/>
      </w:divBdr>
    </w:div>
    <w:div w:id="1629045829">
      <w:bodyDiv w:val="1"/>
      <w:marLeft w:val="0"/>
      <w:marRight w:val="0"/>
      <w:marTop w:val="0"/>
      <w:marBottom w:val="0"/>
      <w:divBdr>
        <w:top w:val="none" w:sz="0" w:space="0" w:color="auto"/>
        <w:left w:val="none" w:sz="0" w:space="0" w:color="auto"/>
        <w:bottom w:val="none" w:sz="0" w:space="0" w:color="auto"/>
        <w:right w:val="none" w:sz="0" w:space="0" w:color="auto"/>
      </w:divBdr>
      <w:divsChild>
        <w:div w:id="52312894">
          <w:marLeft w:val="0"/>
          <w:marRight w:val="0"/>
          <w:marTop w:val="0"/>
          <w:marBottom w:val="0"/>
          <w:divBdr>
            <w:top w:val="none" w:sz="0" w:space="0" w:color="auto"/>
            <w:left w:val="none" w:sz="0" w:space="0" w:color="auto"/>
            <w:bottom w:val="none" w:sz="0" w:space="0" w:color="auto"/>
            <w:right w:val="none" w:sz="0" w:space="0" w:color="auto"/>
          </w:divBdr>
          <w:divsChild>
            <w:div w:id="1965885988">
              <w:marLeft w:val="0"/>
              <w:marRight w:val="0"/>
              <w:marTop w:val="0"/>
              <w:marBottom w:val="0"/>
              <w:divBdr>
                <w:top w:val="none" w:sz="0" w:space="0" w:color="auto"/>
                <w:left w:val="none" w:sz="0" w:space="0" w:color="auto"/>
                <w:bottom w:val="none" w:sz="0" w:space="0" w:color="auto"/>
                <w:right w:val="none" w:sz="0" w:space="0" w:color="auto"/>
              </w:divBdr>
              <w:divsChild>
                <w:div w:id="1918319760">
                  <w:marLeft w:val="0"/>
                  <w:marRight w:val="0"/>
                  <w:marTop w:val="0"/>
                  <w:marBottom w:val="0"/>
                  <w:divBdr>
                    <w:top w:val="none" w:sz="0" w:space="0" w:color="auto"/>
                    <w:left w:val="none" w:sz="0" w:space="0" w:color="auto"/>
                    <w:bottom w:val="none" w:sz="0" w:space="0" w:color="auto"/>
                    <w:right w:val="none" w:sz="0" w:space="0" w:color="auto"/>
                  </w:divBdr>
                  <w:divsChild>
                    <w:div w:id="11719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19372">
      <w:bodyDiv w:val="1"/>
      <w:marLeft w:val="0"/>
      <w:marRight w:val="0"/>
      <w:marTop w:val="0"/>
      <w:marBottom w:val="0"/>
      <w:divBdr>
        <w:top w:val="none" w:sz="0" w:space="0" w:color="auto"/>
        <w:left w:val="none" w:sz="0" w:space="0" w:color="auto"/>
        <w:bottom w:val="none" w:sz="0" w:space="0" w:color="auto"/>
        <w:right w:val="none" w:sz="0" w:space="0" w:color="auto"/>
      </w:divBdr>
      <w:divsChild>
        <w:div w:id="1874732147">
          <w:marLeft w:val="0"/>
          <w:marRight w:val="0"/>
          <w:marTop w:val="0"/>
          <w:marBottom w:val="0"/>
          <w:divBdr>
            <w:top w:val="none" w:sz="0" w:space="0" w:color="auto"/>
            <w:left w:val="none" w:sz="0" w:space="0" w:color="auto"/>
            <w:bottom w:val="none" w:sz="0" w:space="0" w:color="auto"/>
            <w:right w:val="none" w:sz="0" w:space="0" w:color="auto"/>
          </w:divBdr>
        </w:div>
      </w:divsChild>
    </w:div>
    <w:div w:id="1632176374">
      <w:bodyDiv w:val="1"/>
      <w:marLeft w:val="0"/>
      <w:marRight w:val="0"/>
      <w:marTop w:val="0"/>
      <w:marBottom w:val="0"/>
      <w:divBdr>
        <w:top w:val="none" w:sz="0" w:space="0" w:color="auto"/>
        <w:left w:val="none" w:sz="0" w:space="0" w:color="auto"/>
        <w:bottom w:val="none" w:sz="0" w:space="0" w:color="auto"/>
        <w:right w:val="none" w:sz="0" w:space="0" w:color="auto"/>
      </w:divBdr>
    </w:div>
    <w:div w:id="1632319300">
      <w:bodyDiv w:val="1"/>
      <w:marLeft w:val="0"/>
      <w:marRight w:val="0"/>
      <w:marTop w:val="0"/>
      <w:marBottom w:val="0"/>
      <w:divBdr>
        <w:top w:val="none" w:sz="0" w:space="0" w:color="auto"/>
        <w:left w:val="none" w:sz="0" w:space="0" w:color="auto"/>
        <w:bottom w:val="none" w:sz="0" w:space="0" w:color="auto"/>
        <w:right w:val="none" w:sz="0" w:space="0" w:color="auto"/>
      </w:divBdr>
    </w:div>
    <w:div w:id="1632906141">
      <w:bodyDiv w:val="1"/>
      <w:marLeft w:val="0"/>
      <w:marRight w:val="0"/>
      <w:marTop w:val="0"/>
      <w:marBottom w:val="0"/>
      <w:divBdr>
        <w:top w:val="none" w:sz="0" w:space="0" w:color="auto"/>
        <w:left w:val="none" w:sz="0" w:space="0" w:color="auto"/>
        <w:bottom w:val="none" w:sz="0" w:space="0" w:color="auto"/>
        <w:right w:val="none" w:sz="0" w:space="0" w:color="auto"/>
      </w:divBdr>
      <w:divsChild>
        <w:div w:id="779102961">
          <w:marLeft w:val="0"/>
          <w:marRight w:val="0"/>
          <w:marTop w:val="0"/>
          <w:marBottom w:val="0"/>
          <w:divBdr>
            <w:top w:val="none" w:sz="0" w:space="0" w:color="auto"/>
            <w:left w:val="none" w:sz="0" w:space="0" w:color="auto"/>
            <w:bottom w:val="none" w:sz="0" w:space="0" w:color="auto"/>
            <w:right w:val="none" w:sz="0" w:space="0" w:color="auto"/>
          </w:divBdr>
          <w:divsChild>
            <w:div w:id="398942423">
              <w:marLeft w:val="0"/>
              <w:marRight w:val="0"/>
              <w:marTop w:val="0"/>
              <w:marBottom w:val="0"/>
              <w:divBdr>
                <w:top w:val="none" w:sz="0" w:space="0" w:color="auto"/>
                <w:left w:val="none" w:sz="0" w:space="0" w:color="auto"/>
                <w:bottom w:val="none" w:sz="0" w:space="0" w:color="auto"/>
                <w:right w:val="none" w:sz="0" w:space="0" w:color="auto"/>
              </w:divBdr>
              <w:divsChild>
                <w:div w:id="6803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23989">
      <w:bodyDiv w:val="1"/>
      <w:marLeft w:val="0"/>
      <w:marRight w:val="0"/>
      <w:marTop w:val="0"/>
      <w:marBottom w:val="0"/>
      <w:divBdr>
        <w:top w:val="none" w:sz="0" w:space="0" w:color="auto"/>
        <w:left w:val="none" w:sz="0" w:space="0" w:color="auto"/>
        <w:bottom w:val="none" w:sz="0" w:space="0" w:color="auto"/>
        <w:right w:val="none" w:sz="0" w:space="0" w:color="auto"/>
      </w:divBdr>
      <w:divsChild>
        <w:div w:id="1099330654">
          <w:marLeft w:val="0"/>
          <w:marRight w:val="0"/>
          <w:marTop w:val="0"/>
          <w:marBottom w:val="0"/>
          <w:divBdr>
            <w:top w:val="none" w:sz="0" w:space="0" w:color="auto"/>
            <w:left w:val="none" w:sz="0" w:space="0" w:color="auto"/>
            <w:bottom w:val="none" w:sz="0" w:space="0" w:color="auto"/>
            <w:right w:val="none" w:sz="0" w:space="0" w:color="auto"/>
          </w:divBdr>
          <w:divsChild>
            <w:div w:id="2027321951">
              <w:marLeft w:val="0"/>
              <w:marRight w:val="0"/>
              <w:marTop w:val="0"/>
              <w:marBottom w:val="0"/>
              <w:divBdr>
                <w:top w:val="none" w:sz="0" w:space="0" w:color="auto"/>
                <w:left w:val="none" w:sz="0" w:space="0" w:color="auto"/>
                <w:bottom w:val="none" w:sz="0" w:space="0" w:color="auto"/>
                <w:right w:val="none" w:sz="0" w:space="0" w:color="auto"/>
              </w:divBdr>
              <w:divsChild>
                <w:div w:id="1703706513">
                  <w:marLeft w:val="0"/>
                  <w:marRight w:val="0"/>
                  <w:marTop w:val="0"/>
                  <w:marBottom w:val="0"/>
                  <w:divBdr>
                    <w:top w:val="none" w:sz="0" w:space="0" w:color="auto"/>
                    <w:left w:val="none" w:sz="0" w:space="0" w:color="auto"/>
                    <w:bottom w:val="none" w:sz="0" w:space="0" w:color="auto"/>
                    <w:right w:val="none" w:sz="0" w:space="0" w:color="auto"/>
                  </w:divBdr>
                  <w:divsChild>
                    <w:div w:id="8325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88405">
      <w:bodyDiv w:val="1"/>
      <w:marLeft w:val="0"/>
      <w:marRight w:val="0"/>
      <w:marTop w:val="0"/>
      <w:marBottom w:val="0"/>
      <w:divBdr>
        <w:top w:val="none" w:sz="0" w:space="0" w:color="auto"/>
        <w:left w:val="none" w:sz="0" w:space="0" w:color="auto"/>
        <w:bottom w:val="none" w:sz="0" w:space="0" w:color="auto"/>
        <w:right w:val="none" w:sz="0" w:space="0" w:color="auto"/>
      </w:divBdr>
      <w:divsChild>
        <w:div w:id="1943301230">
          <w:marLeft w:val="0"/>
          <w:marRight w:val="0"/>
          <w:marTop w:val="0"/>
          <w:marBottom w:val="0"/>
          <w:divBdr>
            <w:top w:val="none" w:sz="0" w:space="0" w:color="auto"/>
            <w:left w:val="none" w:sz="0" w:space="0" w:color="auto"/>
            <w:bottom w:val="none" w:sz="0" w:space="0" w:color="auto"/>
            <w:right w:val="none" w:sz="0" w:space="0" w:color="auto"/>
          </w:divBdr>
          <w:divsChild>
            <w:div w:id="1248614482">
              <w:marLeft w:val="0"/>
              <w:marRight w:val="0"/>
              <w:marTop w:val="0"/>
              <w:marBottom w:val="0"/>
              <w:divBdr>
                <w:top w:val="none" w:sz="0" w:space="0" w:color="auto"/>
                <w:left w:val="none" w:sz="0" w:space="0" w:color="auto"/>
                <w:bottom w:val="none" w:sz="0" w:space="0" w:color="auto"/>
                <w:right w:val="none" w:sz="0" w:space="0" w:color="auto"/>
              </w:divBdr>
              <w:divsChild>
                <w:div w:id="888491415">
                  <w:marLeft w:val="0"/>
                  <w:marRight w:val="0"/>
                  <w:marTop w:val="0"/>
                  <w:marBottom w:val="0"/>
                  <w:divBdr>
                    <w:top w:val="none" w:sz="0" w:space="0" w:color="auto"/>
                    <w:left w:val="none" w:sz="0" w:space="0" w:color="auto"/>
                    <w:bottom w:val="none" w:sz="0" w:space="0" w:color="auto"/>
                    <w:right w:val="none" w:sz="0" w:space="0" w:color="auto"/>
                  </w:divBdr>
                  <w:divsChild>
                    <w:div w:id="1660377446">
                      <w:marLeft w:val="0"/>
                      <w:marRight w:val="0"/>
                      <w:marTop w:val="0"/>
                      <w:marBottom w:val="0"/>
                      <w:divBdr>
                        <w:top w:val="none" w:sz="0" w:space="0" w:color="auto"/>
                        <w:left w:val="none" w:sz="0" w:space="0" w:color="auto"/>
                        <w:bottom w:val="none" w:sz="0" w:space="0" w:color="auto"/>
                        <w:right w:val="none" w:sz="0" w:space="0" w:color="auto"/>
                      </w:divBdr>
                      <w:divsChild>
                        <w:div w:id="218057422">
                          <w:marLeft w:val="0"/>
                          <w:marRight w:val="0"/>
                          <w:marTop w:val="60"/>
                          <w:marBottom w:val="300"/>
                          <w:divBdr>
                            <w:top w:val="none" w:sz="0" w:space="0" w:color="auto"/>
                            <w:left w:val="none" w:sz="0" w:space="0" w:color="auto"/>
                            <w:bottom w:val="none" w:sz="0" w:space="0" w:color="auto"/>
                            <w:right w:val="none" w:sz="0" w:space="0" w:color="auto"/>
                          </w:divBdr>
                          <w:divsChild>
                            <w:div w:id="1673140686">
                              <w:marLeft w:val="0"/>
                              <w:marRight w:val="0"/>
                              <w:marTop w:val="0"/>
                              <w:marBottom w:val="0"/>
                              <w:divBdr>
                                <w:top w:val="none" w:sz="0" w:space="0" w:color="auto"/>
                                <w:left w:val="none" w:sz="0" w:space="0" w:color="auto"/>
                                <w:bottom w:val="none" w:sz="0" w:space="0" w:color="auto"/>
                                <w:right w:val="none" w:sz="0" w:space="0" w:color="auto"/>
                              </w:divBdr>
                              <w:divsChild>
                                <w:div w:id="532041256">
                                  <w:marLeft w:val="0"/>
                                  <w:marRight w:val="0"/>
                                  <w:marTop w:val="0"/>
                                  <w:marBottom w:val="0"/>
                                  <w:divBdr>
                                    <w:top w:val="none" w:sz="0" w:space="0" w:color="auto"/>
                                    <w:left w:val="none" w:sz="0" w:space="0" w:color="auto"/>
                                    <w:bottom w:val="none" w:sz="0" w:space="0" w:color="auto"/>
                                    <w:right w:val="none" w:sz="0" w:space="0" w:color="auto"/>
                                  </w:divBdr>
                                  <w:divsChild>
                                    <w:div w:id="128018353">
                                      <w:marLeft w:val="0"/>
                                      <w:marRight w:val="0"/>
                                      <w:marTop w:val="0"/>
                                      <w:marBottom w:val="0"/>
                                      <w:divBdr>
                                        <w:top w:val="none" w:sz="0" w:space="0" w:color="auto"/>
                                        <w:left w:val="none" w:sz="0" w:space="0" w:color="auto"/>
                                        <w:bottom w:val="none" w:sz="0" w:space="0" w:color="auto"/>
                                        <w:right w:val="none" w:sz="0" w:space="0" w:color="auto"/>
                                      </w:divBdr>
                                      <w:divsChild>
                                        <w:div w:id="1809207385">
                                          <w:marLeft w:val="0"/>
                                          <w:marRight w:val="0"/>
                                          <w:marTop w:val="0"/>
                                          <w:marBottom w:val="0"/>
                                          <w:divBdr>
                                            <w:top w:val="none" w:sz="0" w:space="0" w:color="auto"/>
                                            <w:left w:val="none" w:sz="0" w:space="0" w:color="auto"/>
                                            <w:bottom w:val="none" w:sz="0" w:space="0" w:color="auto"/>
                                            <w:right w:val="none" w:sz="0" w:space="0" w:color="auto"/>
                                          </w:divBdr>
                                          <w:divsChild>
                                            <w:div w:id="52851579">
                                              <w:marLeft w:val="0"/>
                                              <w:marRight w:val="0"/>
                                              <w:marTop w:val="0"/>
                                              <w:marBottom w:val="0"/>
                                              <w:divBdr>
                                                <w:top w:val="none" w:sz="0" w:space="0" w:color="auto"/>
                                                <w:left w:val="none" w:sz="0" w:space="0" w:color="auto"/>
                                                <w:bottom w:val="none" w:sz="0" w:space="0" w:color="auto"/>
                                                <w:right w:val="none" w:sz="0" w:space="0" w:color="auto"/>
                                              </w:divBdr>
                                              <w:divsChild>
                                                <w:div w:id="2032804866">
                                                  <w:marLeft w:val="0"/>
                                                  <w:marRight w:val="0"/>
                                                  <w:marTop w:val="0"/>
                                                  <w:marBottom w:val="0"/>
                                                  <w:divBdr>
                                                    <w:top w:val="none" w:sz="0" w:space="0" w:color="auto"/>
                                                    <w:left w:val="none" w:sz="0" w:space="0" w:color="auto"/>
                                                    <w:bottom w:val="none" w:sz="0" w:space="0" w:color="auto"/>
                                                    <w:right w:val="none" w:sz="0" w:space="0" w:color="auto"/>
                                                  </w:divBdr>
                                                  <w:divsChild>
                                                    <w:div w:id="3245524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375451">
          <w:marLeft w:val="0"/>
          <w:marRight w:val="0"/>
          <w:marTop w:val="0"/>
          <w:marBottom w:val="0"/>
          <w:divBdr>
            <w:top w:val="none" w:sz="0" w:space="0" w:color="auto"/>
            <w:left w:val="none" w:sz="0" w:space="0" w:color="auto"/>
            <w:bottom w:val="none" w:sz="0" w:space="0" w:color="auto"/>
            <w:right w:val="none" w:sz="0" w:space="0" w:color="auto"/>
          </w:divBdr>
          <w:divsChild>
            <w:div w:id="822086012">
              <w:marLeft w:val="0"/>
              <w:marRight w:val="0"/>
              <w:marTop w:val="0"/>
              <w:marBottom w:val="0"/>
              <w:divBdr>
                <w:top w:val="none" w:sz="0" w:space="0" w:color="auto"/>
                <w:left w:val="none" w:sz="0" w:space="0" w:color="auto"/>
                <w:bottom w:val="none" w:sz="0" w:space="0" w:color="auto"/>
                <w:right w:val="none" w:sz="0" w:space="0" w:color="auto"/>
              </w:divBdr>
              <w:divsChild>
                <w:div w:id="2131194245">
                  <w:marLeft w:val="0"/>
                  <w:marRight w:val="0"/>
                  <w:marTop w:val="0"/>
                  <w:marBottom w:val="0"/>
                  <w:divBdr>
                    <w:top w:val="none" w:sz="0" w:space="0" w:color="auto"/>
                    <w:left w:val="none" w:sz="0" w:space="0" w:color="auto"/>
                    <w:bottom w:val="none" w:sz="0" w:space="0" w:color="auto"/>
                    <w:right w:val="none" w:sz="0" w:space="0" w:color="auto"/>
                  </w:divBdr>
                  <w:divsChild>
                    <w:div w:id="963922268">
                      <w:marLeft w:val="0"/>
                      <w:marRight w:val="0"/>
                      <w:marTop w:val="0"/>
                      <w:marBottom w:val="0"/>
                      <w:divBdr>
                        <w:top w:val="none" w:sz="0" w:space="0" w:color="auto"/>
                        <w:left w:val="none" w:sz="0" w:space="0" w:color="auto"/>
                        <w:bottom w:val="none" w:sz="0" w:space="0" w:color="auto"/>
                        <w:right w:val="none" w:sz="0" w:space="0" w:color="auto"/>
                      </w:divBdr>
                      <w:divsChild>
                        <w:div w:id="1146360564">
                          <w:marLeft w:val="0"/>
                          <w:marRight w:val="0"/>
                          <w:marTop w:val="0"/>
                          <w:marBottom w:val="0"/>
                          <w:divBdr>
                            <w:top w:val="none" w:sz="0" w:space="0" w:color="auto"/>
                            <w:left w:val="none" w:sz="0" w:space="0" w:color="auto"/>
                            <w:bottom w:val="none" w:sz="0" w:space="0" w:color="auto"/>
                            <w:right w:val="none" w:sz="0" w:space="0" w:color="auto"/>
                          </w:divBdr>
                          <w:divsChild>
                            <w:div w:id="1047215797">
                              <w:marLeft w:val="0"/>
                              <w:marRight w:val="0"/>
                              <w:marTop w:val="0"/>
                              <w:marBottom w:val="0"/>
                              <w:divBdr>
                                <w:top w:val="none" w:sz="0" w:space="0" w:color="auto"/>
                                <w:left w:val="none" w:sz="0" w:space="0" w:color="auto"/>
                                <w:bottom w:val="none" w:sz="0" w:space="0" w:color="auto"/>
                                <w:right w:val="none" w:sz="0" w:space="0" w:color="auto"/>
                              </w:divBdr>
                              <w:divsChild>
                                <w:div w:id="457577328">
                                  <w:marLeft w:val="0"/>
                                  <w:marRight w:val="0"/>
                                  <w:marTop w:val="0"/>
                                  <w:marBottom w:val="0"/>
                                  <w:divBdr>
                                    <w:top w:val="none" w:sz="0" w:space="0" w:color="auto"/>
                                    <w:left w:val="none" w:sz="0" w:space="0" w:color="auto"/>
                                    <w:bottom w:val="none" w:sz="0" w:space="0" w:color="auto"/>
                                    <w:right w:val="none" w:sz="0" w:space="0" w:color="auto"/>
                                  </w:divBdr>
                                  <w:divsChild>
                                    <w:div w:id="1479959286">
                                      <w:marLeft w:val="0"/>
                                      <w:marRight w:val="0"/>
                                      <w:marTop w:val="0"/>
                                      <w:marBottom w:val="0"/>
                                      <w:divBdr>
                                        <w:top w:val="none" w:sz="0" w:space="0" w:color="auto"/>
                                        <w:left w:val="none" w:sz="0" w:space="0" w:color="auto"/>
                                        <w:bottom w:val="none" w:sz="0" w:space="0" w:color="auto"/>
                                        <w:right w:val="none" w:sz="0" w:space="0" w:color="auto"/>
                                      </w:divBdr>
                                      <w:divsChild>
                                        <w:div w:id="1388799956">
                                          <w:marLeft w:val="0"/>
                                          <w:marRight w:val="0"/>
                                          <w:marTop w:val="0"/>
                                          <w:marBottom w:val="0"/>
                                          <w:divBdr>
                                            <w:top w:val="none" w:sz="0" w:space="0" w:color="auto"/>
                                            <w:left w:val="none" w:sz="0" w:space="0" w:color="auto"/>
                                            <w:bottom w:val="none" w:sz="0" w:space="0" w:color="auto"/>
                                            <w:right w:val="none" w:sz="0" w:space="0" w:color="auto"/>
                                          </w:divBdr>
                                          <w:divsChild>
                                            <w:div w:id="1174303971">
                                              <w:marLeft w:val="0"/>
                                              <w:marRight w:val="0"/>
                                              <w:marTop w:val="0"/>
                                              <w:marBottom w:val="0"/>
                                              <w:divBdr>
                                                <w:top w:val="none" w:sz="0" w:space="0" w:color="auto"/>
                                                <w:left w:val="none" w:sz="0" w:space="0" w:color="auto"/>
                                                <w:bottom w:val="none" w:sz="0" w:space="0" w:color="auto"/>
                                                <w:right w:val="none" w:sz="0" w:space="0" w:color="auto"/>
                                              </w:divBdr>
                                              <w:divsChild>
                                                <w:div w:id="809250944">
                                                  <w:marLeft w:val="0"/>
                                                  <w:marRight w:val="0"/>
                                                  <w:marTop w:val="0"/>
                                                  <w:marBottom w:val="0"/>
                                                  <w:divBdr>
                                                    <w:top w:val="none" w:sz="0" w:space="0" w:color="auto"/>
                                                    <w:left w:val="none" w:sz="0" w:space="0" w:color="auto"/>
                                                    <w:bottom w:val="none" w:sz="0" w:space="0" w:color="auto"/>
                                                    <w:right w:val="none" w:sz="0" w:space="0" w:color="auto"/>
                                                  </w:divBdr>
                                                  <w:divsChild>
                                                    <w:div w:id="1120949415">
                                                      <w:marLeft w:val="0"/>
                                                      <w:marRight w:val="0"/>
                                                      <w:marTop w:val="0"/>
                                                      <w:marBottom w:val="0"/>
                                                      <w:divBdr>
                                                        <w:top w:val="none" w:sz="0" w:space="0" w:color="auto"/>
                                                        <w:left w:val="none" w:sz="0" w:space="0" w:color="auto"/>
                                                        <w:bottom w:val="none" w:sz="0" w:space="0" w:color="auto"/>
                                                        <w:right w:val="none" w:sz="0" w:space="0" w:color="auto"/>
                                                      </w:divBdr>
                                                      <w:divsChild>
                                                        <w:div w:id="1396587202">
                                                          <w:marLeft w:val="0"/>
                                                          <w:marRight w:val="0"/>
                                                          <w:marTop w:val="0"/>
                                                          <w:marBottom w:val="0"/>
                                                          <w:divBdr>
                                                            <w:top w:val="none" w:sz="0" w:space="0" w:color="auto"/>
                                                            <w:left w:val="none" w:sz="0" w:space="0" w:color="auto"/>
                                                            <w:bottom w:val="none" w:sz="0" w:space="0" w:color="auto"/>
                                                            <w:right w:val="none" w:sz="0" w:space="0" w:color="auto"/>
                                                          </w:divBdr>
                                                          <w:divsChild>
                                                            <w:div w:id="884366541">
                                                              <w:marLeft w:val="0"/>
                                                              <w:marRight w:val="0"/>
                                                              <w:marTop w:val="0"/>
                                                              <w:marBottom w:val="0"/>
                                                              <w:divBdr>
                                                                <w:top w:val="none" w:sz="0" w:space="0" w:color="auto"/>
                                                                <w:left w:val="none" w:sz="0" w:space="0" w:color="auto"/>
                                                                <w:bottom w:val="none" w:sz="0" w:space="0" w:color="auto"/>
                                                                <w:right w:val="none" w:sz="0" w:space="0" w:color="auto"/>
                                                              </w:divBdr>
                                                              <w:divsChild>
                                                                <w:div w:id="1525366439">
                                                                  <w:marLeft w:val="0"/>
                                                                  <w:marRight w:val="0"/>
                                                                  <w:marTop w:val="0"/>
                                                                  <w:marBottom w:val="0"/>
                                                                  <w:divBdr>
                                                                    <w:top w:val="none" w:sz="0" w:space="0" w:color="auto"/>
                                                                    <w:left w:val="none" w:sz="0" w:space="0" w:color="auto"/>
                                                                    <w:bottom w:val="none" w:sz="0" w:space="0" w:color="auto"/>
                                                                    <w:right w:val="none" w:sz="0" w:space="0" w:color="auto"/>
                                                                  </w:divBdr>
                                                                  <w:divsChild>
                                                                    <w:div w:id="431516538">
                                                                      <w:marLeft w:val="0"/>
                                                                      <w:marRight w:val="0"/>
                                                                      <w:marTop w:val="0"/>
                                                                      <w:marBottom w:val="0"/>
                                                                      <w:divBdr>
                                                                        <w:top w:val="none" w:sz="0" w:space="0" w:color="auto"/>
                                                                        <w:left w:val="none" w:sz="0" w:space="0" w:color="auto"/>
                                                                        <w:bottom w:val="none" w:sz="0" w:space="0" w:color="auto"/>
                                                                        <w:right w:val="none" w:sz="0" w:space="0" w:color="auto"/>
                                                                      </w:divBdr>
                                                                      <w:divsChild>
                                                                        <w:div w:id="36904265">
                                                                          <w:marLeft w:val="0"/>
                                                                          <w:marRight w:val="0"/>
                                                                          <w:marTop w:val="0"/>
                                                                          <w:marBottom w:val="0"/>
                                                                          <w:divBdr>
                                                                            <w:top w:val="none" w:sz="0" w:space="0" w:color="auto"/>
                                                                            <w:left w:val="none" w:sz="0" w:space="0" w:color="auto"/>
                                                                            <w:bottom w:val="none" w:sz="0" w:space="0" w:color="auto"/>
                                                                            <w:right w:val="none" w:sz="0" w:space="0" w:color="auto"/>
                                                                          </w:divBdr>
                                                                          <w:divsChild>
                                                                            <w:div w:id="323316370">
                                                                              <w:marLeft w:val="0"/>
                                                                              <w:marRight w:val="0"/>
                                                                              <w:marTop w:val="0"/>
                                                                              <w:marBottom w:val="0"/>
                                                                              <w:divBdr>
                                                                                <w:top w:val="none" w:sz="0" w:space="0" w:color="auto"/>
                                                                                <w:left w:val="none" w:sz="0" w:space="0" w:color="auto"/>
                                                                                <w:bottom w:val="none" w:sz="0" w:space="0" w:color="auto"/>
                                                                                <w:right w:val="none" w:sz="0" w:space="0" w:color="auto"/>
                                                                              </w:divBdr>
                                                                              <w:divsChild>
                                                                                <w:div w:id="1377852263">
                                                                                  <w:marLeft w:val="0"/>
                                                                                  <w:marRight w:val="0"/>
                                                                                  <w:marTop w:val="0"/>
                                                                                  <w:marBottom w:val="0"/>
                                                                                  <w:divBdr>
                                                                                    <w:top w:val="none" w:sz="0" w:space="0" w:color="auto"/>
                                                                                    <w:left w:val="none" w:sz="0" w:space="0" w:color="auto"/>
                                                                                    <w:bottom w:val="none" w:sz="0" w:space="0" w:color="auto"/>
                                                                                    <w:right w:val="none" w:sz="0" w:space="0" w:color="auto"/>
                                                                                  </w:divBdr>
                                                                                  <w:divsChild>
                                                                                    <w:div w:id="1479376763">
                                                                                      <w:marLeft w:val="0"/>
                                                                                      <w:marRight w:val="0"/>
                                                                                      <w:marTop w:val="0"/>
                                                                                      <w:marBottom w:val="0"/>
                                                                                      <w:divBdr>
                                                                                        <w:top w:val="none" w:sz="0" w:space="0" w:color="auto"/>
                                                                                        <w:left w:val="none" w:sz="0" w:space="0" w:color="auto"/>
                                                                                        <w:bottom w:val="none" w:sz="0" w:space="0" w:color="auto"/>
                                                                                        <w:right w:val="none" w:sz="0" w:space="0" w:color="auto"/>
                                                                                      </w:divBdr>
                                                                                      <w:divsChild>
                                                                                        <w:div w:id="1515608750">
                                                                                          <w:marLeft w:val="0"/>
                                                                                          <w:marRight w:val="0"/>
                                                                                          <w:marTop w:val="0"/>
                                                                                          <w:marBottom w:val="0"/>
                                                                                          <w:divBdr>
                                                                                            <w:top w:val="none" w:sz="0" w:space="0" w:color="auto"/>
                                                                                            <w:left w:val="none" w:sz="0" w:space="0" w:color="auto"/>
                                                                                            <w:bottom w:val="none" w:sz="0" w:space="0" w:color="auto"/>
                                                                                            <w:right w:val="none" w:sz="0" w:space="0" w:color="auto"/>
                                                                                          </w:divBdr>
                                                                                          <w:divsChild>
                                                                                            <w:div w:id="1491949410">
                                                                                              <w:marLeft w:val="0"/>
                                                                                              <w:marRight w:val="0"/>
                                                                                              <w:marTop w:val="0"/>
                                                                                              <w:marBottom w:val="0"/>
                                                                                              <w:divBdr>
                                                                                                <w:top w:val="none" w:sz="0" w:space="0" w:color="auto"/>
                                                                                                <w:left w:val="none" w:sz="0" w:space="0" w:color="auto"/>
                                                                                                <w:bottom w:val="none" w:sz="0" w:space="0" w:color="auto"/>
                                                                                                <w:right w:val="none" w:sz="0" w:space="0" w:color="auto"/>
                                                                                              </w:divBdr>
                                                                                              <w:divsChild>
                                                                                                <w:div w:id="608397432">
                                                                                                  <w:marLeft w:val="0"/>
                                                                                                  <w:marRight w:val="0"/>
                                                                                                  <w:marTop w:val="0"/>
                                                                                                  <w:marBottom w:val="0"/>
                                                                                                  <w:divBdr>
                                                                                                    <w:top w:val="none" w:sz="0" w:space="0" w:color="auto"/>
                                                                                                    <w:left w:val="none" w:sz="0" w:space="0" w:color="auto"/>
                                                                                                    <w:bottom w:val="none" w:sz="0" w:space="0" w:color="auto"/>
                                                                                                    <w:right w:val="none" w:sz="0" w:space="0" w:color="auto"/>
                                                                                                  </w:divBdr>
                                                                                                  <w:divsChild>
                                                                                                    <w:div w:id="17206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878520">
      <w:bodyDiv w:val="1"/>
      <w:marLeft w:val="0"/>
      <w:marRight w:val="0"/>
      <w:marTop w:val="0"/>
      <w:marBottom w:val="0"/>
      <w:divBdr>
        <w:top w:val="none" w:sz="0" w:space="0" w:color="auto"/>
        <w:left w:val="none" w:sz="0" w:space="0" w:color="auto"/>
        <w:bottom w:val="none" w:sz="0" w:space="0" w:color="auto"/>
        <w:right w:val="none" w:sz="0" w:space="0" w:color="auto"/>
      </w:divBdr>
      <w:divsChild>
        <w:div w:id="889657915">
          <w:marLeft w:val="0"/>
          <w:marRight w:val="0"/>
          <w:marTop w:val="0"/>
          <w:marBottom w:val="0"/>
          <w:divBdr>
            <w:top w:val="none" w:sz="0" w:space="0" w:color="auto"/>
            <w:left w:val="none" w:sz="0" w:space="0" w:color="auto"/>
            <w:bottom w:val="none" w:sz="0" w:space="0" w:color="auto"/>
            <w:right w:val="none" w:sz="0" w:space="0" w:color="auto"/>
          </w:divBdr>
        </w:div>
      </w:divsChild>
    </w:div>
    <w:div w:id="1650019609">
      <w:bodyDiv w:val="1"/>
      <w:marLeft w:val="0"/>
      <w:marRight w:val="0"/>
      <w:marTop w:val="0"/>
      <w:marBottom w:val="0"/>
      <w:divBdr>
        <w:top w:val="none" w:sz="0" w:space="0" w:color="auto"/>
        <w:left w:val="none" w:sz="0" w:space="0" w:color="auto"/>
        <w:bottom w:val="none" w:sz="0" w:space="0" w:color="auto"/>
        <w:right w:val="none" w:sz="0" w:space="0" w:color="auto"/>
      </w:divBdr>
      <w:divsChild>
        <w:div w:id="126751131">
          <w:marLeft w:val="0"/>
          <w:marRight w:val="0"/>
          <w:marTop w:val="0"/>
          <w:marBottom w:val="0"/>
          <w:divBdr>
            <w:top w:val="none" w:sz="0" w:space="0" w:color="auto"/>
            <w:left w:val="none" w:sz="0" w:space="0" w:color="auto"/>
            <w:bottom w:val="none" w:sz="0" w:space="0" w:color="auto"/>
            <w:right w:val="none" w:sz="0" w:space="0" w:color="auto"/>
          </w:divBdr>
          <w:divsChild>
            <w:div w:id="2066293706">
              <w:marLeft w:val="0"/>
              <w:marRight w:val="0"/>
              <w:marTop w:val="0"/>
              <w:marBottom w:val="0"/>
              <w:divBdr>
                <w:top w:val="none" w:sz="0" w:space="0" w:color="auto"/>
                <w:left w:val="none" w:sz="0" w:space="0" w:color="auto"/>
                <w:bottom w:val="none" w:sz="0" w:space="0" w:color="auto"/>
                <w:right w:val="none" w:sz="0" w:space="0" w:color="auto"/>
              </w:divBdr>
              <w:divsChild>
                <w:div w:id="11976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86032">
      <w:bodyDiv w:val="1"/>
      <w:marLeft w:val="0"/>
      <w:marRight w:val="0"/>
      <w:marTop w:val="0"/>
      <w:marBottom w:val="0"/>
      <w:divBdr>
        <w:top w:val="none" w:sz="0" w:space="0" w:color="auto"/>
        <w:left w:val="none" w:sz="0" w:space="0" w:color="auto"/>
        <w:bottom w:val="none" w:sz="0" w:space="0" w:color="auto"/>
        <w:right w:val="none" w:sz="0" w:space="0" w:color="auto"/>
      </w:divBdr>
      <w:divsChild>
        <w:div w:id="1421104283">
          <w:marLeft w:val="0"/>
          <w:marRight w:val="0"/>
          <w:marTop w:val="0"/>
          <w:marBottom w:val="0"/>
          <w:divBdr>
            <w:top w:val="none" w:sz="0" w:space="0" w:color="auto"/>
            <w:left w:val="none" w:sz="0" w:space="0" w:color="auto"/>
            <w:bottom w:val="none" w:sz="0" w:space="0" w:color="auto"/>
            <w:right w:val="none" w:sz="0" w:space="0" w:color="auto"/>
          </w:divBdr>
          <w:divsChild>
            <w:div w:id="1200431659">
              <w:marLeft w:val="0"/>
              <w:marRight w:val="0"/>
              <w:marTop w:val="0"/>
              <w:marBottom w:val="0"/>
              <w:divBdr>
                <w:top w:val="none" w:sz="0" w:space="0" w:color="auto"/>
                <w:left w:val="none" w:sz="0" w:space="0" w:color="auto"/>
                <w:bottom w:val="none" w:sz="0" w:space="0" w:color="auto"/>
                <w:right w:val="none" w:sz="0" w:space="0" w:color="auto"/>
              </w:divBdr>
              <w:divsChild>
                <w:div w:id="19989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859765">
      <w:bodyDiv w:val="1"/>
      <w:marLeft w:val="0"/>
      <w:marRight w:val="0"/>
      <w:marTop w:val="0"/>
      <w:marBottom w:val="0"/>
      <w:divBdr>
        <w:top w:val="none" w:sz="0" w:space="0" w:color="auto"/>
        <w:left w:val="none" w:sz="0" w:space="0" w:color="auto"/>
        <w:bottom w:val="none" w:sz="0" w:space="0" w:color="auto"/>
        <w:right w:val="none" w:sz="0" w:space="0" w:color="auto"/>
      </w:divBdr>
      <w:divsChild>
        <w:div w:id="1115251168">
          <w:marLeft w:val="0"/>
          <w:marRight w:val="0"/>
          <w:marTop w:val="0"/>
          <w:marBottom w:val="0"/>
          <w:divBdr>
            <w:top w:val="none" w:sz="0" w:space="0" w:color="auto"/>
            <w:left w:val="none" w:sz="0" w:space="0" w:color="auto"/>
            <w:bottom w:val="none" w:sz="0" w:space="0" w:color="auto"/>
            <w:right w:val="none" w:sz="0" w:space="0" w:color="auto"/>
          </w:divBdr>
          <w:divsChild>
            <w:div w:id="1486358687">
              <w:marLeft w:val="0"/>
              <w:marRight w:val="0"/>
              <w:marTop w:val="0"/>
              <w:marBottom w:val="0"/>
              <w:divBdr>
                <w:top w:val="none" w:sz="0" w:space="0" w:color="auto"/>
                <w:left w:val="none" w:sz="0" w:space="0" w:color="auto"/>
                <w:bottom w:val="none" w:sz="0" w:space="0" w:color="auto"/>
                <w:right w:val="none" w:sz="0" w:space="0" w:color="auto"/>
              </w:divBdr>
              <w:divsChild>
                <w:div w:id="4961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22365">
      <w:bodyDiv w:val="1"/>
      <w:marLeft w:val="0"/>
      <w:marRight w:val="0"/>
      <w:marTop w:val="0"/>
      <w:marBottom w:val="0"/>
      <w:divBdr>
        <w:top w:val="none" w:sz="0" w:space="0" w:color="auto"/>
        <w:left w:val="none" w:sz="0" w:space="0" w:color="auto"/>
        <w:bottom w:val="none" w:sz="0" w:space="0" w:color="auto"/>
        <w:right w:val="none" w:sz="0" w:space="0" w:color="auto"/>
      </w:divBdr>
    </w:div>
    <w:div w:id="1656033690">
      <w:bodyDiv w:val="1"/>
      <w:marLeft w:val="0"/>
      <w:marRight w:val="0"/>
      <w:marTop w:val="0"/>
      <w:marBottom w:val="0"/>
      <w:divBdr>
        <w:top w:val="none" w:sz="0" w:space="0" w:color="auto"/>
        <w:left w:val="none" w:sz="0" w:space="0" w:color="auto"/>
        <w:bottom w:val="none" w:sz="0" w:space="0" w:color="auto"/>
        <w:right w:val="none" w:sz="0" w:space="0" w:color="auto"/>
      </w:divBdr>
      <w:divsChild>
        <w:div w:id="856967149">
          <w:marLeft w:val="0"/>
          <w:marRight w:val="0"/>
          <w:marTop w:val="0"/>
          <w:marBottom w:val="0"/>
          <w:divBdr>
            <w:top w:val="none" w:sz="0" w:space="0" w:color="auto"/>
            <w:left w:val="none" w:sz="0" w:space="0" w:color="auto"/>
            <w:bottom w:val="none" w:sz="0" w:space="0" w:color="auto"/>
            <w:right w:val="none" w:sz="0" w:space="0" w:color="auto"/>
          </w:divBdr>
          <w:divsChild>
            <w:div w:id="132529378">
              <w:marLeft w:val="0"/>
              <w:marRight w:val="0"/>
              <w:marTop w:val="0"/>
              <w:marBottom w:val="0"/>
              <w:divBdr>
                <w:top w:val="none" w:sz="0" w:space="0" w:color="auto"/>
                <w:left w:val="none" w:sz="0" w:space="0" w:color="auto"/>
                <w:bottom w:val="none" w:sz="0" w:space="0" w:color="auto"/>
                <w:right w:val="none" w:sz="0" w:space="0" w:color="auto"/>
              </w:divBdr>
              <w:divsChild>
                <w:div w:id="20265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06909">
      <w:bodyDiv w:val="1"/>
      <w:marLeft w:val="0"/>
      <w:marRight w:val="0"/>
      <w:marTop w:val="0"/>
      <w:marBottom w:val="0"/>
      <w:divBdr>
        <w:top w:val="none" w:sz="0" w:space="0" w:color="auto"/>
        <w:left w:val="none" w:sz="0" w:space="0" w:color="auto"/>
        <w:bottom w:val="none" w:sz="0" w:space="0" w:color="auto"/>
        <w:right w:val="none" w:sz="0" w:space="0" w:color="auto"/>
      </w:divBdr>
    </w:div>
    <w:div w:id="1658151527">
      <w:bodyDiv w:val="1"/>
      <w:marLeft w:val="0"/>
      <w:marRight w:val="0"/>
      <w:marTop w:val="0"/>
      <w:marBottom w:val="0"/>
      <w:divBdr>
        <w:top w:val="none" w:sz="0" w:space="0" w:color="auto"/>
        <w:left w:val="none" w:sz="0" w:space="0" w:color="auto"/>
        <w:bottom w:val="none" w:sz="0" w:space="0" w:color="auto"/>
        <w:right w:val="none" w:sz="0" w:space="0" w:color="auto"/>
      </w:divBdr>
    </w:div>
    <w:div w:id="1658529873">
      <w:bodyDiv w:val="1"/>
      <w:marLeft w:val="0"/>
      <w:marRight w:val="0"/>
      <w:marTop w:val="0"/>
      <w:marBottom w:val="0"/>
      <w:divBdr>
        <w:top w:val="none" w:sz="0" w:space="0" w:color="auto"/>
        <w:left w:val="none" w:sz="0" w:space="0" w:color="auto"/>
        <w:bottom w:val="none" w:sz="0" w:space="0" w:color="auto"/>
        <w:right w:val="none" w:sz="0" w:space="0" w:color="auto"/>
      </w:divBdr>
      <w:divsChild>
        <w:div w:id="508452776">
          <w:marLeft w:val="0"/>
          <w:marRight w:val="0"/>
          <w:marTop w:val="0"/>
          <w:marBottom w:val="0"/>
          <w:divBdr>
            <w:top w:val="none" w:sz="0" w:space="0" w:color="auto"/>
            <w:left w:val="none" w:sz="0" w:space="0" w:color="auto"/>
            <w:bottom w:val="none" w:sz="0" w:space="0" w:color="auto"/>
            <w:right w:val="none" w:sz="0" w:space="0" w:color="auto"/>
          </w:divBdr>
          <w:divsChild>
            <w:div w:id="854540950">
              <w:marLeft w:val="0"/>
              <w:marRight w:val="0"/>
              <w:marTop w:val="0"/>
              <w:marBottom w:val="0"/>
              <w:divBdr>
                <w:top w:val="none" w:sz="0" w:space="0" w:color="auto"/>
                <w:left w:val="none" w:sz="0" w:space="0" w:color="auto"/>
                <w:bottom w:val="none" w:sz="0" w:space="0" w:color="auto"/>
                <w:right w:val="none" w:sz="0" w:space="0" w:color="auto"/>
              </w:divBdr>
              <w:divsChild>
                <w:div w:id="1749884861">
                  <w:marLeft w:val="0"/>
                  <w:marRight w:val="0"/>
                  <w:marTop w:val="0"/>
                  <w:marBottom w:val="0"/>
                  <w:divBdr>
                    <w:top w:val="none" w:sz="0" w:space="0" w:color="auto"/>
                    <w:left w:val="none" w:sz="0" w:space="0" w:color="auto"/>
                    <w:bottom w:val="none" w:sz="0" w:space="0" w:color="auto"/>
                    <w:right w:val="none" w:sz="0" w:space="0" w:color="auto"/>
                  </w:divBdr>
                  <w:divsChild>
                    <w:div w:id="7463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68142">
      <w:bodyDiv w:val="1"/>
      <w:marLeft w:val="0"/>
      <w:marRight w:val="0"/>
      <w:marTop w:val="0"/>
      <w:marBottom w:val="0"/>
      <w:divBdr>
        <w:top w:val="none" w:sz="0" w:space="0" w:color="auto"/>
        <w:left w:val="none" w:sz="0" w:space="0" w:color="auto"/>
        <w:bottom w:val="none" w:sz="0" w:space="0" w:color="auto"/>
        <w:right w:val="none" w:sz="0" w:space="0" w:color="auto"/>
      </w:divBdr>
    </w:div>
    <w:div w:id="1660379260">
      <w:bodyDiv w:val="1"/>
      <w:marLeft w:val="0"/>
      <w:marRight w:val="0"/>
      <w:marTop w:val="0"/>
      <w:marBottom w:val="0"/>
      <w:divBdr>
        <w:top w:val="none" w:sz="0" w:space="0" w:color="auto"/>
        <w:left w:val="none" w:sz="0" w:space="0" w:color="auto"/>
        <w:bottom w:val="none" w:sz="0" w:space="0" w:color="auto"/>
        <w:right w:val="none" w:sz="0" w:space="0" w:color="auto"/>
      </w:divBdr>
      <w:divsChild>
        <w:div w:id="1824078164">
          <w:marLeft w:val="0"/>
          <w:marRight w:val="0"/>
          <w:marTop w:val="0"/>
          <w:marBottom w:val="0"/>
          <w:divBdr>
            <w:top w:val="none" w:sz="0" w:space="0" w:color="auto"/>
            <w:left w:val="none" w:sz="0" w:space="0" w:color="auto"/>
            <w:bottom w:val="none" w:sz="0" w:space="0" w:color="auto"/>
            <w:right w:val="none" w:sz="0" w:space="0" w:color="auto"/>
          </w:divBdr>
          <w:divsChild>
            <w:div w:id="1992176543">
              <w:marLeft w:val="0"/>
              <w:marRight w:val="0"/>
              <w:marTop w:val="0"/>
              <w:marBottom w:val="0"/>
              <w:divBdr>
                <w:top w:val="none" w:sz="0" w:space="0" w:color="auto"/>
                <w:left w:val="none" w:sz="0" w:space="0" w:color="auto"/>
                <w:bottom w:val="none" w:sz="0" w:space="0" w:color="auto"/>
                <w:right w:val="none" w:sz="0" w:space="0" w:color="auto"/>
              </w:divBdr>
              <w:divsChild>
                <w:div w:id="1949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8177">
      <w:bodyDiv w:val="1"/>
      <w:marLeft w:val="0"/>
      <w:marRight w:val="0"/>
      <w:marTop w:val="0"/>
      <w:marBottom w:val="0"/>
      <w:divBdr>
        <w:top w:val="none" w:sz="0" w:space="0" w:color="auto"/>
        <w:left w:val="none" w:sz="0" w:space="0" w:color="auto"/>
        <w:bottom w:val="none" w:sz="0" w:space="0" w:color="auto"/>
        <w:right w:val="none" w:sz="0" w:space="0" w:color="auto"/>
      </w:divBdr>
    </w:div>
    <w:div w:id="1662614750">
      <w:bodyDiv w:val="1"/>
      <w:marLeft w:val="0"/>
      <w:marRight w:val="0"/>
      <w:marTop w:val="0"/>
      <w:marBottom w:val="0"/>
      <w:divBdr>
        <w:top w:val="none" w:sz="0" w:space="0" w:color="auto"/>
        <w:left w:val="none" w:sz="0" w:space="0" w:color="auto"/>
        <w:bottom w:val="none" w:sz="0" w:space="0" w:color="auto"/>
        <w:right w:val="none" w:sz="0" w:space="0" w:color="auto"/>
      </w:divBdr>
      <w:divsChild>
        <w:div w:id="633172776">
          <w:marLeft w:val="0"/>
          <w:marRight w:val="0"/>
          <w:marTop w:val="0"/>
          <w:marBottom w:val="0"/>
          <w:divBdr>
            <w:top w:val="none" w:sz="0" w:space="0" w:color="auto"/>
            <w:left w:val="none" w:sz="0" w:space="0" w:color="auto"/>
            <w:bottom w:val="none" w:sz="0" w:space="0" w:color="auto"/>
            <w:right w:val="none" w:sz="0" w:space="0" w:color="auto"/>
          </w:divBdr>
          <w:divsChild>
            <w:div w:id="1318605801">
              <w:marLeft w:val="0"/>
              <w:marRight w:val="0"/>
              <w:marTop w:val="0"/>
              <w:marBottom w:val="0"/>
              <w:divBdr>
                <w:top w:val="none" w:sz="0" w:space="0" w:color="auto"/>
                <w:left w:val="none" w:sz="0" w:space="0" w:color="auto"/>
                <w:bottom w:val="none" w:sz="0" w:space="0" w:color="auto"/>
                <w:right w:val="none" w:sz="0" w:space="0" w:color="auto"/>
              </w:divBdr>
              <w:divsChild>
                <w:div w:id="380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84988">
      <w:bodyDiv w:val="1"/>
      <w:marLeft w:val="0"/>
      <w:marRight w:val="0"/>
      <w:marTop w:val="0"/>
      <w:marBottom w:val="0"/>
      <w:divBdr>
        <w:top w:val="none" w:sz="0" w:space="0" w:color="auto"/>
        <w:left w:val="none" w:sz="0" w:space="0" w:color="auto"/>
        <w:bottom w:val="none" w:sz="0" w:space="0" w:color="auto"/>
        <w:right w:val="none" w:sz="0" w:space="0" w:color="auto"/>
      </w:divBdr>
      <w:divsChild>
        <w:div w:id="565534740">
          <w:marLeft w:val="0"/>
          <w:marRight w:val="0"/>
          <w:marTop w:val="0"/>
          <w:marBottom w:val="0"/>
          <w:divBdr>
            <w:top w:val="none" w:sz="0" w:space="0" w:color="auto"/>
            <w:left w:val="none" w:sz="0" w:space="0" w:color="auto"/>
            <w:bottom w:val="none" w:sz="0" w:space="0" w:color="auto"/>
            <w:right w:val="none" w:sz="0" w:space="0" w:color="auto"/>
          </w:divBdr>
          <w:divsChild>
            <w:div w:id="322392450">
              <w:marLeft w:val="0"/>
              <w:marRight w:val="0"/>
              <w:marTop w:val="0"/>
              <w:marBottom w:val="0"/>
              <w:divBdr>
                <w:top w:val="none" w:sz="0" w:space="0" w:color="auto"/>
                <w:left w:val="none" w:sz="0" w:space="0" w:color="auto"/>
                <w:bottom w:val="none" w:sz="0" w:space="0" w:color="auto"/>
                <w:right w:val="none" w:sz="0" w:space="0" w:color="auto"/>
              </w:divBdr>
              <w:divsChild>
                <w:div w:id="1146315410">
                  <w:marLeft w:val="0"/>
                  <w:marRight w:val="0"/>
                  <w:marTop w:val="0"/>
                  <w:marBottom w:val="0"/>
                  <w:divBdr>
                    <w:top w:val="none" w:sz="0" w:space="0" w:color="auto"/>
                    <w:left w:val="none" w:sz="0" w:space="0" w:color="auto"/>
                    <w:bottom w:val="none" w:sz="0" w:space="0" w:color="auto"/>
                    <w:right w:val="none" w:sz="0" w:space="0" w:color="auto"/>
                  </w:divBdr>
                  <w:divsChild>
                    <w:div w:id="250089164">
                      <w:marLeft w:val="0"/>
                      <w:marRight w:val="0"/>
                      <w:marTop w:val="0"/>
                      <w:marBottom w:val="0"/>
                      <w:divBdr>
                        <w:top w:val="none" w:sz="0" w:space="0" w:color="auto"/>
                        <w:left w:val="none" w:sz="0" w:space="0" w:color="auto"/>
                        <w:bottom w:val="none" w:sz="0" w:space="0" w:color="auto"/>
                        <w:right w:val="none" w:sz="0" w:space="0" w:color="auto"/>
                      </w:divBdr>
                      <w:divsChild>
                        <w:div w:id="1698848194">
                          <w:marLeft w:val="0"/>
                          <w:marRight w:val="0"/>
                          <w:marTop w:val="0"/>
                          <w:marBottom w:val="0"/>
                          <w:divBdr>
                            <w:top w:val="none" w:sz="0" w:space="0" w:color="auto"/>
                            <w:left w:val="none" w:sz="0" w:space="0" w:color="auto"/>
                            <w:bottom w:val="none" w:sz="0" w:space="0" w:color="auto"/>
                            <w:right w:val="none" w:sz="0" w:space="0" w:color="auto"/>
                          </w:divBdr>
                          <w:divsChild>
                            <w:div w:id="1361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0375">
              <w:marLeft w:val="0"/>
              <w:marRight w:val="0"/>
              <w:marTop w:val="0"/>
              <w:marBottom w:val="0"/>
              <w:divBdr>
                <w:top w:val="none" w:sz="0" w:space="0" w:color="auto"/>
                <w:left w:val="none" w:sz="0" w:space="0" w:color="auto"/>
                <w:bottom w:val="none" w:sz="0" w:space="0" w:color="auto"/>
                <w:right w:val="none" w:sz="0" w:space="0" w:color="auto"/>
              </w:divBdr>
              <w:divsChild>
                <w:div w:id="1573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245">
          <w:marLeft w:val="0"/>
          <w:marRight w:val="0"/>
          <w:marTop w:val="0"/>
          <w:marBottom w:val="0"/>
          <w:divBdr>
            <w:top w:val="none" w:sz="0" w:space="0" w:color="auto"/>
            <w:left w:val="none" w:sz="0" w:space="0" w:color="auto"/>
            <w:bottom w:val="none" w:sz="0" w:space="0" w:color="auto"/>
            <w:right w:val="none" w:sz="0" w:space="0" w:color="auto"/>
          </w:divBdr>
          <w:divsChild>
            <w:div w:id="881670708">
              <w:marLeft w:val="0"/>
              <w:marRight w:val="0"/>
              <w:marTop w:val="0"/>
              <w:marBottom w:val="0"/>
              <w:divBdr>
                <w:top w:val="none" w:sz="0" w:space="0" w:color="auto"/>
                <w:left w:val="none" w:sz="0" w:space="0" w:color="auto"/>
                <w:bottom w:val="none" w:sz="0" w:space="0" w:color="auto"/>
                <w:right w:val="none" w:sz="0" w:space="0" w:color="auto"/>
              </w:divBdr>
              <w:divsChild>
                <w:div w:id="2066684431">
                  <w:marLeft w:val="0"/>
                  <w:marRight w:val="0"/>
                  <w:marTop w:val="0"/>
                  <w:marBottom w:val="0"/>
                  <w:divBdr>
                    <w:top w:val="none" w:sz="0" w:space="0" w:color="auto"/>
                    <w:left w:val="none" w:sz="0" w:space="0" w:color="auto"/>
                    <w:bottom w:val="none" w:sz="0" w:space="0" w:color="auto"/>
                    <w:right w:val="none" w:sz="0" w:space="0" w:color="auto"/>
                  </w:divBdr>
                  <w:divsChild>
                    <w:div w:id="2142918188">
                      <w:marLeft w:val="0"/>
                      <w:marRight w:val="0"/>
                      <w:marTop w:val="0"/>
                      <w:marBottom w:val="0"/>
                      <w:divBdr>
                        <w:top w:val="none" w:sz="0" w:space="0" w:color="auto"/>
                        <w:left w:val="none" w:sz="0" w:space="0" w:color="auto"/>
                        <w:bottom w:val="none" w:sz="0" w:space="0" w:color="auto"/>
                        <w:right w:val="none" w:sz="0" w:space="0" w:color="auto"/>
                      </w:divBdr>
                      <w:divsChild>
                        <w:div w:id="1945916699">
                          <w:marLeft w:val="0"/>
                          <w:marRight w:val="0"/>
                          <w:marTop w:val="0"/>
                          <w:marBottom w:val="0"/>
                          <w:divBdr>
                            <w:top w:val="none" w:sz="0" w:space="0" w:color="auto"/>
                            <w:left w:val="none" w:sz="0" w:space="0" w:color="auto"/>
                            <w:bottom w:val="none" w:sz="0" w:space="0" w:color="auto"/>
                            <w:right w:val="none" w:sz="0" w:space="0" w:color="auto"/>
                          </w:divBdr>
                          <w:divsChild>
                            <w:div w:id="1874614134">
                              <w:marLeft w:val="0"/>
                              <w:marRight w:val="0"/>
                              <w:marTop w:val="0"/>
                              <w:marBottom w:val="0"/>
                              <w:divBdr>
                                <w:top w:val="none" w:sz="0" w:space="0" w:color="auto"/>
                                <w:left w:val="none" w:sz="0" w:space="0" w:color="auto"/>
                                <w:bottom w:val="none" w:sz="0" w:space="0" w:color="auto"/>
                                <w:right w:val="none" w:sz="0" w:space="0" w:color="auto"/>
                              </w:divBdr>
                              <w:divsChild>
                                <w:div w:id="1357080353">
                                  <w:marLeft w:val="0"/>
                                  <w:marRight w:val="0"/>
                                  <w:marTop w:val="0"/>
                                  <w:marBottom w:val="0"/>
                                  <w:divBdr>
                                    <w:top w:val="none" w:sz="0" w:space="0" w:color="auto"/>
                                    <w:left w:val="none" w:sz="0" w:space="0" w:color="auto"/>
                                    <w:bottom w:val="none" w:sz="0" w:space="0" w:color="auto"/>
                                    <w:right w:val="none" w:sz="0" w:space="0" w:color="auto"/>
                                  </w:divBdr>
                                  <w:divsChild>
                                    <w:div w:id="1006325751">
                                      <w:marLeft w:val="0"/>
                                      <w:marRight w:val="0"/>
                                      <w:marTop w:val="0"/>
                                      <w:marBottom w:val="0"/>
                                      <w:divBdr>
                                        <w:top w:val="none" w:sz="0" w:space="0" w:color="auto"/>
                                        <w:left w:val="none" w:sz="0" w:space="0" w:color="auto"/>
                                        <w:bottom w:val="none" w:sz="0" w:space="0" w:color="auto"/>
                                        <w:right w:val="none" w:sz="0" w:space="0" w:color="auto"/>
                                      </w:divBdr>
                                      <w:divsChild>
                                        <w:div w:id="912397315">
                                          <w:marLeft w:val="0"/>
                                          <w:marRight w:val="0"/>
                                          <w:marTop w:val="0"/>
                                          <w:marBottom w:val="0"/>
                                          <w:divBdr>
                                            <w:top w:val="none" w:sz="0" w:space="0" w:color="auto"/>
                                            <w:left w:val="none" w:sz="0" w:space="0" w:color="auto"/>
                                            <w:bottom w:val="none" w:sz="0" w:space="0" w:color="auto"/>
                                            <w:right w:val="none" w:sz="0" w:space="0" w:color="auto"/>
                                          </w:divBdr>
                                          <w:divsChild>
                                            <w:div w:id="303318883">
                                              <w:marLeft w:val="0"/>
                                              <w:marRight w:val="0"/>
                                              <w:marTop w:val="0"/>
                                              <w:marBottom w:val="0"/>
                                              <w:divBdr>
                                                <w:top w:val="none" w:sz="0" w:space="0" w:color="auto"/>
                                                <w:left w:val="none" w:sz="0" w:space="0" w:color="auto"/>
                                                <w:bottom w:val="none" w:sz="0" w:space="0" w:color="auto"/>
                                                <w:right w:val="none" w:sz="0" w:space="0" w:color="auto"/>
                                              </w:divBdr>
                                              <w:divsChild>
                                                <w:div w:id="2028481326">
                                                  <w:marLeft w:val="0"/>
                                                  <w:marRight w:val="0"/>
                                                  <w:marTop w:val="0"/>
                                                  <w:marBottom w:val="0"/>
                                                  <w:divBdr>
                                                    <w:top w:val="none" w:sz="0" w:space="0" w:color="auto"/>
                                                    <w:left w:val="none" w:sz="0" w:space="0" w:color="auto"/>
                                                    <w:bottom w:val="none" w:sz="0" w:space="0" w:color="auto"/>
                                                    <w:right w:val="none" w:sz="0" w:space="0" w:color="auto"/>
                                                  </w:divBdr>
                                                  <w:divsChild>
                                                    <w:div w:id="276716130">
                                                      <w:marLeft w:val="0"/>
                                                      <w:marRight w:val="0"/>
                                                      <w:marTop w:val="0"/>
                                                      <w:marBottom w:val="0"/>
                                                      <w:divBdr>
                                                        <w:top w:val="none" w:sz="0" w:space="0" w:color="auto"/>
                                                        <w:left w:val="none" w:sz="0" w:space="0" w:color="auto"/>
                                                        <w:bottom w:val="none" w:sz="0" w:space="0" w:color="auto"/>
                                                        <w:right w:val="none" w:sz="0" w:space="0" w:color="auto"/>
                                                      </w:divBdr>
                                                    </w:div>
                                                  </w:divsChild>
                                                </w:div>
                                                <w:div w:id="181433369">
                                                  <w:marLeft w:val="0"/>
                                                  <w:marRight w:val="0"/>
                                                  <w:marTop w:val="0"/>
                                                  <w:marBottom w:val="0"/>
                                                  <w:divBdr>
                                                    <w:top w:val="none" w:sz="0" w:space="0" w:color="auto"/>
                                                    <w:left w:val="none" w:sz="0" w:space="0" w:color="auto"/>
                                                    <w:bottom w:val="none" w:sz="0" w:space="0" w:color="auto"/>
                                                    <w:right w:val="none" w:sz="0" w:space="0" w:color="auto"/>
                                                  </w:divBdr>
                                                  <w:divsChild>
                                                    <w:div w:id="66997677">
                                                      <w:marLeft w:val="0"/>
                                                      <w:marRight w:val="0"/>
                                                      <w:marTop w:val="0"/>
                                                      <w:marBottom w:val="0"/>
                                                      <w:divBdr>
                                                        <w:top w:val="none" w:sz="0" w:space="0" w:color="auto"/>
                                                        <w:left w:val="none" w:sz="0" w:space="0" w:color="auto"/>
                                                        <w:bottom w:val="none" w:sz="0" w:space="0" w:color="auto"/>
                                                        <w:right w:val="none" w:sz="0" w:space="0" w:color="auto"/>
                                                      </w:divBdr>
                                                      <w:divsChild>
                                                        <w:div w:id="831065289">
                                                          <w:marLeft w:val="0"/>
                                                          <w:marRight w:val="0"/>
                                                          <w:marTop w:val="0"/>
                                                          <w:marBottom w:val="0"/>
                                                          <w:divBdr>
                                                            <w:top w:val="none" w:sz="0" w:space="0" w:color="auto"/>
                                                            <w:left w:val="none" w:sz="0" w:space="0" w:color="auto"/>
                                                            <w:bottom w:val="none" w:sz="0" w:space="0" w:color="auto"/>
                                                            <w:right w:val="none" w:sz="0" w:space="0" w:color="auto"/>
                                                          </w:divBdr>
                                                          <w:divsChild>
                                                            <w:div w:id="281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92272">
                                  <w:marLeft w:val="0"/>
                                  <w:marRight w:val="0"/>
                                  <w:marTop w:val="0"/>
                                  <w:marBottom w:val="0"/>
                                  <w:divBdr>
                                    <w:top w:val="none" w:sz="0" w:space="0" w:color="auto"/>
                                    <w:left w:val="none" w:sz="0" w:space="0" w:color="auto"/>
                                    <w:bottom w:val="none" w:sz="0" w:space="0" w:color="auto"/>
                                    <w:right w:val="none" w:sz="0" w:space="0" w:color="auto"/>
                                  </w:divBdr>
                                  <w:divsChild>
                                    <w:div w:id="1753743978">
                                      <w:marLeft w:val="0"/>
                                      <w:marRight w:val="0"/>
                                      <w:marTop w:val="0"/>
                                      <w:marBottom w:val="0"/>
                                      <w:divBdr>
                                        <w:top w:val="none" w:sz="0" w:space="0" w:color="auto"/>
                                        <w:left w:val="none" w:sz="0" w:space="0" w:color="auto"/>
                                        <w:bottom w:val="none" w:sz="0" w:space="0" w:color="auto"/>
                                        <w:right w:val="none" w:sz="0" w:space="0" w:color="auto"/>
                                      </w:divBdr>
                                      <w:divsChild>
                                        <w:div w:id="547841858">
                                          <w:marLeft w:val="0"/>
                                          <w:marRight w:val="0"/>
                                          <w:marTop w:val="0"/>
                                          <w:marBottom w:val="0"/>
                                          <w:divBdr>
                                            <w:top w:val="none" w:sz="0" w:space="0" w:color="auto"/>
                                            <w:left w:val="none" w:sz="0" w:space="0" w:color="auto"/>
                                            <w:bottom w:val="none" w:sz="0" w:space="0" w:color="auto"/>
                                            <w:right w:val="none" w:sz="0" w:space="0" w:color="auto"/>
                                          </w:divBdr>
                                          <w:divsChild>
                                            <w:div w:id="1298535339">
                                              <w:marLeft w:val="0"/>
                                              <w:marRight w:val="0"/>
                                              <w:marTop w:val="0"/>
                                              <w:marBottom w:val="0"/>
                                              <w:divBdr>
                                                <w:top w:val="none" w:sz="0" w:space="0" w:color="auto"/>
                                                <w:left w:val="none" w:sz="0" w:space="0" w:color="auto"/>
                                                <w:bottom w:val="none" w:sz="0" w:space="0" w:color="auto"/>
                                                <w:right w:val="none" w:sz="0" w:space="0" w:color="auto"/>
                                              </w:divBdr>
                                              <w:divsChild>
                                                <w:div w:id="3417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000438">
                                      <w:marLeft w:val="0"/>
                                      <w:marRight w:val="0"/>
                                      <w:marTop w:val="0"/>
                                      <w:marBottom w:val="0"/>
                                      <w:divBdr>
                                        <w:top w:val="none" w:sz="0" w:space="0" w:color="auto"/>
                                        <w:left w:val="none" w:sz="0" w:space="0" w:color="auto"/>
                                        <w:bottom w:val="none" w:sz="0" w:space="0" w:color="auto"/>
                                        <w:right w:val="none" w:sz="0" w:space="0" w:color="auto"/>
                                      </w:divBdr>
                                      <w:divsChild>
                                        <w:div w:id="1939369291">
                                          <w:marLeft w:val="0"/>
                                          <w:marRight w:val="0"/>
                                          <w:marTop w:val="0"/>
                                          <w:marBottom w:val="0"/>
                                          <w:divBdr>
                                            <w:top w:val="none" w:sz="0" w:space="0" w:color="auto"/>
                                            <w:left w:val="none" w:sz="0" w:space="0" w:color="auto"/>
                                            <w:bottom w:val="none" w:sz="0" w:space="0" w:color="auto"/>
                                            <w:right w:val="none" w:sz="0" w:space="0" w:color="auto"/>
                                          </w:divBdr>
                                          <w:divsChild>
                                            <w:div w:id="4537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97595">
                          <w:marLeft w:val="0"/>
                          <w:marRight w:val="0"/>
                          <w:marTop w:val="0"/>
                          <w:marBottom w:val="0"/>
                          <w:divBdr>
                            <w:top w:val="none" w:sz="0" w:space="0" w:color="auto"/>
                            <w:left w:val="none" w:sz="0" w:space="0" w:color="auto"/>
                            <w:bottom w:val="none" w:sz="0" w:space="0" w:color="auto"/>
                            <w:right w:val="none" w:sz="0" w:space="0" w:color="auto"/>
                          </w:divBdr>
                          <w:divsChild>
                            <w:div w:id="1999310058">
                              <w:marLeft w:val="0"/>
                              <w:marRight w:val="0"/>
                              <w:marTop w:val="0"/>
                              <w:marBottom w:val="0"/>
                              <w:divBdr>
                                <w:top w:val="none" w:sz="0" w:space="0" w:color="auto"/>
                                <w:left w:val="none" w:sz="0" w:space="0" w:color="auto"/>
                                <w:bottom w:val="none" w:sz="0" w:space="0" w:color="auto"/>
                                <w:right w:val="none" w:sz="0" w:space="0" w:color="auto"/>
                              </w:divBdr>
                              <w:divsChild>
                                <w:div w:id="615722450">
                                  <w:marLeft w:val="0"/>
                                  <w:marRight w:val="0"/>
                                  <w:marTop w:val="0"/>
                                  <w:marBottom w:val="0"/>
                                  <w:divBdr>
                                    <w:top w:val="none" w:sz="0" w:space="0" w:color="auto"/>
                                    <w:left w:val="none" w:sz="0" w:space="0" w:color="auto"/>
                                    <w:bottom w:val="none" w:sz="0" w:space="0" w:color="auto"/>
                                    <w:right w:val="none" w:sz="0" w:space="0" w:color="auto"/>
                                  </w:divBdr>
                                  <w:divsChild>
                                    <w:div w:id="1870675923">
                                      <w:marLeft w:val="0"/>
                                      <w:marRight w:val="0"/>
                                      <w:marTop w:val="0"/>
                                      <w:marBottom w:val="0"/>
                                      <w:divBdr>
                                        <w:top w:val="none" w:sz="0" w:space="0" w:color="auto"/>
                                        <w:left w:val="none" w:sz="0" w:space="0" w:color="auto"/>
                                        <w:bottom w:val="none" w:sz="0" w:space="0" w:color="auto"/>
                                        <w:right w:val="none" w:sz="0" w:space="0" w:color="auto"/>
                                      </w:divBdr>
                                      <w:divsChild>
                                        <w:div w:id="1282608258">
                                          <w:marLeft w:val="0"/>
                                          <w:marRight w:val="0"/>
                                          <w:marTop w:val="0"/>
                                          <w:marBottom w:val="0"/>
                                          <w:divBdr>
                                            <w:top w:val="none" w:sz="0" w:space="0" w:color="auto"/>
                                            <w:left w:val="none" w:sz="0" w:space="0" w:color="auto"/>
                                            <w:bottom w:val="none" w:sz="0" w:space="0" w:color="auto"/>
                                            <w:right w:val="none" w:sz="0" w:space="0" w:color="auto"/>
                                          </w:divBdr>
                                          <w:divsChild>
                                            <w:div w:id="2056194447">
                                              <w:marLeft w:val="0"/>
                                              <w:marRight w:val="0"/>
                                              <w:marTop w:val="0"/>
                                              <w:marBottom w:val="0"/>
                                              <w:divBdr>
                                                <w:top w:val="none" w:sz="0" w:space="0" w:color="auto"/>
                                                <w:left w:val="none" w:sz="0" w:space="0" w:color="auto"/>
                                                <w:bottom w:val="none" w:sz="0" w:space="0" w:color="auto"/>
                                                <w:right w:val="none" w:sz="0" w:space="0" w:color="auto"/>
                                              </w:divBdr>
                                              <w:divsChild>
                                                <w:div w:id="3322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838579">
                          <w:marLeft w:val="0"/>
                          <w:marRight w:val="0"/>
                          <w:marTop w:val="0"/>
                          <w:marBottom w:val="0"/>
                          <w:divBdr>
                            <w:top w:val="none" w:sz="0" w:space="0" w:color="auto"/>
                            <w:left w:val="none" w:sz="0" w:space="0" w:color="auto"/>
                            <w:bottom w:val="none" w:sz="0" w:space="0" w:color="auto"/>
                            <w:right w:val="none" w:sz="0" w:space="0" w:color="auto"/>
                          </w:divBdr>
                          <w:divsChild>
                            <w:div w:id="1307472816">
                              <w:marLeft w:val="0"/>
                              <w:marRight w:val="0"/>
                              <w:marTop w:val="0"/>
                              <w:marBottom w:val="0"/>
                              <w:divBdr>
                                <w:top w:val="none" w:sz="0" w:space="0" w:color="auto"/>
                                <w:left w:val="none" w:sz="0" w:space="0" w:color="auto"/>
                                <w:bottom w:val="none" w:sz="0" w:space="0" w:color="auto"/>
                                <w:right w:val="none" w:sz="0" w:space="0" w:color="auto"/>
                              </w:divBdr>
                              <w:divsChild>
                                <w:div w:id="1713769785">
                                  <w:marLeft w:val="0"/>
                                  <w:marRight w:val="0"/>
                                  <w:marTop w:val="0"/>
                                  <w:marBottom w:val="0"/>
                                  <w:divBdr>
                                    <w:top w:val="none" w:sz="0" w:space="0" w:color="auto"/>
                                    <w:left w:val="none" w:sz="0" w:space="0" w:color="auto"/>
                                    <w:bottom w:val="none" w:sz="0" w:space="0" w:color="auto"/>
                                    <w:right w:val="none" w:sz="0" w:space="0" w:color="auto"/>
                                  </w:divBdr>
                                  <w:divsChild>
                                    <w:div w:id="393085513">
                                      <w:marLeft w:val="0"/>
                                      <w:marRight w:val="0"/>
                                      <w:marTop w:val="0"/>
                                      <w:marBottom w:val="0"/>
                                      <w:divBdr>
                                        <w:top w:val="none" w:sz="0" w:space="0" w:color="auto"/>
                                        <w:left w:val="none" w:sz="0" w:space="0" w:color="auto"/>
                                        <w:bottom w:val="none" w:sz="0" w:space="0" w:color="auto"/>
                                        <w:right w:val="none" w:sz="0" w:space="0" w:color="auto"/>
                                      </w:divBdr>
                                      <w:divsChild>
                                        <w:div w:id="1662931664">
                                          <w:marLeft w:val="0"/>
                                          <w:marRight w:val="0"/>
                                          <w:marTop w:val="0"/>
                                          <w:marBottom w:val="0"/>
                                          <w:divBdr>
                                            <w:top w:val="none" w:sz="0" w:space="0" w:color="auto"/>
                                            <w:left w:val="none" w:sz="0" w:space="0" w:color="auto"/>
                                            <w:bottom w:val="none" w:sz="0" w:space="0" w:color="auto"/>
                                            <w:right w:val="none" w:sz="0" w:space="0" w:color="auto"/>
                                          </w:divBdr>
                                          <w:divsChild>
                                            <w:div w:id="1736198622">
                                              <w:marLeft w:val="0"/>
                                              <w:marRight w:val="0"/>
                                              <w:marTop w:val="0"/>
                                              <w:marBottom w:val="0"/>
                                              <w:divBdr>
                                                <w:top w:val="none" w:sz="0" w:space="0" w:color="auto"/>
                                                <w:left w:val="none" w:sz="0" w:space="0" w:color="auto"/>
                                                <w:bottom w:val="none" w:sz="0" w:space="0" w:color="auto"/>
                                                <w:right w:val="none" w:sz="0" w:space="0" w:color="auto"/>
                                              </w:divBdr>
                                              <w:divsChild>
                                                <w:div w:id="4924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4347">
                                      <w:marLeft w:val="0"/>
                                      <w:marRight w:val="0"/>
                                      <w:marTop w:val="0"/>
                                      <w:marBottom w:val="0"/>
                                      <w:divBdr>
                                        <w:top w:val="none" w:sz="0" w:space="0" w:color="auto"/>
                                        <w:left w:val="none" w:sz="0" w:space="0" w:color="auto"/>
                                        <w:bottom w:val="none" w:sz="0" w:space="0" w:color="auto"/>
                                        <w:right w:val="none" w:sz="0" w:space="0" w:color="auto"/>
                                      </w:divBdr>
                                      <w:divsChild>
                                        <w:div w:id="188304776">
                                          <w:marLeft w:val="0"/>
                                          <w:marRight w:val="0"/>
                                          <w:marTop w:val="0"/>
                                          <w:marBottom w:val="0"/>
                                          <w:divBdr>
                                            <w:top w:val="none" w:sz="0" w:space="0" w:color="auto"/>
                                            <w:left w:val="none" w:sz="0" w:space="0" w:color="auto"/>
                                            <w:bottom w:val="none" w:sz="0" w:space="0" w:color="auto"/>
                                            <w:right w:val="none" w:sz="0" w:space="0" w:color="auto"/>
                                          </w:divBdr>
                                          <w:divsChild>
                                            <w:div w:id="6966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78591">
                          <w:marLeft w:val="0"/>
                          <w:marRight w:val="0"/>
                          <w:marTop w:val="0"/>
                          <w:marBottom w:val="0"/>
                          <w:divBdr>
                            <w:top w:val="none" w:sz="0" w:space="0" w:color="auto"/>
                            <w:left w:val="none" w:sz="0" w:space="0" w:color="auto"/>
                            <w:bottom w:val="none" w:sz="0" w:space="0" w:color="auto"/>
                            <w:right w:val="none" w:sz="0" w:space="0" w:color="auto"/>
                          </w:divBdr>
                          <w:divsChild>
                            <w:div w:id="656222885">
                              <w:marLeft w:val="0"/>
                              <w:marRight w:val="0"/>
                              <w:marTop w:val="0"/>
                              <w:marBottom w:val="0"/>
                              <w:divBdr>
                                <w:top w:val="none" w:sz="0" w:space="0" w:color="auto"/>
                                <w:left w:val="none" w:sz="0" w:space="0" w:color="auto"/>
                                <w:bottom w:val="none" w:sz="0" w:space="0" w:color="auto"/>
                                <w:right w:val="none" w:sz="0" w:space="0" w:color="auto"/>
                              </w:divBdr>
                              <w:divsChild>
                                <w:div w:id="541206955">
                                  <w:marLeft w:val="0"/>
                                  <w:marRight w:val="0"/>
                                  <w:marTop w:val="0"/>
                                  <w:marBottom w:val="0"/>
                                  <w:divBdr>
                                    <w:top w:val="none" w:sz="0" w:space="0" w:color="auto"/>
                                    <w:left w:val="none" w:sz="0" w:space="0" w:color="auto"/>
                                    <w:bottom w:val="none" w:sz="0" w:space="0" w:color="auto"/>
                                    <w:right w:val="none" w:sz="0" w:space="0" w:color="auto"/>
                                  </w:divBdr>
                                  <w:divsChild>
                                    <w:div w:id="848256484">
                                      <w:marLeft w:val="0"/>
                                      <w:marRight w:val="0"/>
                                      <w:marTop w:val="0"/>
                                      <w:marBottom w:val="0"/>
                                      <w:divBdr>
                                        <w:top w:val="none" w:sz="0" w:space="0" w:color="auto"/>
                                        <w:left w:val="none" w:sz="0" w:space="0" w:color="auto"/>
                                        <w:bottom w:val="none" w:sz="0" w:space="0" w:color="auto"/>
                                        <w:right w:val="none" w:sz="0" w:space="0" w:color="auto"/>
                                      </w:divBdr>
                                      <w:divsChild>
                                        <w:div w:id="604119360">
                                          <w:marLeft w:val="0"/>
                                          <w:marRight w:val="0"/>
                                          <w:marTop w:val="0"/>
                                          <w:marBottom w:val="0"/>
                                          <w:divBdr>
                                            <w:top w:val="none" w:sz="0" w:space="0" w:color="auto"/>
                                            <w:left w:val="none" w:sz="0" w:space="0" w:color="auto"/>
                                            <w:bottom w:val="none" w:sz="0" w:space="0" w:color="auto"/>
                                            <w:right w:val="none" w:sz="0" w:space="0" w:color="auto"/>
                                          </w:divBdr>
                                          <w:divsChild>
                                            <w:div w:id="690184533">
                                              <w:marLeft w:val="0"/>
                                              <w:marRight w:val="0"/>
                                              <w:marTop w:val="0"/>
                                              <w:marBottom w:val="0"/>
                                              <w:divBdr>
                                                <w:top w:val="none" w:sz="0" w:space="0" w:color="auto"/>
                                                <w:left w:val="none" w:sz="0" w:space="0" w:color="auto"/>
                                                <w:bottom w:val="none" w:sz="0" w:space="0" w:color="auto"/>
                                                <w:right w:val="none" w:sz="0" w:space="0" w:color="auto"/>
                                              </w:divBdr>
                                              <w:divsChild>
                                                <w:div w:id="18295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325575">
                          <w:marLeft w:val="0"/>
                          <w:marRight w:val="0"/>
                          <w:marTop w:val="0"/>
                          <w:marBottom w:val="0"/>
                          <w:divBdr>
                            <w:top w:val="none" w:sz="0" w:space="0" w:color="auto"/>
                            <w:left w:val="none" w:sz="0" w:space="0" w:color="auto"/>
                            <w:bottom w:val="none" w:sz="0" w:space="0" w:color="auto"/>
                            <w:right w:val="none" w:sz="0" w:space="0" w:color="auto"/>
                          </w:divBdr>
                          <w:divsChild>
                            <w:div w:id="1938321917">
                              <w:marLeft w:val="0"/>
                              <w:marRight w:val="0"/>
                              <w:marTop w:val="0"/>
                              <w:marBottom w:val="0"/>
                              <w:divBdr>
                                <w:top w:val="none" w:sz="0" w:space="0" w:color="auto"/>
                                <w:left w:val="none" w:sz="0" w:space="0" w:color="auto"/>
                                <w:bottom w:val="none" w:sz="0" w:space="0" w:color="auto"/>
                                <w:right w:val="none" w:sz="0" w:space="0" w:color="auto"/>
                              </w:divBdr>
                              <w:divsChild>
                                <w:div w:id="865870780">
                                  <w:marLeft w:val="0"/>
                                  <w:marRight w:val="0"/>
                                  <w:marTop w:val="0"/>
                                  <w:marBottom w:val="0"/>
                                  <w:divBdr>
                                    <w:top w:val="none" w:sz="0" w:space="0" w:color="auto"/>
                                    <w:left w:val="none" w:sz="0" w:space="0" w:color="auto"/>
                                    <w:bottom w:val="none" w:sz="0" w:space="0" w:color="auto"/>
                                    <w:right w:val="none" w:sz="0" w:space="0" w:color="auto"/>
                                  </w:divBdr>
                                  <w:divsChild>
                                    <w:div w:id="1025983723">
                                      <w:marLeft w:val="0"/>
                                      <w:marRight w:val="0"/>
                                      <w:marTop w:val="0"/>
                                      <w:marBottom w:val="0"/>
                                      <w:divBdr>
                                        <w:top w:val="none" w:sz="0" w:space="0" w:color="auto"/>
                                        <w:left w:val="none" w:sz="0" w:space="0" w:color="auto"/>
                                        <w:bottom w:val="none" w:sz="0" w:space="0" w:color="auto"/>
                                        <w:right w:val="none" w:sz="0" w:space="0" w:color="auto"/>
                                      </w:divBdr>
                                      <w:divsChild>
                                        <w:div w:id="2040201841">
                                          <w:marLeft w:val="0"/>
                                          <w:marRight w:val="0"/>
                                          <w:marTop w:val="0"/>
                                          <w:marBottom w:val="0"/>
                                          <w:divBdr>
                                            <w:top w:val="none" w:sz="0" w:space="0" w:color="auto"/>
                                            <w:left w:val="none" w:sz="0" w:space="0" w:color="auto"/>
                                            <w:bottom w:val="none" w:sz="0" w:space="0" w:color="auto"/>
                                            <w:right w:val="none" w:sz="0" w:space="0" w:color="auto"/>
                                          </w:divBdr>
                                          <w:divsChild>
                                            <w:div w:id="1370228059">
                                              <w:marLeft w:val="0"/>
                                              <w:marRight w:val="0"/>
                                              <w:marTop w:val="0"/>
                                              <w:marBottom w:val="0"/>
                                              <w:divBdr>
                                                <w:top w:val="none" w:sz="0" w:space="0" w:color="auto"/>
                                                <w:left w:val="none" w:sz="0" w:space="0" w:color="auto"/>
                                                <w:bottom w:val="none" w:sz="0" w:space="0" w:color="auto"/>
                                                <w:right w:val="none" w:sz="0" w:space="0" w:color="auto"/>
                                              </w:divBdr>
                                              <w:divsChild>
                                                <w:div w:id="14684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2323">
                                      <w:marLeft w:val="0"/>
                                      <w:marRight w:val="0"/>
                                      <w:marTop w:val="0"/>
                                      <w:marBottom w:val="0"/>
                                      <w:divBdr>
                                        <w:top w:val="none" w:sz="0" w:space="0" w:color="auto"/>
                                        <w:left w:val="none" w:sz="0" w:space="0" w:color="auto"/>
                                        <w:bottom w:val="none" w:sz="0" w:space="0" w:color="auto"/>
                                        <w:right w:val="none" w:sz="0" w:space="0" w:color="auto"/>
                                      </w:divBdr>
                                      <w:divsChild>
                                        <w:div w:id="1196968787">
                                          <w:marLeft w:val="0"/>
                                          <w:marRight w:val="0"/>
                                          <w:marTop w:val="0"/>
                                          <w:marBottom w:val="0"/>
                                          <w:divBdr>
                                            <w:top w:val="none" w:sz="0" w:space="0" w:color="auto"/>
                                            <w:left w:val="none" w:sz="0" w:space="0" w:color="auto"/>
                                            <w:bottom w:val="none" w:sz="0" w:space="0" w:color="auto"/>
                                            <w:right w:val="none" w:sz="0" w:space="0" w:color="auto"/>
                                          </w:divBdr>
                                          <w:divsChild>
                                            <w:div w:id="1575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978584">
                          <w:marLeft w:val="0"/>
                          <w:marRight w:val="0"/>
                          <w:marTop w:val="0"/>
                          <w:marBottom w:val="0"/>
                          <w:divBdr>
                            <w:top w:val="none" w:sz="0" w:space="0" w:color="auto"/>
                            <w:left w:val="none" w:sz="0" w:space="0" w:color="auto"/>
                            <w:bottom w:val="none" w:sz="0" w:space="0" w:color="auto"/>
                            <w:right w:val="none" w:sz="0" w:space="0" w:color="auto"/>
                          </w:divBdr>
                          <w:divsChild>
                            <w:div w:id="2129857927">
                              <w:marLeft w:val="0"/>
                              <w:marRight w:val="0"/>
                              <w:marTop w:val="0"/>
                              <w:marBottom w:val="0"/>
                              <w:divBdr>
                                <w:top w:val="none" w:sz="0" w:space="0" w:color="auto"/>
                                <w:left w:val="none" w:sz="0" w:space="0" w:color="auto"/>
                                <w:bottom w:val="none" w:sz="0" w:space="0" w:color="auto"/>
                                <w:right w:val="none" w:sz="0" w:space="0" w:color="auto"/>
                              </w:divBdr>
                              <w:divsChild>
                                <w:div w:id="1137408709">
                                  <w:marLeft w:val="0"/>
                                  <w:marRight w:val="0"/>
                                  <w:marTop w:val="0"/>
                                  <w:marBottom w:val="0"/>
                                  <w:divBdr>
                                    <w:top w:val="none" w:sz="0" w:space="0" w:color="auto"/>
                                    <w:left w:val="none" w:sz="0" w:space="0" w:color="auto"/>
                                    <w:bottom w:val="none" w:sz="0" w:space="0" w:color="auto"/>
                                    <w:right w:val="none" w:sz="0" w:space="0" w:color="auto"/>
                                  </w:divBdr>
                                  <w:divsChild>
                                    <w:div w:id="1970429690">
                                      <w:marLeft w:val="0"/>
                                      <w:marRight w:val="0"/>
                                      <w:marTop w:val="0"/>
                                      <w:marBottom w:val="0"/>
                                      <w:divBdr>
                                        <w:top w:val="none" w:sz="0" w:space="0" w:color="auto"/>
                                        <w:left w:val="none" w:sz="0" w:space="0" w:color="auto"/>
                                        <w:bottom w:val="none" w:sz="0" w:space="0" w:color="auto"/>
                                        <w:right w:val="none" w:sz="0" w:space="0" w:color="auto"/>
                                      </w:divBdr>
                                      <w:divsChild>
                                        <w:div w:id="1017582466">
                                          <w:marLeft w:val="0"/>
                                          <w:marRight w:val="0"/>
                                          <w:marTop w:val="0"/>
                                          <w:marBottom w:val="0"/>
                                          <w:divBdr>
                                            <w:top w:val="none" w:sz="0" w:space="0" w:color="auto"/>
                                            <w:left w:val="none" w:sz="0" w:space="0" w:color="auto"/>
                                            <w:bottom w:val="none" w:sz="0" w:space="0" w:color="auto"/>
                                            <w:right w:val="none" w:sz="0" w:space="0" w:color="auto"/>
                                          </w:divBdr>
                                          <w:divsChild>
                                            <w:div w:id="113445180">
                                              <w:marLeft w:val="0"/>
                                              <w:marRight w:val="0"/>
                                              <w:marTop w:val="0"/>
                                              <w:marBottom w:val="0"/>
                                              <w:divBdr>
                                                <w:top w:val="none" w:sz="0" w:space="0" w:color="auto"/>
                                                <w:left w:val="none" w:sz="0" w:space="0" w:color="auto"/>
                                                <w:bottom w:val="none" w:sz="0" w:space="0" w:color="auto"/>
                                                <w:right w:val="none" w:sz="0" w:space="0" w:color="auto"/>
                                              </w:divBdr>
                                              <w:divsChild>
                                                <w:div w:id="8198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198849">
      <w:bodyDiv w:val="1"/>
      <w:marLeft w:val="0"/>
      <w:marRight w:val="0"/>
      <w:marTop w:val="0"/>
      <w:marBottom w:val="0"/>
      <w:divBdr>
        <w:top w:val="none" w:sz="0" w:space="0" w:color="auto"/>
        <w:left w:val="none" w:sz="0" w:space="0" w:color="auto"/>
        <w:bottom w:val="none" w:sz="0" w:space="0" w:color="auto"/>
        <w:right w:val="none" w:sz="0" w:space="0" w:color="auto"/>
      </w:divBdr>
    </w:div>
    <w:div w:id="1668366581">
      <w:bodyDiv w:val="1"/>
      <w:marLeft w:val="0"/>
      <w:marRight w:val="0"/>
      <w:marTop w:val="0"/>
      <w:marBottom w:val="0"/>
      <w:divBdr>
        <w:top w:val="none" w:sz="0" w:space="0" w:color="auto"/>
        <w:left w:val="none" w:sz="0" w:space="0" w:color="auto"/>
        <w:bottom w:val="none" w:sz="0" w:space="0" w:color="auto"/>
        <w:right w:val="none" w:sz="0" w:space="0" w:color="auto"/>
      </w:divBdr>
      <w:divsChild>
        <w:div w:id="1801267792">
          <w:marLeft w:val="0"/>
          <w:marRight w:val="0"/>
          <w:marTop w:val="0"/>
          <w:marBottom w:val="0"/>
          <w:divBdr>
            <w:top w:val="none" w:sz="0" w:space="0" w:color="auto"/>
            <w:left w:val="none" w:sz="0" w:space="0" w:color="auto"/>
            <w:bottom w:val="none" w:sz="0" w:space="0" w:color="auto"/>
            <w:right w:val="none" w:sz="0" w:space="0" w:color="auto"/>
          </w:divBdr>
          <w:divsChild>
            <w:div w:id="232089456">
              <w:marLeft w:val="0"/>
              <w:marRight w:val="0"/>
              <w:marTop w:val="0"/>
              <w:marBottom w:val="0"/>
              <w:divBdr>
                <w:top w:val="none" w:sz="0" w:space="0" w:color="auto"/>
                <w:left w:val="none" w:sz="0" w:space="0" w:color="auto"/>
                <w:bottom w:val="none" w:sz="0" w:space="0" w:color="auto"/>
                <w:right w:val="none" w:sz="0" w:space="0" w:color="auto"/>
              </w:divBdr>
              <w:divsChild>
                <w:div w:id="1128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65363">
      <w:bodyDiv w:val="1"/>
      <w:marLeft w:val="0"/>
      <w:marRight w:val="0"/>
      <w:marTop w:val="0"/>
      <w:marBottom w:val="0"/>
      <w:divBdr>
        <w:top w:val="none" w:sz="0" w:space="0" w:color="auto"/>
        <w:left w:val="none" w:sz="0" w:space="0" w:color="auto"/>
        <w:bottom w:val="none" w:sz="0" w:space="0" w:color="auto"/>
        <w:right w:val="none" w:sz="0" w:space="0" w:color="auto"/>
      </w:divBdr>
    </w:div>
    <w:div w:id="1674409526">
      <w:bodyDiv w:val="1"/>
      <w:marLeft w:val="0"/>
      <w:marRight w:val="0"/>
      <w:marTop w:val="0"/>
      <w:marBottom w:val="0"/>
      <w:divBdr>
        <w:top w:val="none" w:sz="0" w:space="0" w:color="auto"/>
        <w:left w:val="none" w:sz="0" w:space="0" w:color="auto"/>
        <w:bottom w:val="none" w:sz="0" w:space="0" w:color="auto"/>
        <w:right w:val="none" w:sz="0" w:space="0" w:color="auto"/>
      </w:divBdr>
      <w:divsChild>
        <w:div w:id="366611626">
          <w:marLeft w:val="0"/>
          <w:marRight w:val="0"/>
          <w:marTop w:val="0"/>
          <w:marBottom w:val="0"/>
          <w:divBdr>
            <w:top w:val="none" w:sz="0" w:space="0" w:color="auto"/>
            <w:left w:val="none" w:sz="0" w:space="0" w:color="auto"/>
            <w:bottom w:val="none" w:sz="0" w:space="0" w:color="auto"/>
            <w:right w:val="none" w:sz="0" w:space="0" w:color="auto"/>
          </w:divBdr>
          <w:divsChild>
            <w:div w:id="194346253">
              <w:marLeft w:val="0"/>
              <w:marRight w:val="0"/>
              <w:marTop w:val="0"/>
              <w:marBottom w:val="0"/>
              <w:divBdr>
                <w:top w:val="none" w:sz="0" w:space="0" w:color="auto"/>
                <w:left w:val="none" w:sz="0" w:space="0" w:color="auto"/>
                <w:bottom w:val="none" w:sz="0" w:space="0" w:color="auto"/>
                <w:right w:val="none" w:sz="0" w:space="0" w:color="auto"/>
              </w:divBdr>
              <w:divsChild>
                <w:div w:id="9405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844155">
      <w:bodyDiv w:val="1"/>
      <w:marLeft w:val="0"/>
      <w:marRight w:val="0"/>
      <w:marTop w:val="0"/>
      <w:marBottom w:val="0"/>
      <w:divBdr>
        <w:top w:val="none" w:sz="0" w:space="0" w:color="auto"/>
        <w:left w:val="none" w:sz="0" w:space="0" w:color="auto"/>
        <w:bottom w:val="none" w:sz="0" w:space="0" w:color="auto"/>
        <w:right w:val="none" w:sz="0" w:space="0" w:color="auto"/>
      </w:divBdr>
    </w:div>
    <w:div w:id="1675231256">
      <w:bodyDiv w:val="1"/>
      <w:marLeft w:val="0"/>
      <w:marRight w:val="0"/>
      <w:marTop w:val="0"/>
      <w:marBottom w:val="0"/>
      <w:divBdr>
        <w:top w:val="none" w:sz="0" w:space="0" w:color="auto"/>
        <w:left w:val="none" w:sz="0" w:space="0" w:color="auto"/>
        <w:bottom w:val="none" w:sz="0" w:space="0" w:color="auto"/>
        <w:right w:val="none" w:sz="0" w:space="0" w:color="auto"/>
      </w:divBdr>
    </w:div>
    <w:div w:id="1675373159">
      <w:bodyDiv w:val="1"/>
      <w:marLeft w:val="0"/>
      <w:marRight w:val="0"/>
      <w:marTop w:val="0"/>
      <w:marBottom w:val="0"/>
      <w:divBdr>
        <w:top w:val="none" w:sz="0" w:space="0" w:color="auto"/>
        <w:left w:val="none" w:sz="0" w:space="0" w:color="auto"/>
        <w:bottom w:val="none" w:sz="0" w:space="0" w:color="auto"/>
        <w:right w:val="none" w:sz="0" w:space="0" w:color="auto"/>
      </w:divBdr>
    </w:div>
    <w:div w:id="1677538543">
      <w:bodyDiv w:val="1"/>
      <w:marLeft w:val="0"/>
      <w:marRight w:val="0"/>
      <w:marTop w:val="0"/>
      <w:marBottom w:val="0"/>
      <w:divBdr>
        <w:top w:val="none" w:sz="0" w:space="0" w:color="auto"/>
        <w:left w:val="none" w:sz="0" w:space="0" w:color="auto"/>
        <w:bottom w:val="none" w:sz="0" w:space="0" w:color="auto"/>
        <w:right w:val="none" w:sz="0" w:space="0" w:color="auto"/>
      </w:divBdr>
    </w:div>
    <w:div w:id="1678268027">
      <w:bodyDiv w:val="1"/>
      <w:marLeft w:val="0"/>
      <w:marRight w:val="0"/>
      <w:marTop w:val="0"/>
      <w:marBottom w:val="0"/>
      <w:divBdr>
        <w:top w:val="none" w:sz="0" w:space="0" w:color="auto"/>
        <w:left w:val="none" w:sz="0" w:space="0" w:color="auto"/>
        <w:bottom w:val="none" w:sz="0" w:space="0" w:color="auto"/>
        <w:right w:val="none" w:sz="0" w:space="0" w:color="auto"/>
      </w:divBdr>
    </w:div>
    <w:div w:id="1680429631">
      <w:bodyDiv w:val="1"/>
      <w:marLeft w:val="0"/>
      <w:marRight w:val="0"/>
      <w:marTop w:val="0"/>
      <w:marBottom w:val="0"/>
      <w:divBdr>
        <w:top w:val="none" w:sz="0" w:space="0" w:color="auto"/>
        <w:left w:val="none" w:sz="0" w:space="0" w:color="auto"/>
        <w:bottom w:val="none" w:sz="0" w:space="0" w:color="auto"/>
        <w:right w:val="none" w:sz="0" w:space="0" w:color="auto"/>
      </w:divBdr>
      <w:divsChild>
        <w:div w:id="2032102387">
          <w:marLeft w:val="0"/>
          <w:marRight w:val="0"/>
          <w:marTop w:val="0"/>
          <w:marBottom w:val="0"/>
          <w:divBdr>
            <w:top w:val="none" w:sz="0" w:space="0" w:color="auto"/>
            <w:left w:val="none" w:sz="0" w:space="0" w:color="auto"/>
            <w:bottom w:val="none" w:sz="0" w:space="0" w:color="auto"/>
            <w:right w:val="none" w:sz="0" w:space="0" w:color="auto"/>
          </w:divBdr>
          <w:divsChild>
            <w:div w:id="903220214">
              <w:marLeft w:val="0"/>
              <w:marRight w:val="0"/>
              <w:marTop w:val="0"/>
              <w:marBottom w:val="0"/>
              <w:divBdr>
                <w:top w:val="none" w:sz="0" w:space="0" w:color="auto"/>
                <w:left w:val="none" w:sz="0" w:space="0" w:color="auto"/>
                <w:bottom w:val="none" w:sz="0" w:space="0" w:color="auto"/>
                <w:right w:val="none" w:sz="0" w:space="0" w:color="auto"/>
              </w:divBdr>
              <w:divsChild>
                <w:div w:id="1324890641">
                  <w:marLeft w:val="0"/>
                  <w:marRight w:val="0"/>
                  <w:marTop w:val="0"/>
                  <w:marBottom w:val="0"/>
                  <w:divBdr>
                    <w:top w:val="none" w:sz="0" w:space="0" w:color="auto"/>
                    <w:left w:val="none" w:sz="0" w:space="0" w:color="auto"/>
                    <w:bottom w:val="none" w:sz="0" w:space="0" w:color="auto"/>
                    <w:right w:val="none" w:sz="0" w:space="0" w:color="auto"/>
                  </w:divBdr>
                  <w:divsChild>
                    <w:div w:id="31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471688">
      <w:bodyDiv w:val="1"/>
      <w:marLeft w:val="0"/>
      <w:marRight w:val="0"/>
      <w:marTop w:val="0"/>
      <w:marBottom w:val="0"/>
      <w:divBdr>
        <w:top w:val="none" w:sz="0" w:space="0" w:color="auto"/>
        <w:left w:val="none" w:sz="0" w:space="0" w:color="auto"/>
        <w:bottom w:val="none" w:sz="0" w:space="0" w:color="auto"/>
        <w:right w:val="none" w:sz="0" w:space="0" w:color="auto"/>
      </w:divBdr>
    </w:div>
    <w:div w:id="1682777418">
      <w:bodyDiv w:val="1"/>
      <w:marLeft w:val="0"/>
      <w:marRight w:val="0"/>
      <w:marTop w:val="0"/>
      <w:marBottom w:val="0"/>
      <w:divBdr>
        <w:top w:val="none" w:sz="0" w:space="0" w:color="auto"/>
        <w:left w:val="none" w:sz="0" w:space="0" w:color="auto"/>
        <w:bottom w:val="none" w:sz="0" w:space="0" w:color="auto"/>
        <w:right w:val="none" w:sz="0" w:space="0" w:color="auto"/>
      </w:divBdr>
    </w:div>
    <w:div w:id="1683849143">
      <w:bodyDiv w:val="1"/>
      <w:marLeft w:val="0"/>
      <w:marRight w:val="0"/>
      <w:marTop w:val="0"/>
      <w:marBottom w:val="0"/>
      <w:divBdr>
        <w:top w:val="none" w:sz="0" w:space="0" w:color="auto"/>
        <w:left w:val="none" w:sz="0" w:space="0" w:color="auto"/>
        <w:bottom w:val="none" w:sz="0" w:space="0" w:color="auto"/>
        <w:right w:val="none" w:sz="0" w:space="0" w:color="auto"/>
      </w:divBdr>
      <w:divsChild>
        <w:div w:id="263615372">
          <w:marLeft w:val="0"/>
          <w:marRight w:val="0"/>
          <w:marTop w:val="0"/>
          <w:marBottom w:val="0"/>
          <w:divBdr>
            <w:top w:val="none" w:sz="0" w:space="0" w:color="auto"/>
            <w:left w:val="none" w:sz="0" w:space="0" w:color="auto"/>
            <w:bottom w:val="none" w:sz="0" w:space="0" w:color="auto"/>
            <w:right w:val="none" w:sz="0" w:space="0" w:color="auto"/>
          </w:divBdr>
          <w:divsChild>
            <w:div w:id="1724211704">
              <w:marLeft w:val="0"/>
              <w:marRight w:val="0"/>
              <w:marTop w:val="0"/>
              <w:marBottom w:val="0"/>
              <w:divBdr>
                <w:top w:val="none" w:sz="0" w:space="0" w:color="auto"/>
                <w:left w:val="none" w:sz="0" w:space="0" w:color="auto"/>
                <w:bottom w:val="none" w:sz="0" w:space="0" w:color="auto"/>
                <w:right w:val="none" w:sz="0" w:space="0" w:color="auto"/>
              </w:divBdr>
              <w:divsChild>
                <w:div w:id="2021814993">
                  <w:marLeft w:val="0"/>
                  <w:marRight w:val="0"/>
                  <w:marTop w:val="0"/>
                  <w:marBottom w:val="0"/>
                  <w:divBdr>
                    <w:top w:val="none" w:sz="0" w:space="0" w:color="auto"/>
                    <w:left w:val="none" w:sz="0" w:space="0" w:color="auto"/>
                    <w:bottom w:val="none" w:sz="0" w:space="0" w:color="auto"/>
                    <w:right w:val="none" w:sz="0" w:space="0" w:color="auto"/>
                  </w:divBdr>
                  <w:divsChild>
                    <w:div w:id="14760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858681">
      <w:bodyDiv w:val="1"/>
      <w:marLeft w:val="0"/>
      <w:marRight w:val="0"/>
      <w:marTop w:val="0"/>
      <w:marBottom w:val="0"/>
      <w:divBdr>
        <w:top w:val="none" w:sz="0" w:space="0" w:color="auto"/>
        <w:left w:val="none" w:sz="0" w:space="0" w:color="auto"/>
        <w:bottom w:val="none" w:sz="0" w:space="0" w:color="auto"/>
        <w:right w:val="none" w:sz="0" w:space="0" w:color="auto"/>
      </w:divBdr>
    </w:div>
    <w:div w:id="1686054737">
      <w:bodyDiv w:val="1"/>
      <w:marLeft w:val="0"/>
      <w:marRight w:val="0"/>
      <w:marTop w:val="0"/>
      <w:marBottom w:val="0"/>
      <w:divBdr>
        <w:top w:val="none" w:sz="0" w:space="0" w:color="auto"/>
        <w:left w:val="none" w:sz="0" w:space="0" w:color="auto"/>
        <w:bottom w:val="none" w:sz="0" w:space="0" w:color="auto"/>
        <w:right w:val="none" w:sz="0" w:space="0" w:color="auto"/>
      </w:divBdr>
    </w:div>
    <w:div w:id="1686401650">
      <w:bodyDiv w:val="1"/>
      <w:marLeft w:val="0"/>
      <w:marRight w:val="0"/>
      <w:marTop w:val="0"/>
      <w:marBottom w:val="0"/>
      <w:divBdr>
        <w:top w:val="none" w:sz="0" w:space="0" w:color="auto"/>
        <w:left w:val="none" w:sz="0" w:space="0" w:color="auto"/>
        <w:bottom w:val="none" w:sz="0" w:space="0" w:color="auto"/>
        <w:right w:val="none" w:sz="0" w:space="0" w:color="auto"/>
      </w:divBdr>
    </w:div>
    <w:div w:id="1687512918">
      <w:bodyDiv w:val="1"/>
      <w:marLeft w:val="0"/>
      <w:marRight w:val="0"/>
      <w:marTop w:val="0"/>
      <w:marBottom w:val="0"/>
      <w:divBdr>
        <w:top w:val="none" w:sz="0" w:space="0" w:color="auto"/>
        <w:left w:val="none" w:sz="0" w:space="0" w:color="auto"/>
        <w:bottom w:val="none" w:sz="0" w:space="0" w:color="auto"/>
        <w:right w:val="none" w:sz="0" w:space="0" w:color="auto"/>
      </w:divBdr>
      <w:divsChild>
        <w:div w:id="504709390">
          <w:marLeft w:val="0"/>
          <w:marRight w:val="0"/>
          <w:marTop w:val="0"/>
          <w:marBottom w:val="0"/>
          <w:divBdr>
            <w:top w:val="none" w:sz="0" w:space="0" w:color="3D3D3D"/>
            <w:left w:val="none" w:sz="0" w:space="0" w:color="3D3D3D"/>
            <w:bottom w:val="none" w:sz="0" w:space="0" w:color="3D3D3D"/>
            <w:right w:val="none" w:sz="0" w:space="0" w:color="3D3D3D"/>
          </w:divBdr>
          <w:divsChild>
            <w:div w:id="1264729456">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690370654">
      <w:bodyDiv w:val="1"/>
      <w:marLeft w:val="0"/>
      <w:marRight w:val="0"/>
      <w:marTop w:val="0"/>
      <w:marBottom w:val="0"/>
      <w:divBdr>
        <w:top w:val="none" w:sz="0" w:space="0" w:color="auto"/>
        <w:left w:val="none" w:sz="0" w:space="0" w:color="auto"/>
        <w:bottom w:val="none" w:sz="0" w:space="0" w:color="auto"/>
        <w:right w:val="none" w:sz="0" w:space="0" w:color="auto"/>
      </w:divBdr>
      <w:divsChild>
        <w:div w:id="1584953101">
          <w:marLeft w:val="0"/>
          <w:marRight w:val="0"/>
          <w:marTop w:val="0"/>
          <w:marBottom w:val="0"/>
          <w:divBdr>
            <w:top w:val="none" w:sz="0" w:space="0" w:color="auto"/>
            <w:left w:val="none" w:sz="0" w:space="0" w:color="auto"/>
            <w:bottom w:val="none" w:sz="0" w:space="0" w:color="auto"/>
            <w:right w:val="none" w:sz="0" w:space="0" w:color="auto"/>
          </w:divBdr>
          <w:divsChild>
            <w:div w:id="1604193043">
              <w:marLeft w:val="0"/>
              <w:marRight w:val="0"/>
              <w:marTop w:val="0"/>
              <w:marBottom w:val="0"/>
              <w:divBdr>
                <w:top w:val="none" w:sz="0" w:space="0" w:color="auto"/>
                <w:left w:val="none" w:sz="0" w:space="0" w:color="auto"/>
                <w:bottom w:val="none" w:sz="0" w:space="0" w:color="auto"/>
                <w:right w:val="none" w:sz="0" w:space="0" w:color="auto"/>
              </w:divBdr>
              <w:divsChild>
                <w:div w:id="12229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7404">
      <w:bodyDiv w:val="1"/>
      <w:marLeft w:val="0"/>
      <w:marRight w:val="0"/>
      <w:marTop w:val="0"/>
      <w:marBottom w:val="0"/>
      <w:divBdr>
        <w:top w:val="none" w:sz="0" w:space="0" w:color="auto"/>
        <w:left w:val="none" w:sz="0" w:space="0" w:color="auto"/>
        <w:bottom w:val="none" w:sz="0" w:space="0" w:color="auto"/>
        <w:right w:val="none" w:sz="0" w:space="0" w:color="auto"/>
      </w:divBdr>
    </w:div>
    <w:div w:id="1693220428">
      <w:bodyDiv w:val="1"/>
      <w:marLeft w:val="0"/>
      <w:marRight w:val="0"/>
      <w:marTop w:val="0"/>
      <w:marBottom w:val="0"/>
      <w:divBdr>
        <w:top w:val="none" w:sz="0" w:space="0" w:color="auto"/>
        <w:left w:val="none" w:sz="0" w:space="0" w:color="auto"/>
        <w:bottom w:val="none" w:sz="0" w:space="0" w:color="auto"/>
        <w:right w:val="none" w:sz="0" w:space="0" w:color="auto"/>
      </w:divBdr>
    </w:div>
    <w:div w:id="1695115212">
      <w:bodyDiv w:val="1"/>
      <w:marLeft w:val="0"/>
      <w:marRight w:val="0"/>
      <w:marTop w:val="0"/>
      <w:marBottom w:val="0"/>
      <w:divBdr>
        <w:top w:val="none" w:sz="0" w:space="0" w:color="auto"/>
        <w:left w:val="none" w:sz="0" w:space="0" w:color="auto"/>
        <w:bottom w:val="none" w:sz="0" w:space="0" w:color="auto"/>
        <w:right w:val="none" w:sz="0" w:space="0" w:color="auto"/>
      </w:divBdr>
      <w:divsChild>
        <w:div w:id="1108508183">
          <w:marLeft w:val="0"/>
          <w:marRight w:val="0"/>
          <w:marTop w:val="0"/>
          <w:marBottom w:val="0"/>
          <w:divBdr>
            <w:top w:val="none" w:sz="0" w:space="0" w:color="auto"/>
            <w:left w:val="none" w:sz="0" w:space="0" w:color="auto"/>
            <w:bottom w:val="none" w:sz="0" w:space="0" w:color="auto"/>
            <w:right w:val="none" w:sz="0" w:space="0" w:color="auto"/>
          </w:divBdr>
          <w:divsChild>
            <w:div w:id="1455053805">
              <w:marLeft w:val="0"/>
              <w:marRight w:val="0"/>
              <w:marTop w:val="0"/>
              <w:marBottom w:val="0"/>
              <w:divBdr>
                <w:top w:val="none" w:sz="0" w:space="0" w:color="auto"/>
                <w:left w:val="none" w:sz="0" w:space="0" w:color="auto"/>
                <w:bottom w:val="none" w:sz="0" w:space="0" w:color="auto"/>
                <w:right w:val="none" w:sz="0" w:space="0" w:color="auto"/>
              </w:divBdr>
              <w:divsChild>
                <w:div w:id="9568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3664">
      <w:bodyDiv w:val="1"/>
      <w:marLeft w:val="0"/>
      <w:marRight w:val="0"/>
      <w:marTop w:val="0"/>
      <w:marBottom w:val="0"/>
      <w:divBdr>
        <w:top w:val="none" w:sz="0" w:space="0" w:color="auto"/>
        <w:left w:val="none" w:sz="0" w:space="0" w:color="auto"/>
        <w:bottom w:val="none" w:sz="0" w:space="0" w:color="auto"/>
        <w:right w:val="none" w:sz="0" w:space="0" w:color="auto"/>
      </w:divBdr>
    </w:div>
    <w:div w:id="1701708337">
      <w:bodyDiv w:val="1"/>
      <w:marLeft w:val="0"/>
      <w:marRight w:val="0"/>
      <w:marTop w:val="0"/>
      <w:marBottom w:val="0"/>
      <w:divBdr>
        <w:top w:val="none" w:sz="0" w:space="0" w:color="auto"/>
        <w:left w:val="none" w:sz="0" w:space="0" w:color="auto"/>
        <w:bottom w:val="none" w:sz="0" w:space="0" w:color="auto"/>
        <w:right w:val="none" w:sz="0" w:space="0" w:color="auto"/>
      </w:divBdr>
    </w:div>
    <w:div w:id="1704284516">
      <w:bodyDiv w:val="1"/>
      <w:marLeft w:val="0"/>
      <w:marRight w:val="0"/>
      <w:marTop w:val="0"/>
      <w:marBottom w:val="0"/>
      <w:divBdr>
        <w:top w:val="none" w:sz="0" w:space="0" w:color="auto"/>
        <w:left w:val="none" w:sz="0" w:space="0" w:color="auto"/>
        <w:bottom w:val="none" w:sz="0" w:space="0" w:color="auto"/>
        <w:right w:val="none" w:sz="0" w:space="0" w:color="auto"/>
      </w:divBdr>
      <w:divsChild>
        <w:div w:id="1034422268">
          <w:marLeft w:val="0"/>
          <w:marRight w:val="0"/>
          <w:marTop w:val="0"/>
          <w:marBottom w:val="0"/>
          <w:divBdr>
            <w:top w:val="none" w:sz="0" w:space="0" w:color="auto"/>
            <w:left w:val="none" w:sz="0" w:space="0" w:color="auto"/>
            <w:bottom w:val="none" w:sz="0" w:space="0" w:color="auto"/>
            <w:right w:val="none" w:sz="0" w:space="0" w:color="auto"/>
          </w:divBdr>
          <w:divsChild>
            <w:div w:id="1420447387">
              <w:marLeft w:val="0"/>
              <w:marRight w:val="0"/>
              <w:marTop w:val="0"/>
              <w:marBottom w:val="0"/>
              <w:divBdr>
                <w:top w:val="none" w:sz="0" w:space="0" w:color="auto"/>
                <w:left w:val="none" w:sz="0" w:space="0" w:color="auto"/>
                <w:bottom w:val="none" w:sz="0" w:space="0" w:color="auto"/>
                <w:right w:val="none" w:sz="0" w:space="0" w:color="auto"/>
              </w:divBdr>
              <w:divsChild>
                <w:div w:id="2122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56085">
      <w:bodyDiv w:val="1"/>
      <w:marLeft w:val="0"/>
      <w:marRight w:val="0"/>
      <w:marTop w:val="0"/>
      <w:marBottom w:val="0"/>
      <w:divBdr>
        <w:top w:val="none" w:sz="0" w:space="0" w:color="auto"/>
        <w:left w:val="none" w:sz="0" w:space="0" w:color="auto"/>
        <w:bottom w:val="none" w:sz="0" w:space="0" w:color="auto"/>
        <w:right w:val="none" w:sz="0" w:space="0" w:color="auto"/>
      </w:divBdr>
    </w:div>
    <w:div w:id="1706905375">
      <w:bodyDiv w:val="1"/>
      <w:marLeft w:val="0"/>
      <w:marRight w:val="0"/>
      <w:marTop w:val="0"/>
      <w:marBottom w:val="0"/>
      <w:divBdr>
        <w:top w:val="none" w:sz="0" w:space="0" w:color="auto"/>
        <w:left w:val="none" w:sz="0" w:space="0" w:color="auto"/>
        <w:bottom w:val="none" w:sz="0" w:space="0" w:color="auto"/>
        <w:right w:val="none" w:sz="0" w:space="0" w:color="auto"/>
      </w:divBdr>
      <w:divsChild>
        <w:div w:id="1074358579">
          <w:marLeft w:val="0"/>
          <w:marRight w:val="0"/>
          <w:marTop w:val="0"/>
          <w:marBottom w:val="0"/>
          <w:divBdr>
            <w:top w:val="none" w:sz="0" w:space="0" w:color="3D3D3D"/>
            <w:left w:val="none" w:sz="0" w:space="0" w:color="3D3D3D"/>
            <w:bottom w:val="none" w:sz="0" w:space="0" w:color="3D3D3D"/>
            <w:right w:val="none" w:sz="0" w:space="0" w:color="3D3D3D"/>
          </w:divBdr>
        </w:div>
      </w:divsChild>
    </w:div>
    <w:div w:id="1708480408">
      <w:bodyDiv w:val="1"/>
      <w:marLeft w:val="0"/>
      <w:marRight w:val="0"/>
      <w:marTop w:val="0"/>
      <w:marBottom w:val="0"/>
      <w:divBdr>
        <w:top w:val="none" w:sz="0" w:space="0" w:color="auto"/>
        <w:left w:val="none" w:sz="0" w:space="0" w:color="auto"/>
        <w:bottom w:val="none" w:sz="0" w:space="0" w:color="auto"/>
        <w:right w:val="none" w:sz="0" w:space="0" w:color="auto"/>
      </w:divBdr>
    </w:div>
    <w:div w:id="1709377914">
      <w:bodyDiv w:val="1"/>
      <w:marLeft w:val="0"/>
      <w:marRight w:val="0"/>
      <w:marTop w:val="0"/>
      <w:marBottom w:val="0"/>
      <w:divBdr>
        <w:top w:val="none" w:sz="0" w:space="0" w:color="auto"/>
        <w:left w:val="none" w:sz="0" w:space="0" w:color="auto"/>
        <w:bottom w:val="none" w:sz="0" w:space="0" w:color="auto"/>
        <w:right w:val="none" w:sz="0" w:space="0" w:color="auto"/>
      </w:divBdr>
      <w:divsChild>
        <w:div w:id="562643271">
          <w:marLeft w:val="0"/>
          <w:marRight w:val="0"/>
          <w:marTop w:val="0"/>
          <w:marBottom w:val="0"/>
          <w:divBdr>
            <w:top w:val="none" w:sz="0" w:space="0" w:color="auto"/>
            <w:left w:val="none" w:sz="0" w:space="0" w:color="auto"/>
            <w:bottom w:val="none" w:sz="0" w:space="0" w:color="auto"/>
            <w:right w:val="none" w:sz="0" w:space="0" w:color="auto"/>
          </w:divBdr>
        </w:div>
        <w:div w:id="1320380346">
          <w:marLeft w:val="0"/>
          <w:marRight w:val="0"/>
          <w:marTop w:val="0"/>
          <w:marBottom w:val="0"/>
          <w:divBdr>
            <w:top w:val="none" w:sz="0" w:space="0" w:color="auto"/>
            <w:left w:val="none" w:sz="0" w:space="0" w:color="auto"/>
            <w:bottom w:val="none" w:sz="0" w:space="0" w:color="auto"/>
            <w:right w:val="none" w:sz="0" w:space="0" w:color="auto"/>
          </w:divBdr>
        </w:div>
        <w:div w:id="1694107097">
          <w:marLeft w:val="0"/>
          <w:marRight w:val="0"/>
          <w:marTop w:val="0"/>
          <w:marBottom w:val="0"/>
          <w:divBdr>
            <w:top w:val="none" w:sz="0" w:space="0" w:color="auto"/>
            <w:left w:val="none" w:sz="0" w:space="0" w:color="auto"/>
            <w:bottom w:val="none" w:sz="0" w:space="0" w:color="auto"/>
            <w:right w:val="none" w:sz="0" w:space="0" w:color="auto"/>
          </w:divBdr>
        </w:div>
      </w:divsChild>
    </w:div>
    <w:div w:id="1713463210">
      <w:bodyDiv w:val="1"/>
      <w:marLeft w:val="0"/>
      <w:marRight w:val="0"/>
      <w:marTop w:val="0"/>
      <w:marBottom w:val="0"/>
      <w:divBdr>
        <w:top w:val="none" w:sz="0" w:space="0" w:color="auto"/>
        <w:left w:val="none" w:sz="0" w:space="0" w:color="auto"/>
        <w:bottom w:val="none" w:sz="0" w:space="0" w:color="auto"/>
        <w:right w:val="none" w:sz="0" w:space="0" w:color="auto"/>
      </w:divBdr>
    </w:div>
    <w:div w:id="1713575756">
      <w:bodyDiv w:val="1"/>
      <w:marLeft w:val="0"/>
      <w:marRight w:val="0"/>
      <w:marTop w:val="0"/>
      <w:marBottom w:val="0"/>
      <w:divBdr>
        <w:top w:val="none" w:sz="0" w:space="0" w:color="auto"/>
        <w:left w:val="none" w:sz="0" w:space="0" w:color="auto"/>
        <w:bottom w:val="none" w:sz="0" w:space="0" w:color="auto"/>
        <w:right w:val="none" w:sz="0" w:space="0" w:color="auto"/>
      </w:divBdr>
    </w:div>
    <w:div w:id="1713653291">
      <w:bodyDiv w:val="1"/>
      <w:marLeft w:val="0"/>
      <w:marRight w:val="0"/>
      <w:marTop w:val="0"/>
      <w:marBottom w:val="0"/>
      <w:divBdr>
        <w:top w:val="none" w:sz="0" w:space="0" w:color="auto"/>
        <w:left w:val="none" w:sz="0" w:space="0" w:color="auto"/>
        <w:bottom w:val="none" w:sz="0" w:space="0" w:color="auto"/>
        <w:right w:val="none" w:sz="0" w:space="0" w:color="auto"/>
      </w:divBdr>
      <w:divsChild>
        <w:div w:id="1389766004">
          <w:marLeft w:val="0"/>
          <w:marRight w:val="0"/>
          <w:marTop w:val="0"/>
          <w:marBottom w:val="0"/>
          <w:divBdr>
            <w:top w:val="none" w:sz="0" w:space="0" w:color="auto"/>
            <w:left w:val="none" w:sz="0" w:space="0" w:color="auto"/>
            <w:bottom w:val="none" w:sz="0" w:space="0" w:color="auto"/>
            <w:right w:val="none" w:sz="0" w:space="0" w:color="auto"/>
          </w:divBdr>
          <w:divsChild>
            <w:div w:id="150218110">
              <w:marLeft w:val="0"/>
              <w:marRight w:val="0"/>
              <w:marTop w:val="0"/>
              <w:marBottom w:val="0"/>
              <w:divBdr>
                <w:top w:val="none" w:sz="0" w:space="0" w:color="auto"/>
                <w:left w:val="none" w:sz="0" w:space="0" w:color="auto"/>
                <w:bottom w:val="none" w:sz="0" w:space="0" w:color="auto"/>
                <w:right w:val="none" w:sz="0" w:space="0" w:color="auto"/>
              </w:divBdr>
              <w:divsChild>
                <w:div w:id="4308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3860">
      <w:bodyDiv w:val="1"/>
      <w:marLeft w:val="0"/>
      <w:marRight w:val="0"/>
      <w:marTop w:val="0"/>
      <w:marBottom w:val="0"/>
      <w:divBdr>
        <w:top w:val="none" w:sz="0" w:space="0" w:color="auto"/>
        <w:left w:val="none" w:sz="0" w:space="0" w:color="auto"/>
        <w:bottom w:val="none" w:sz="0" w:space="0" w:color="auto"/>
        <w:right w:val="none" w:sz="0" w:space="0" w:color="auto"/>
      </w:divBdr>
      <w:divsChild>
        <w:div w:id="714082280">
          <w:marLeft w:val="0"/>
          <w:marRight w:val="0"/>
          <w:marTop w:val="0"/>
          <w:marBottom w:val="0"/>
          <w:divBdr>
            <w:top w:val="none" w:sz="0" w:space="0" w:color="auto"/>
            <w:left w:val="none" w:sz="0" w:space="0" w:color="auto"/>
            <w:bottom w:val="none" w:sz="0" w:space="0" w:color="auto"/>
            <w:right w:val="none" w:sz="0" w:space="0" w:color="auto"/>
          </w:divBdr>
          <w:divsChild>
            <w:div w:id="307436714">
              <w:marLeft w:val="0"/>
              <w:marRight w:val="0"/>
              <w:marTop w:val="0"/>
              <w:marBottom w:val="0"/>
              <w:divBdr>
                <w:top w:val="none" w:sz="0" w:space="0" w:color="auto"/>
                <w:left w:val="none" w:sz="0" w:space="0" w:color="auto"/>
                <w:bottom w:val="none" w:sz="0" w:space="0" w:color="auto"/>
                <w:right w:val="none" w:sz="0" w:space="0" w:color="auto"/>
              </w:divBdr>
              <w:divsChild>
                <w:div w:id="7755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91704">
      <w:bodyDiv w:val="1"/>
      <w:marLeft w:val="0"/>
      <w:marRight w:val="0"/>
      <w:marTop w:val="0"/>
      <w:marBottom w:val="0"/>
      <w:divBdr>
        <w:top w:val="none" w:sz="0" w:space="0" w:color="auto"/>
        <w:left w:val="none" w:sz="0" w:space="0" w:color="auto"/>
        <w:bottom w:val="none" w:sz="0" w:space="0" w:color="auto"/>
        <w:right w:val="none" w:sz="0" w:space="0" w:color="auto"/>
      </w:divBdr>
    </w:div>
    <w:div w:id="1716390667">
      <w:bodyDiv w:val="1"/>
      <w:marLeft w:val="0"/>
      <w:marRight w:val="0"/>
      <w:marTop w:val="0"/>
      <w:marBottom w:val="0"/>
      <w:divBdr>
        <w:top w:val="none" w:sz="0" w:space="0" w:color="auto"/>
        <w:left w:val="none" w:sz="0" w:space="0" w:color="auto"/>
        <w:bottom w:val="none" w:sz="0" w:space="0" w:color="auto"/>
        <w:right w:val="none" w:sz="0" w:space="0" w:color="auto"/>
      </w:divBdr>
    </w:div>
    <w:div w:id="1716806203">
      <w:bodyDiv w:val="1"/>
      <w:marLeft w:val="0"/>
      <w:marRight w:val="0"/>
      <w:marTop w:val="0"/>
      <w:marBottom w:val="0"/>
      <w:divBdr>
        <w:top w:val="none" w:sz="0" w:space="0" w:color="auto"/>
        <w:left w:val="none" w:sz="0" w:space="0" w:color="auto"/>
        <w:bottom w:val="none" w:sz="0" w:space="0" w:color="auto"/>
        <w:right w:val="none" w:sz="0" w:space="0" w:color="auto"/>
      </w:divBdr>
    </w:div>
    <w:div w:id="1717269579">
      <w:bodyDiv w:val="1"/>
      <w:marLeft w:val="0"/>
      <w:marRight w:val="0"/>
      <w:marTop w:val="0"/>
      <w:marBottom w:val="0"/>
      <w:divBdr>
        <w:top w:val="none" w:sz="0" w:space="0" w:color="auto"/>
        <w:left w:val="none" w:sz="0" w:space="0" w:color="auto"/>
        <w:bottom w:val="none" w:sz="0" w:space="0" w:color="auto"/>
        <w:right w:val="none" w:sz="0" w:space="0" w:color="auto"/>
      </w:divBdr>
    </w:div>
    <w:div w:id="1721006088">
      <w:bodyDiv w:val="1"/>
      <w:marLeft w:val="0"/>
      <w:marRight w:val="0"/>
      <w:marTop w:val="0"/>
      <w:marBottom w:val="0"/>
      <w:divBdr>
        <w:top w:val="none" w:sz="0" w:space="0" w:color="auto"/>
        <w:left w:val="none" w:sz="0" w:space="0" w:color="auto"/>
        <w:bottom w:val="none" w:sz="0" w:space="0" w:color="auto"/>
        <w:right w:val="none" w:sz="0" w:space="0" w:color="auto"/>
      </w:divBdr>
      <w:divsChild>
        <w:div w:id="263271881">
          <w:marLeft w:val="0"/>
          <w:marRight w:val="0"/>
          <w:marTop w:val="0"/>
          <w:marBottom w:val="0"/>
          <w:divBdr>
            <w:top w:val="none" w:sz="0" w:space="0" w:color="auto"/>
            <w:left w:val="none" w:sz="0" w:space="0" w:color="auto"/>
            <w:bottom w:val="none" w:sz="0" w:space="0" w:color="auto"/>
            <w:right w:val="none" w:sz="0" w:space="0" w:color="auto"/>
          </w:divBdr>
          <w:divsChild>
            <w:div w:id="944728632">
              <w:marLeft w:val="0"/>
              <w:marRight w:val="0"/>
              <w:marTop w:val="0"/>
              <w:marBottom w:val="0"/>
              <w:divBdr>
                <w:top w:val="none" w:sz="0" w:space="0" w:color="auto"/>
                <w:left w:val="none" w:sz="0" w:space="0" w:color="auto"/>
                <w:bottom w:val="none" w:sz="0" w:space="0" w:color="auto"/>
                <w:right w:val="none" w:sz="0" w:space="0" w:color="auto"/>
              </w:divBdr>
              <w:divsChild>
                <w:div w:id="7078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6568">
      <w:bodyDiv w:val="1"/>
      <w:marLeft w:val="0"/>
      <w:marRight w:val="0"/>
      <w:marTop w:val="0"/>
      <w:marBottom w:val="0"/>
      <w:divBdr>
        <w:top w:val="none" w:sz="0" w:space="0" w:color="auto"/>
        <w:left w:val="none" w:sz="0" w:space="0" w:color="auto"/>
        <w:bottom w:val="none" w:sz="0" w:space="0" w:color="auto"/>
        <w:right w:val="none" w:sz="0" w:space="0" w:color="auto"/>
      </w:divBdr>
    </w:div>
    <w:div w:id="1728258287">
      <w:bodyDiv w:val="1"/>
      <w:marLeft w:val="0"/>
      <w:marRight w:val="0"/>
      <w:marTop w:val="0"/>
      <w:marBottom w:val="0"/>
      <w:divBdr>
        <w:top w:val="none" w:sz="0" w:space="0" w:color="auto"/>
        <w:left w:val="none" w:sz="0" w:space="0" w:color="auto"/>
        <w:bottom w:val="none" w:sz="0" w:space="0" w:color="auto"/>
        <w:right w:val="none" w:sz="0" w:space="0" w:color="auto"/>
      </w:divBdr>
    </w:div>
    <w:div w:id="1735734529">
      <w:bodyDiv w:val="1"/>
      <w:marLeft w:val="0"/>
      <w:marRight w:val="0"/>
      <w:marTop w:val="0"/>
      <w:marBottom w:val="0"/>
      <w:divBdr>
        <w:top w:val="none" w:sz="0" w:space="0" w:color="auto"/>
        <w:left w:val="none" w:sz="0" w:space="0" w:color="auto"/>
        <w:bottom w:val="none" w:sz="0" w:space="0" w:color="auto"/>
        <w:right w:val="none" w:sz="0" w:space="0" w:color="auto"/>
      </w:divBdr>
    </w:div>
    <w:div w:id="1737893706">
      <w:bodyDiv w:val="1"/>
      <w:marLeft w:val="0"/>
      <w:marRight w:val="0"/>
      <w:marTop w:val="0"/>
      <w:marBottom w:val="0"/>
      <w:divBdr>
        <w:top w:val="none" w:sz="0" w:space="0" w:color="auto"/>
        <w:left w:val="none" w:sz="0" w:space="0" w:color="auto"/>
        <w:bottom w:val="none" w:sz="0" w:space="0" w:color="auto"/>
        <w:right w:val="none" w:sz="0" w:space="0" w:color="auto"/>
      </w:divBdr>
      <w:divsChild>
        <w:div w:id="1132943785">
          <w:marLeft w:val="0"/>
          <w:marRight w:val="0"/>
          <w:marTop w:val="0"/>
          <w:marBottom w:val="0"/>
          <w:divBdr>
            <w:top w:val="none" w:sz="0" w:space="0" w:color="auto"/>
            <w:left w:val="none" w:sz="0" w:space="0" w:color="auto"/>
            <w:bottom w:val="none" w:sz="0" w:space="0" w:color="auto"/>
            <w:right w:val="none" w:sz="0" w:space="0" w:color="auto"/>
          </w:divBdr>
          <w:divsChild>
            <w:div w:id="713895697">
              <w:marLeft w:val="0"/>
              <w:marRight w:val="0"/>
              <w:marTop w:val="0"/>
              <w:marBottom w:val="0"/>
              <w:divBdr>
                <w:top w:val="none" w:sz="0" w:space="0" w:color="auto"/>
                <w:left w:val="none" w:sz="0" w:space="0" w:color="auto"/>
                <w:bottom w:val="none" w:sz="0" w:space="0" w:color="auto"/>
                <w:right w:val="none" w:sz="0" w:space="0" w:color="auto"/>
              </w:divBdr>
              <w:divsChild>
                <w:div w:id="465584674">
                  <w:marLeft w:val="0"/>
                  <w:marRight w:val="0"/>
                  <w:marTop w:val="0"/>
                  <w:marBottom w:val="0"/>
                  <w:divBdr>
                    <w:top w:val="none" w:sz="0" w:space="0" w:color="auto"/>
                    <w:left w:val="none" w:sz="0" w:space="0" w:color="auto"/>
                    <w:bottom w:val="none" w:sz="0" w:space="0" w:color="auto"/>
                    <w:right w:val="none" w:sz="0" w:space="0" w:color="auto"/>
                  </w:divBdr>
                </w:div>
                <w:div w:id="620039488">
                  <w:marLeft w:val="0"/>
                  <w:marRight w:val="0"/>
                  <w:marTop w:val="0"/>
                  <w:marBottom w:val="0"/>
                  <w:divBdr>
                    <w:top w:val="none" w:sz="0" w:space="0" w:color="auto"/>
                    <w:left w:val="none" w:sz="0" w:space="0" w:color="auto"/>
                    <w:bottom w:val="none" w:sz="0" w:space="0" w:color="auto"/>
                    <w:right w:val="none" w:sz="0" w:space="0" w:color="auto"/>
                  </w:divBdr>
                </w:div>
                <w:div w:id="16079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5800">
          <w:marLeft w:val="0"/>
          <w:marRight w:val="0"/>
          <w:marTop w:val="0"/>
          <w:marBottom w:val="0"/>
          <w:divBdr>
            <w:top w:val="none" w:sz="0" w:space="0" w:color="auto"/>
            <w:left w:val="none" w:sz="0" w:space="0" w:color="auto"/>
            <w:bottom w:val="none" w:sz="0" w:space="0" w:color="auto"/>
            <w:right w:val="none" w:sz="0" w:space="0" w:color="auto"/>
          </w:divBdr>
          <w:divsChild>
            <w:div w:id="442261866">
              <w:marLeft w:val="0"/>
              <w:marRight w:val="0"/>
              <w:marTop w:val="0"/>
              <w:marBottom w:val="0"/>
              <w:divBdr>
                <w:top w:val="none" w:sz="0" w:space="0" w:color="auto"/>
                <w:left w:val="none" w:sz="0" w:space="0" w:color="auto"/>
                <w:bottom w:val="none" w:sz="0" w:space="0" w:color="auto"/>
                <w:right w:val="none" w:sz="0" w:space="0" w:color="auto"/>
              </w:divBdr>
              <w:divsChild>
                <w:div w:id="14616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3904">
      <w:bodyDiv w:val="1"/>
      <w:marLeft w:val="0"/>
      <w:marRight w:val="0"/>
      <w:marTop w:val="0"/>
      <w:marBottom w:val="0"/>
      <w:divBdr>
        <w:top w:val="none" w:sz="0" w:space="0" w:color="auto"/>
        <w:left w:val="none" w:sz="0" w:space="0" w:color="auto"/>
        <w:bottom w:val="none" w:sz="0" w:space="0" w:color="auto"/>
        <w:right w:val="none" w:sz="0" w:space="0" w:color="auto"/>
      </w:divBdr>
      <w:divsChild>
        <w:div w:id="1678194521">
          <w:marLeft w:val="0"/>
          <w:marRight w:val="0"/>
          <w:marTop w:val="0"/>
          <w:marBottom w:val="0"/>
          <w:divBdr>
            <w:top w:val="none" w:sz="0" w:space="0" w:color="auto"/>
            <w:left w:val="none" w:sz="0" w:space="0" w:color="auto"/>
            <w:bottom w:val="none" w:sz="0" w:space="0" w:color="auto"/>
            <w:right w:val="none" w:sz="0" w:space="0" w:color="auto"/>
          </w:divBdr>
          <w:divsChild>
            <w:div w:id="1927762949">
              <w:marLeft w:val="0"/>
              <w:marRight w:val="0"/>
              <w:marTop w:val="0"/>
              <w:marBottom w:val="0"/>
              <w:divBdr>
                <w:top w:val="none" w:sz="0" w:space="0" w:color="auto"/>
                <w:left w:val="none" w:sz="0" w:space="0" w:color="auto"/>
                <w:bottom w:val="none" w:sz="0" w:space="0" w:color="auto"/>
                <w:right w:val="none" w:sz="0" w:space="0" w:color="auto"/>
              </w:divBdr>
              <w:divsChild>
                <w:div w:id="757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36305">
      <w:bodyDiv w:val="1"/>
      <w:marLeft w:val="0"/>
      <w:marRight w:val="0"/>
      <w:marTop w:val="0"/>
      <w:marBottom w:val="0"/>
      <w:divBdr>
        <w:top w:val="none" w:sz="0" w:space="0" w:color="auto"/>
        <w:left w:val="none" w:sz="0" w:space="0" w:color="auto"/>
        <w:bottom w:val="none" w:sz="0" w:space="0" w:color="auto"/>
        <w:right w:val="none" w:sz="0" w:space="0" w:color="auto"/>
      </w:divBdr>
    </w:div>
    <w:div w:id="1753158907">
      <w:bodyDiv w:val="1"/>
      <w:marLeft w:val="0"/>
      <w:marRight w:val="0"/>
      <w:marTop w:val="0"/>
      <w:marBottom w:val="0"/>
      <w:divBdr>
        <w:top w:val="none" w:sz="0" w:space="0" w:color="auto"/>
        <w:left w:val="none" w:sz="0" w:space="0" w:color="auto"/>
        <w:bottom w:val="none" w:sz="0" w:space="0" w:color="auto"/>
        <w:right w:val="none" w:sz="0" w:space="0" w:color="auto"/>
      </w:divBdr>
    </w:div>
    <w:div w:id="1760061644">
      <w:bodyDiv w:val="1"/>
      <w:marLeft w:val="0"/>
      <w:marRight w:val="0"/>
      <w:marTop w:val="0"/>
      <w:marBottom w:val="0"/>
      <w:divBdr>
        <w:top w:val="none" w:sz="0" w:space="0" w:color="auto"/>
        <w:left w:val="none" w:sz="0" w:space="0" w:color="auto"/>
        <w:bottom w:val="none" w:sz="0" w:space="0" w:color="auto"/>
        <w:right w:val="none" w:sz="0" w:space="0" w:color="auto"/>
      </w:divBdr>
      <w:divsChild>
        <w:div w:id="1692610372">
          <w:marLeft w:val="0"/>
          <w:marRight w:val="0"/>
          <w:marTop w:val="0"/>
          <w:marBottom w:val="0"/>
          <w:divBdr>
            <w:top w:val="none" w:sz="0" w:space="0" w:color="auto"/>
            <w:left w:val="none" w:sz="0" w:space="0" w:color="auto"/>
            <w:bottom w:val="none" w:sz="0" w:space="0" w:color="auto"/>
            <w:right w:val="none" w:sz="0" w:space="0" w:color="auto"/>
          </w:divBdr>
          <w:divsChild>
            <w:div w:id="107554194">
              <w:marLeft w:val="0"/>
              <w:marRight w:val="0"/>
              <w:marTop w:val="0"/>
              <w:marBottom w:val="0"/>
              <w:divBdr>
                <w:top w:val="none" w:sz="0" w:space="0" w:color="auto"/>
                <w:left w:val="none" w:sz="0" w:space="0" w:color="auto"/>
                <w:bottom w:val="none" w:sz="0" w:space="0" w:color="auto"/>
                <w:right w:val="none" w:sz="0" w:space="0" w:color="auto"/>
              </w:divBdr>
              <w:divsChild>
                <w:div w:id="440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46497">
      <w:bodyDiv w:val="1"/>
      <w:marLeft w:val="0"/>
      <w:marRight w:val="0"/>
      <w:marTop w:val="0"/>
      <w:marBottom w:val="0"/>
      <w:divBdr>
        <w:top w:val="none" w:sz="0" w:space="0" w:color="auto"/>
        <w:left w:val="none" w:sz="0" w:space="0" w:color="auto"/>
        <w:bottom w:val="none" w:sz="0" w:space="0" w:color="auto"/>
        <w:right w:val="none" w:sz="0" w:space="0" w:color="auto"/>
      </w:divBdr>
      <w:divsChild>
        <w:div w:id="1528566374">
          <w:marLeft w:val="0"/>
          <w:marRight w:val="0"/>
          <w:marTop w:val="0"/>
          <w:marBottom w:val="0"/>
          <w:divBdr>
            <w:top w:val="none" w:sz="0" w:space="0" w:color="auto"/>
            <w:left w:val="none" w:sz="0" w:space="0" w:color="auto"/>
            <w:bottom w:val="none" w:sz="0" w:space="0" w:color="auto"/>
            <w:right w:val="none" w:sz="0" w:space="0" w:color="auto"/>
          </w:divBdr>
          <w:divsChild>
            <w:div w:id="1958095550">
              <w:marLeft w:val="0"/>
              <w:marRight w:val="0"/>
              <w:marTop w:val="0"/>
              <w:marBottom w:val="0"/>
              <w:divBdr>
                <w:top w:val="none" w:sz="0" w:space="0" w:color="auto"/>
                <w:left w:val="none" w:sz="0" w:space="0" w:color="auto"/>
                <w:bottom w:val="none" w:sz="0" w:space="0" w:color="auto"/>
                <w:right w:val="none" w:sz="0" w:space="0" w:color="auto"/>
              </w:divBdr>
              <w:divsChild>
                <w:div w:id="1013452560">
                  <w:marLeft w:val="0"/>
                  <w:marRight w:val="0"/>
                  <w:marTop w:val="0"/>
                  <w:marBottom w:val="0"/>
                  <w:divBdr>
                    <w:top w:val="none" w:sz="0" w:space="0" w:color="auto"/>
                    <w:left w:val="none" w:sz="0" w:space="0" w:color="auto"/>
                    <w:bottom w:val="none" w:sz="0" w:space="0" w:color="auto"/>
                    <w:right w:val="none" w:sz="0" w:space="0" w:color="auto"/>
                  </w:divBdr>
                  <w:divsChild>
                    <w:div w:id="20562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76514">
      <w:bodyDiv w:val="1"/>
      <w:marLeft w:val="0"/>
      <w:marRight w:val="0"/>
      <w:marTop w:val="0"/>
      <w:marBottom w:val="0"/>
      <w:divBdr>
        <w:top w:val="none" w:sz="0" w:space="0" w:color="auto"/>
        <w:left w:val="none" w:sz="0" w:space="0" w:color="auto"/>
        <w:bottom w:val="none" w:sz="0" w:space="0" w:color="auto"/>
        <w:right w:val="none" w:sz="0" w:space="0" w:color="auto"/>
      </w:divBdr>
      <w:divsChild>
        <w:div w:id="466506050">
          <w:marLeft w:val="0"/>
          <w:marRight w:val="0"/>
          <w:marTop w:val="0"/>
          <w:marBottom w:val="0"/>
          <w:divBdr>
            <w:top w:val="none" w:sz="0" w:space="0" w:color="auto"/>
            <w:left w:val="none" w:sz="0" w:space="0" w:color="auto"/>
            <w:bottom w:val="none" w:sz="0" w:space="0" w:color="auto"/>
            <w:right w:val="none" w:sz="0" w:space="0" w:color="auto"/>
          </w:divBdr>
          <w:divsChild>
            <w:div w:id="2110587738">
              <w:marLeft w:val="0"/>
              <w:marRight w:val="0"/>
              <w:marTop w:val="0"/>
              <w:marBottom w:val="0"/>
              <w:divBdr>
                <w:top w:val="none" w:sz="0" w:space="0" w:color="auto"/>
                <w:left w:val="none" w:sz="0" w:space="0" w:color="auto"/>
                <w:bottom w:val="none" w:sz="0" w:space="0" w:color="auto"/>
                <w:right w:val="none" w:sz="0" w:space="0" w:color="auto"/>
              </w:divBdr>
              <w:divsChild>
                <w:div w:id="2574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9918">
          <w:marLeft w:val="0"/>
          <w:marRight w:val="0"/>
          <w:marTop w:val="0"/>
          <w:marBottom w:val="0"/>
          <w:divBdr>
            <w:top w:val="none" w:sz="0" w:space="0" w:color="auto"/>
            <w:left w:val="none" w:sz="0" w:space="0" w:color="auto"/>
            <w:bottom w:val="none" w:sz="0" w:space="0" w:color="auto"/>
            <w:right w:val="none" w:sz="0" w:space="0" w:color="auto"/>
          </w:divBdr>
          <w:divsChild>
            <w:div w:id="1750425351">
              <w:marLeft w:val="0"/>
              <w:marRight w:val="0"/>
              <w:marTop w:val="0"/>
              <w:marBottom w:val="0"/>
              <w:divBdr>
                <w:top w:val="none" w:sz="0" w:space="0" w:color="auto"/>
                <w:left w:val="none" w:sz="0" w:space="0" w:color="auto"/>
                <w:bottom w:val="none" w:sz="0" w:space="0" w:color="auto"/>
                <w:right w:val="none" w:sz="0" w:space="0" w:color="auto"/>
              </w:divBdr>
              <w:divsChild>
                <w:div w:id="430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7559">
      <w:bodyDiv w:val="1"/>
      <w:marLeft w:val="0"/>
      <w:marRight w:val="0"/>
      <w:marTop w:val="0"/>
      <w:marBottom w:val="0"/>
      <w:divBdr>
        <w:top w:val="none" w:sz="0" w:space="0" w:color="auto"/>
        <w:left w:val="none" w:sz="0" w:space="0" w:color="auto"/>
        <w:bottom w:val="none" w:sz="0" w:space="0" w:color="auto"/>
        <w:right w:val="none" w:sz="0" w:space="0" w:color="auto"/>
      </w:divBdr>
      <w:divsChild>
        <w:div w:id="1203984772">
          <w:marLeft w:val="0"/>
          <w:marRight w:val="0"/>
          <w:marTop w:val="360"/>
          <w:marBottom w:val="360"/>
          <w:divBdr>
            <w:top w:val="none" w:sz="0" w:space="0" w:color="auto"/>
            <w:left w:val="none" w:sz="0" w:space="0" w:color="auto"/>
            <w:bottom w:val="none" w:sz="0" w:space="0" w:color="auto"/>
            <w:right w:val="none" w:sz="0" w:space="0" w:color="auto"/>
          </w:divBdr>
          <w:divsChild>
            <w:div w:id="212272747">
              <w:marLeft w:val="0"/>
              <w:marRight w:val="0"/>
              <w:marTop w:val="0"/>
              <w:marBottom w:val="0"/>
              <w:divBdr>
                <w:top w:val="none" w:sz="0" w:space="0" w:color="auto"/>
                <w:left w:val="none" w:sz="0" w:space="0" w:color="auto"/>
                <w:bottom w:val="none" w:sz="0" w:space="0" w:color="auto"/>
                <w:right w:val="none" w:sz="0" w:space="0" w:color="auto"/>
              </w:divBdr>
            </w:div>
          </w:divsChild>
        </w:div>
        <w:div w:id="413748936">
          <w:marLeft w:val="0"/>
          <w:marRight w:val="0"/>
          <w:marTop w:val="360"/>
          <w:marBottom w:val="360"/>
          <w:divBdr>
            <w:top w:val="none" w:sz="0" w:space="0" w:color="auto"/>
            <w:left w:val="none" w:sz="0" w:space="0" w:color="auto"/>
            <w:bottom w:val="none" w:sz="0" w:space="0" w:color="auto"/>
            <w:right w:val="none" w:sz="0" w:space="0" w:color="auto"/>
          </w:divBdr>
          <w:divsChild>
            <w:div w:id="10451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954">
      <w:bodyDiv w:val="1"/>
      <w:marLeft w:val="0"/>
      <w:marRight w:val="0"/>
      <w:marTop w:val="0"/>
      <w:marBottom w:val="0"/>
      <w:divBdr>
        <w:top w:val="none" w:sz="0" w:space="0" w:color="auto"/>
        <w:left w:val="none" w:sz="0" w:space="0" w:color="auto"/>
        <w:bottom w:val="none" w:sz="0" w:space="0" w:color="auto"/>
        <w:right w:val="none" w:sz="0" w:space="0" w:color="auto"/>
      </w:divBdr>
    </w:div>
    <w:div w:id="1777943254">
      <w:bodyDiv w:val="1"/>
      <w:marLeft w:val="0"/>
      <w:marRight w:val="0"/>
      <w:marTop w:val="0"/>
      <w:marBottom w:val="0"/>
      <w:divBdr>
        <w:top w:val="none" w:sz="0" w:space="0" w:color="auto"/>
        <w:left w:val="none" w:sz="0" w:space="0" w:color="auto"/>
        <w:bottom w:val="none" w:sz="0" w:space="0" w:color="auto"/>
        <w:right w:val="none" w:sz="0" w:space="0" w:color="auto"/>
      </w:divBdr>
      <w:divsChild>
        <w:div w:id="882521017">
          <w:marLeft w:val="0"/>
          <w:marRight w:val="0"/>
          <w:marTop w:val="0"/>
          <w:marBottom w:val="0"/>
          <w:divBdr>
            <w:top w:val="none" w:sz="0" w:space="0" w:color="auto"/>
            <w:left w:val="none" w:sz="0" w:space="0" w:color="auto"/>
            <w:bottom w:val="none" w:sz="0" w:space="0" w:color="auto"/>
            <w:right w:val="none" w:sz="0" w:space="0" w:color="auto"/>
          </w:divBdr>
          <w:divsChild>
            <w:div w:id="1582060054">
              <w:marLeft w:val="0"/>
              <w:marRight w:val="0"/>
              <w:marTop w:val="0"/>
              <w:marBottom w:val="0"/>
              <w:divBdr>
                <w:top w:val="none" w:sz="0" w:space="0" w:color="auto"/>
                <w:left w:val="none" w:sz="0" w:space="0" w:color="auto"/>
                <w:bottom w:val="none" w:sz="0" w:space="0" w:color="auto"/>
                <w:right w:val="none" w:sz="0" w:space="0" w:color="auto"/>
              </w:divBdr>
              <w:divsChild>
                <w:div w:id="16779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064587">
      <w:bodyDiv w:val="1"/>
      <w:marLeft w:val="0"/>
      <w:marRight w:val="0"/>
      <w:marTop w:val="0"/>
      <w:marBottom w:val="0"/>
      <w:divBdr>
        <w:top w:val="none" w:sz="0" w:space="0" w:color="auto"/>
        <w:left w:val="none" w:sz="0" w:space="0" w:color="auto"/>
        <w:bottom w:val="none" w:sz="0" w:space="0" w:color="auto"/>
        <w:right w:val="none" w:sz="0" w:space="0" w:color="auto"/>
      </w:divBdr>
    </w:div>
    <w:div w:id="1779135941">
      <w:bodyDiv w:val="1"/>
      <w:marLeft w:val="0"/>
      <w:marRight w:val="0"/>
      <w:marTop w:val="0"/>
      <w:marBottom w:val="0"/>
      <w:divBdr>
        <w:top w:val="none" w:sz="0" w:space="0" w:color="auto"/>
        <w:left w:val="none" w:sz="0" w:space="0" w:color="auto"/>
        <w:bottom w:val="none" w:sz="0" w:space="0" w:color="auto"/>
        <w:right w:val="none" w:sz="0" w:space="0" w:color="auto"/>
      </w:divBdr>
      <w:divsChild>
        <w:div w:id="313990873">
          <w:marLeft w:val="0"/>
          <w:marRight w:val="0"/>
          <w:marTop w:val="0"/>
          <w:marBottom w:val="0"/>
          <w:divBdr>
            <w:top w:val="none" w:sz="0" w:space="0" w:color="auto"/>
            <w:left w:val="none" w:sz="0" w:space="0" w:color="auto"/>
            <w:bottom w:val="none" w:sz="0" w:space="0" w:color="auto"/>
            <w:right w:val="none" w:sz="0" w:space="0" w:color="auto"/>
          </w:divBdr>
          <w:divsChild>
            <w:div w:id="144859276">
              <w:marLeft w:val="0"/>
              <w:marRight w:val="0"/>
              <w:marTop w:val="0"/>
              <w:marBottom w:val="0"/>
              <w:divBdr>
                <w:top w:val="none" w:sz="0" w:space="0" w:color="auto"/>
                <w:left w:val="none" w:sz="0" w:space="0" w:color="auto"/>
                <w:bottom w:val="none" w:sz="0" w:space="0" w:color="auto"/>
                <w:right w:val="none" w:sz="0" w:space="0" w:color="auto"/>
              </w:divBdr>
              <w:divsChild>
                <w:div w:id="3782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61010">
      <w:bodyDiv w:val="1"/>
      <w:marLeft w:val="0"/>
      <w:marRight w:val="0"/>
      <w:marTop w:val="0"/>
      <w:marBottom w:val="0"/>
      <w:divBdr>
        <w:top w:val="none" w:sz="0" w:space="0" w:color="auto"/>
        <w:left w:val="none" w:sz="0" w:space="0" w:color="auto"/>
        <w:bottom w:val="none" w:sz="0" w:space="0" w:color="auto"/>
        <w:right w:val="none" w:sz="0" w:space="0" w:color="auto"/>
      </w:divBdr>
    </w:div>
    <w:div w:id="1788499138">
      <w:bodyDiv w:val="1"/>
      <w:marLeft w:val="0"/>
      <w:marRight w:val="0"/>
      <w:marTop w:val="0"/>
      <w:marBottom w:val="0"/>
      <w:divBdr>
        <w:top w:val="none" w:sz="0" w:space="0" w:color="auto"/>
        <w:left w:val="none" w:sz="0" w:space="0" w:color="auto"/>
        <w:bottom w:val="none" w:sz="0" w:space="0" w:color="auto"/>
        <w:right w:val="none" w:sz="0" w:space="0" w:color="auto"/>
      </w:divBdr>
    </w:div>
    <w:div w:id="1788965692">
      <w:bodyDiv w:val="1"/>
      <w:marLeft w:val="0"/>
      <w:marRight w:val="0"/>
      <w:marTop w:val="0"/>
      <w:marBottom w:val="0"/>
      <w:divBdr>
        <w:top w:val="none" w:sz="0" w:space="0" w:color="auto"/>
        <w:left w:val="none" w:sz="0" w:space="0" w:color="auto"/>
        <w:bottom w:val="none" w:sz="0" w:space="0" w:color="auto"/>
        <w:right w:val="none" w:sz="0" w:space="0" w:color="auto"/>
      </w:divBdr>
      <w:divsChild>
        <w:div w:id="477957457">
          <w:marLeft w:val="0"/>
          <w:marRight w:val="0"/>
          <w:marTop w:val="0"/>
          <w:marBottom w:val="0"/>
          <w:divBdr>
            <w:top w:val="none" w:sz="0" w:space="0" w:color="auto"/>
            <w:left w:val="none" w:sz="0" w:space="0" w:color="auto"/>
            <w:bottom w:val="none" w:sz="0" w:space="0" w:color="auto"/>
            <w:right w:val="none" w:sz="0" w:space="0" w:color="auto"/>
          </w:divBdr>
          <w:divsChild>
            <w:div w:id="1012344822">
              <w:marLeft w:val="0"/>
              <w:marRight w:val="0"/>
              <w:marTop w:val="0"/>
              <w:marBottom w:val="0"/>
              <w:divBdr>
                <w:top w:val="none" w:sz="0" w:space="0" w:color="auto"/>
                <w:left w:val="none" w:sz="0" w:space="0" w:color="auto"/>
                <w:bottom w:val="none" w:sz="0" w:space="0" w:color="auto"/>
                <w:right w:val="none" w:sz="0" w:space="0" w:color="auto"/>
              </w:divBdr>
              <w:divsChild>
                <w:div w:id="2364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68762">
      <w:bodyDiv w:val="1"/>
      <w:marLeft w:val="0"/>
      <w:marRight w:val="0"/>
      <w:marTop w:val="0"/>
      <w:marBottom w:val="0"/>
      <w:divBdr>
        <w:top w:val="none" w:sz="0" w:space="0" w:color="auto"/>
        <w:left w:val="none" w:sz="0" w:space="0" w:color="auto"/>
        <w:bottom w:val="none" w:sz="0" w:space="0" w:color="auto"/>
        <w:right w:val="none" w:sz="0" w:space="0" w:color="auto"/>
      </w:divBdr>
      <w:divsChild>
        <w:div w:id="928847749">
          <w:marLeft w:val="0"/>
          <w:marRight w:val="0"/>
          <w:marTop w:val="0"/>
          <w:marBottom w:val="0"/>
          <w:divBdr>
            <w:top w:val="none" w:sz="0" w:space="0" w:color="auto"/>
            <w:left w:val="none" w:sz="0" w:space="0" w:color="auto"/>
            <w:bottom w:val="none" w:sz="0" w:space="0" w:color="auto"/>
            <w:right w:val="none" w:sz="0" w:space="0" w:color="auto"/>
          </w:divBdr>
          <w:divsChild>
            <w:div w:id="1389037960">
              <w:marLeft w:val="0"/>
              <w:marRight w:val="0"/>
              <w:marTop w:val="0"/>
              <w:marBottom w:val="0"/>
              <w:divBdr>
                <w:top w:val="none" w:sz="0" w:space="0" w:color="auto"/>
                <w:left w:val="none" w:sz="0" w:space="0" w:color="auto"/>
                <w:bottom w:val="none" w:sz="0" w:space="0" w:color="auto"/>
                <w:right w:val="none" w:sz="0" w:space="0" w:color="auto"/>
              </w:divBdr>
              <w:divsChild>
                <w:div w:id="1727489206">
                  <w:marLeft w:val="0"/>
                  <w:marRight w:val="0"/>
                  <w:marTop w:val="0"/>
                  <w:marBottom w:val="0"/>
                  <w:divBdr>
                    <w:top w:val="none" w:sz="0" w:space="0" w:color="auto"/>
                    <w:left w:val="none" w:sz="0" w:space="0" w:color="auto"/>
                    <w:bottom w:val="none" w:sz="0" w:space="0" w:color="auto"/>
                    <w:right w:val="none" w:sz="0" w:space="0" w:color="auto"/>
                  </w:divBdr>
                  <w:divsChild>
                    <w:div w:id="648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7203">
      <w:bodyDiv w:val="1"/>
      <w:marLeft w:val="0"/>
      <w:marRight w:val="0"/>
      <w:marTop w:val="0"/>
      <w:marBottom w:val="0"/>
      <w:divBdr>
        <w:top w:val="none" w:sz="0" w:space="0" w:color="auto"/>
        <w:left w:val="none" w:sz="0" w:space="0" w:color="auto"/>
        <w:bottom w:val="none" w:sz="0" w:space="0" w:color="auto"/>
        <w:right w:val="none" w:sz="0" w:space="0" w:color="auto"/>
      </w:divBdr>
      <w:divsChild>
        <w:div w:id="314260060">
          <w:marLeft w:val="0"/>
          <w:marRight w:val="0"/>
          <w:marTop w:val="0"/>
          <w:marBottom w:val="0"/>
          <w:divBdr>
            <w:top w:val="none" w:sz="0" w:space="0" w:color="auto"/>
            <w:left w:val="none" w:sz="0" w:space="0" w:color="auto"/>
            <w:bottom w:val="none" w:sz="0" w:space="0" w:color="auto"/>
            <w:right w:val="none" w:sz="0" w:space="0" w:color="auto"/>
          </w:divBdr>
          <w:divsChild>
            <w:div w:id="664666996">
              <w:marLeft w:val="0"/>
              <w:marRight w:val="0"/>
              <w:marTop w:val="0"/>
              <w:marBottom w:val="0"/>
              <w:divBdr>
                <w:top w:val="none" w:sz="0" w:space="0" w:color="auto"/>
                <w:left w:val="none" w:sz="0" w:space="0" w:color="auto"/>
                <w:bottom w:val="none" w:sz="0" w:space="0" w:color="auto"/>
                <w:right w:val="none" w:sz="0" w:space="0" w:color="auto"/>
              </w:divBdr>
              <w:divsChild>
                <w:div w:id="1933393875">
                  <w:marLeft w:val="0"/>
                  <w:marRight w:val="0"/>
                  <w:marTop w:val="0"/>
                  <w:marBottom w:val="0"/>
                  <w:divBdr>
                    <w:top w:val="none" w:sz="0" w:space="0" w:color="auto"/>
                    <w:left w:val="none" w:sz="0" w:space="0" w:color="auto"/>
                    <w:bottom w:val="none" w:sz="0" w:space="0" w:color="auto"/>
                    <w:right w:val="none" w:sz="0" w:space="0" w:color="auto"/>
                  </w:divBdr>
                  <w:divsChild>
                    <w:div w:id="10069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81149">
      <w:bodyDiv w:val="1"/>
      <w:marLeft w:val="0"/>
      <w:marRight w:val="0"/>
      <w:marTop w:val="0"/>
      <w:marBottom w:val="0"/>
      <w:divBdr>
        <w:top w:val="none" w:sz="0" w:space="0" w:color="auto"/>
        <w:left w:val="none" w:sz="0" w:space="0" w:color="auto"/>
        <w:bottom w:val="none" w:sz="0" w:space="0" w:color="auto"/>
        <w:right w:val="none" w:sz="0" w:space="0" w:color="auto"/>
      </w:divBdr>
    </w:div>
    <w:div w:id="1795557610">
      <w:bodyDiv w:val="1"/>
      <w:marLeft w:val="0"/>
      <w:marRight w:val="0"/>
      <w:marTop w:val="0"/>
      <w:marBottom w:val="0"/>
      <w:divBdr>
        <w:top w:val="none" w:sz="0" w:space="0" w:color="auto"/>
        <w:left w:val="none" w:sz="0" w:space="0" w:color="auto"/>
        <w:bottom w:val="none" w:sz="0" w:space="0" w:color="auto"/>
        <w:right w:val="none" w:sz="0" w:space="0" w:color="auto"/>
      </w:divBdr>
      <w:divsChild>
        <w:div w:id="1176306604">
          <w:marLeft w:val="0"/>
          <w:marRight w:val="0"/>
          <w:marTop w:val="0"/>
          <w:marBottom w:val="0"/>
          <w:divBdr>
            <w:top w:val="none" w:sz="0" w:space="0" w:color="auto"/>
            <w:left w:val="none" w:sz="0" w:space="0" w:color="auto"/>
            <w:bottom w:val="none" w:sz="0" w:space="0" w:color="auto"/>
            <w:right w:val="none" w:sz="0" w:space="0" w:color="auto"/>
          </w:divBdr>
          <w:divsChild>
            <w:div w:id="2056271304">
              <w:marLeft w:val="0"/>
              <w:marRight w:val="0"/>
              <w:marTop w:val="0"/>
              <w:marBottom w:val="0"/>
              <w:divBdr>
                <w:top w:val="none" w:sz="0" w:space="0" w:color="auto"/>
                <w:left w:val="none" w:sz="0" w:space="0" w:color="auto"/>
                <w:bottom w:val="none" w:sz="0" w:space="0" w:color="auto"/>
                <w:right w:val="none" w:sz="0" w:space="0" w:color="auto"/>
              </w:divBdr>
              <w:divsChild>
                <w:div w:id="43875323">
                  <w:marLeft w:val="0"/>
                  <w:marRight w:val="0"/>
                  <w:marTop w:val="0"/>
                  <w:marBottom w:val="0"/>
                  <w:divBdr>
                    <w:top w:val="none" w:sz="0" w:space="0" w:color="auto"/>
                    <w:left w:val="none" w:sz="0" w:space="0" w:color="auto"/>
                    <w:bottom w:val="none" w:sz="0" w:space="0" w:color="auto"/>
                    <w:right w:val="none" w:sz="0" w:space="0" w:color="auto"/>
                  </w:divBdr>
                  <w:divsChild>
                    <w:div w:id="1904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4292">
      <w:bodyDiv w:val="1"/>
      <w:marLeft w:val="0"/>
      <w:marRight w:val="0"/>
      <w:marTop w:val="0"/>
      <w:marBottom w:val="0"/>
      <w:divBdr>
        <w:top w:val="none" w:sz="0" w:space="0" w:color="auto"/>
        <w:left w:val="none" w:sz="0" w:space="0" w:color="auto"/>
        <w:bottom w:val="none" w:sz="0" w:space="0" w:color="auto"/>
        <w:right w:val="none" w:sz="0" w:space="0" w:color="auto"/>
      </w:divBdr>
    </w:div>
    <w:div w:id="1798841095">
      <w:bodyDiv w:val="1"/>
      <w:marLeft w:val="0"/>
      <w:marRight w:val="0"/>
      <w:marTop w:val="0"/>
      <w:marBottom w:val="0"/>
      <w:divBdr>
        <w:top w:val="none" w:sz="0" w:space="0" w:color="auto"/>
        <w:left w:val="none" w:sz="0" w:space="0" w:color="auto"/>
        <w:bottom w:val="none" w:sz="0" w:space="0" w:color="auto"/>
        <w:right w:val="none" w:sz="0" w:space="0" w:color="auto"/>
      </w:divBdr>
      <w:divsChild>
        <w:div w:id="1156997410">
          <w:marLeft w:val="0"/>
          <w:marRight w:val="0"/>
          <w:marTop w:val="0"/>
          <w:marBottom w:val="0"/>
          <w:divBdr>
            <w:top w:val="none" w:sz="0" w:space="0" w:color="auto"/>
            <w:left w:val="none" w:sz="0" w:space="0" w:color="auto"/>
            <w:bottom w:val="none" w:sz="0" w:space="0" w:color="auto"/>
            <w:right w:val="none" w:sz="0" w:space="0" w:color="auto"/>
          </w:divBdr>
          <w:divsChild>
            <w:div w:id="180247370">
              <w:marLeft w:val="0"/>
              <w:marRight w:val="0"/>
              <w:marTop w:val="0"/>
              <w:marBottom w:val="0"/>
              <w:divBdr>
                <w:top w:val="none" w:sz="0" w:space="0" w:color="auto"/>
                <w:left w:val="none" w:sz="0" w:space="0" w:color="auto"/>
                <w:bottom w:val="none" w:sz="0" w:space="0" w:color="auto"/>
                <w:right w:val="none" w:sz="0" w:space="0" w:color="auto"/>
              </w:divBdr>
              <w:divsChild>
                <w:div w:id="13514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79868">
      <w:bodyDiv w:val="1"/>
      <w:marLeft w:val="0"/>
      <w:marRight w:val="0"/>
      <w:marTop w:val="0"/>
      <w:marBottom w:val="0"/>
      <w:divBdr>
        <w:top w:val="none" w:sz="0" w:space="0" w:color="auto"/>
        <w:left w:val="none" w:sz="0" w:space="0" w:color="auto"/>
        <w:bottom w:val="none" w:sz="0" w:space="0" w:color="auto"/>
        <w:right w:val="none" w:sz="0" w:space="0" w:color="auto"/>
      </w:divBdr>
      <w:divsChild>
        <w:div w:id="1683972572">
          <w:marLeft w:val="0"/>
          <w:marRight w:val="0"/>
          <w:marTop w:val="0"/>
          <w:marBottom w:val="0"/>
          <w:divBdr>
            <w:top w:val="none" w:sz="0" w:space="0" w:color="3D3D3D"/>
            <w:left w:val="none" w:sz="0" w:space="0" w:color="3D3D3D"/>
            <w:bottom w:val="none" w:sz="0" w:space="0" w:color="3D3D3D"/>
            <w:right w:val="none" w:sz="0" w:space="0" w:color="3D3D3D"/>
          </w:divBdr>
          <w:divsChild>
            <w:div w:id="149606801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10709100">
      <w:bodyDiv w:val="1"/>
      <w:marLeft w:val="0"/>
      <w:marRight w:val="0"/>
      <w:marTop w:val="0"/>
      <w:marBottom w:val="0"/>
      <w:divBdr>
        <w:top w:val="none" w:sz="0" w:space="0" w:color="auto"/>
        <w:left w:val="none" w:sz="0" w:space="0" w:color="auto"/>
        <w:bottom w:val="none" w:sz="0" w:space="0" w:color="auto"/>
        <w:right w:val="none" w:sz="0" w:space="0" w:color="auto"/>
      </w:divBdr>
    </w:div>
    <w:div w:id="1816992895">
      <w:bodyDiv w:val="1"/>
      <w:marLeft w:val="0"/>
      <w:marRight w:val="0"/>
      <w:marTop w:val="0"/>
      <w:marBottom w:val="0"/>
      <w:divBdr>
        <w:top w:val="none" w:sz="0" w:space="0" w:color="auto"/>
        <w:left w:val="none" w:sz="0" w:space="0" w:color="auto"/>
        <w:bottom w:val="none" w:sz="0" w:space="0" w:color="auto"/>
        <w:right w:val="none" w:sz="0" w:space="0" w:color="auto"/>
      </w:divBdr>
      <w:divsChild>
        <w:div w:id="888617113">
          <w:marLeft w:val="0"/>
          <w:marRight w:val="0"/>
          <w:marTop w:val="0"/>
          <w:marBottom w:val="0"/>
          <w:divBdr>
            <w:top w:val="none" w:sz="0" w:space="0" w:color="auto"/>
            <w:left w:val="none" w:sz="0" w:space="0" w:color="auto"/>
            <w:bottom w:val="none" w:sz="0" w:space="0" w:color="auto"/>
            <w:right w:val="none" w:sz="0" w:space="0" w:color="auto"/>
          </w:divBdr>
          <w:divsChild>
            <w:div w:id="979924888">
              <w:marLeft w:val="0"/>
              <w:marRight w:val="0"/>
              <w:marTop w:val="0"/>
              <w:marBottom w:val="0"/>
              <w:divBdr>
                <w:top w:val="none" w:sz="0" w:space="0" w:color="auto"/>
                <w:left w:val="none" w:sz="0" w:space="0" w:color="auto"/>
                <w:bottom w:val="none" w:sz="0" w:space="0" w:color="auto"/>
                <w:right w:val="none" w:sz="0" w:space="0" w:color="auto"/>
              </w:divBdr>
              <w:divsChild>
                <w:div w:id="493225662">
                  <w:marLeft w:val="0"/>
                  <w:marRight w:val="0"/>
                  <w:marTop w:val="0"/>
                  <w:marBottom w:val="0"/>
                  <w:divBdr>
                    <w:top w:val="none" w:sz="0" w:space="0" w:color="auto"/>
                    <w:left w:val="none" w:sz="0" w:space="0" w:color="auto"/>
                    <w:bottom w:val="none" w:sz="0" w:space="0" w:color="auto"/>
                    <w:right w:val="none" w:sz="0" w:space="0" w:color="auto"/>
                  </w:divBdr>
                  <w:divsChild>
                    <w:div w:id="13602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94588">
      <w:bodyDiv w:val="1"/>
      <w:marLeft w:val="0"/>
      <w:marRight w:val="0"/>
      <w:marTop w:val="0"/>
      <w:marBottom w:val="0"/>
      <w:divBdr>
        <w:top w:val="none" w:sz="0" w:space="0" w:color="auto"/>
        <w:left w:val="none" w:sz="0" w:space="0" w:color="auto"/>
        <w:bottom w:val="none" w:sz="0" w:space="0" w:color="auto"/>
        <w:right w:val="none" w:sz="0" w:space="0" w:color="auto"/>
      </w:divBdr>
    </w:div>
    <w:div w:id="1818837885">
      <w:bodyDiv w:val="1"/>
      <w:marLeft w:val="0"/>
      <w:marRight w:val="0"/>
      <w:marTop w:val="0"/>
      <w:marBottom w:val="0"/>
      <w:divBdr>
        <w:top w:val="none" w:sz="0" w:space="0" w:color="auto"/>
        <w:left w:val="none" w:sz="0" w:space="0" w:color="auto"/>
        <w:bottom w:val="none" w:sz="0" w:space="0" w:color="auto"/>
        <w:right w:val="none" w:sz="0" w:space="0" w:color="auto"/>
      </w:divBdr>
    </w:div>
    <w:div w:id="1819421453">
      <w:bodyDiv w:val="1"/>
      <w:marLeft w:val="0"/>
      <w:marRight w:val="0"/>
      <w:marTop w:val="0"/>
      <w:marBottom w:val="0"/>
      <w:divBdr>
        <w:top w:val="none" w:sz="0" w:space="0" w:color="auto"/>
        <w:left w:val="none" w:sz="0" w:space="0" w:color="auto"/>
        <w:bottom w:val="none" w:sz="0" w:space="0" w:color="auto"/>
        <w:right w:val="none" w:sz="0" w:space="0" w:color="auto"/>
      </w:divBdr>
    </w:div>
    <w:div w:id="1822497932">
      <w:bodyDiv w:val="1"/>
      <w:marLeft w:val="0"/>
      <w:marRight w:val="0"/>
      <w:marTop w:val="0"/>
      <w:marBottom w:val="0"/>
      <w:divBdr>
        <w:top w:val="none" w:sz="0" w:space="0" w:color="auto"/>
        <w:left w:val="none" w:sz="0" w:space="0" w:color="auto"/>
        <w:bottom w:val="none" w:sz="0" w:space="0" w:color="auto"/>
        <w:right w:val="none" w:sz="0" w:space="0" w:color="auto"/>
      </w:divBdr>
    </w:div>
    <w:div w:id="1826192704">
      <w:bodyDiv w:val="1"/>
      <w:marLeft w:val="0"/>
      <w:marRight w:val="0"/>
      <w:marTop w:val="0"/>
      <w:marBottom w:val="0"/>
      <w:divBdr>
        <w:top w:val="none" w:sz="0" w:space="0" w:color="auto"/>
        <w:left w:val="none" w:sz="0" w:space="0" w:color="auto"/>
        <w:bottom w:val="none" w:sz="0" w:space="0" w:color="auto"/>
        <w:right w:val="none" w:sz="0" w:space="0" w:color="auto"/>
      </w:divBdr>
    </w:div>
    <w:div w:id="1831291797">
      <w:bodyDiv w:val="1"/>
      <w:marLeft w:val="0"/>
      <w:marRight w:val="0"/>
      <w:marTop w:val="0"/>
      <w:marBottom w:val="0"/>
      <w:divBdr>
        <w:top w:val="none" w:sz="0" w:space="0" w:color="auto"/>
        <w:left w:val="none" w:sz="0" w:space="0" w:color="auto"/>
        <w:bottom w:val="none" w:sz="0" w:space="0" w:color="auto"/>
        <w:right w:val="none" w:sz="0" w:space="0" w:color="auto"/>
      </w:divBdr>
      <w:divsChild>
        <w:div w:id="1470201594">
          <w:marLeft w:val="0"/>
          <w:marRight w:val="0"/>
          <w:marTop w:val="0"/>
          <w:marBottom w:val="0"/>
          <w:divBdr>
            <w:top w:val="none" w:sz="0" w:space="0" w:color="auto"/>
            <w:left w:val="none" w:sz="0" w:space="0" w:color="auto"/>
            <w:bottom w:val="none" w:sz="0" w:space="0" w:color="auto"/>
            <w:right w:val="none" w:sz="0" w:space="0" w:color="auto"/>
          </w:divBdr>
        </w:div>
      </w:divsChild>
    </w:div>
    <w:div w:id="1833833473">
      <w:bodyDiv w:val="1"/>
      <w:marLeft w:val="0"/>
      <w:marRight w:val="0"/>
      <w:marTop w:val="0"/>
      <w:marBottom w:val="0"/>
      <w:divBdr>
        <w:top w:val="none" w:sz="0" w:space="0" w:color="auto"/>
        <w:left w:val="none" w:sz="0" w:space="0" w:color="auto"/>
        <w:bottom w:val="none" w:sz="0" w:space="0" w:color="auto"/>
        <w:right w:val="none" w:sz="0" w:space="0" w:color="auto"/>
      </w:divBdr>
    </w:div>
    <w:div w:id="1836384324">
      <w:bodyDiv w:val="1"/>
      <w:marLeft w:val="0"/>
      <w:marRight w:val="0"/>
      <w:marTop w:val="0"/>
      <w:marBottom w:val="0"/>
      <w:divBdr>
        <w:top w:val="none" w:sz="0" w:space="0" w:color="auto"/>
        <w:left w:val="none" w:sz="0" w:space="0" w:color="auto"/>
        <w:bottom w:val="none" w:sz="0" w:space="0" w:color="auto"/>
        <w:right w:val="none" w:sz="0" w:space="0" w:color="auto"/>
      </w:divBdr>
    </w:div>
    <w:div w:id="1839729900">
      <w:bodyDiv w:val="1"/>
      <w:marLeft w:val="0"/>
      <w:marRight w:val="0"/>
      <w:marTop w:val="0"/>
      <w:marBottom w:val="0"/>
      <w:divBdr>
        <w:top w:val="none" w:sz="0" w:space="0" w:color="auto"/>
        <w:left w:val="none" w:sz="0" w:space="0" w:color="auto"/>
        <w:bottom w:val="none" w:sz="0" w:space="0" w:color="auto"/>
        <w:right w:val="none" w:sz="0" w:space="0" w:color="auto"/>
      </w:divBdr>
      <w:divsChild>
        <w:div w:id="269627742">
          <w:marLeft w:val="0"/>
          <w:marRight w:val="0"/>
          <w:marTop w:val="0"/>
          <w:marBottom w:val="0"/>
          <w:divBdr>
            <w:top w:val="none" w:sz="0" w:space="0" w:color="auto"/>
            <w:left w:val="none" w:sz="0" w:space="0" w:color="auto"/>
            <w:bottom w:val="none" w:sz="0" w:space="0" w:color="auto"/>
            <w:right w:val="none" w:sz="0" w:space="0" w:color="auto"/>
          </w:divBdr>
          <w:divsChild>
            <w:div w:id="1536232663">
              <w:marLeft w:val="0"/>
              <w:marRight w:val="0"/>
              <w:marTop w:val="0"/>
              <w:marBottom w:val="0"/>
              <w:divBdr>
                <w:top w:val="none" w:sz="0" w:space="0" w:color="auto"/>
                <w:left w:val="none" w:sz="0" w:space="0" w:color="auto"/>
                <w:bottom w:val="none" w:sz="0" w:space="0" w:color="auto"/>
                <w:right w:val="none" w:sz="0" w:space="0" w:color="auto"/>
              </w:divBdr>
              <w:divsChild>
                <w:div w:id="13704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959">
      <w:bodyDiv w:val="1"/>
      <w:marLeft w:val="0"/>
      <w:marRight w:val="0"/>
      <w:marTop w:val="0"/>
      <w:marBottom w:val="0"/>
      <w:divBdr>
        <w:top w:val="none" w:sz="0" w:space="0" w:color="auto"/>
        <w:left w:val="none" w:sz="0" w:space="0" w:color="auto"/>
        <w:bottom w:val="none" w:sz="0" w:space="0" w:color="auto"/>
        <w:right w:val="none" w:sz="0" w:space="0" w:color="auto"/>
      </w:divBdr>
      <w:divsChild>
        <w:div w:id="606498573">
          <w:marLeft w:val="0"/>
          <w:marRight w:val="0"/>
          <w:marTop w:val="0"/>
          <w:marBottom w:val="0"/>
          <w:divBdr>
            <w:top w:val="none" w:sz="0" w:space="0" w:color="auto"/>
            <w:left w:val="none" w:sz="0" w:space="0" w:color="auto"/>
            <w:bottom w:val="none" w:sz="0" w:space="0" w:color="auto"/>
            <w:right w:val="none" w:sz="0" w:space="0" w:color="auto"/>
          </w:divBdr>
          <w:divsChild>
            <w:div w:id="1280142668">
              <w:marLeft w:val="0"/>
              <w:marRight w:val="0"/>
              <w:marTop w:val="0"/>
              <w:marBottom w:val="0"/>
              <w:divBdr>
                <w:top w:val="none" w:sz="0" w:space="0" w:color="auto"/>
                <w:left w:val="none" w:sz="0" w:space="0" w:color="auto"/>
                <w:bottom w:val="none" w:sz="0" w:space="0" w:color="auto"/>
                <w:right w:val="none" w:sz="0" w:space="0" w:color="auto"/>
              </w:divBdr>
              <w:divsChild>
                <w:div w:id="2518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2826">
      <w:bodyDiv w:val="1"/>
      <w:marLeft w:val="0"/>
      <w:marRight w:val="0"/>
      <w:marTop w:val="0"/>
      <w:marBottom w:val="0"/>
      <w:divBdr>
        <w:top w:val="none" w:sz="0" w:space="0" w:color="auto"/>
        <w:left w:val="none" w:sz="0" w:space="0" w:color="auto"/>
        <w:bottom w:val="none" w:sz="0" w:space="0" w:color="auto"/>
        <w:right w:val="none" w:sz="0" w:space="0" w:color="auto"/>
      </w:divBdr>
      <w:divsChild>
        <w:div w:id="2022732571">
          <w:marLeft w:val="0"/>
          <w:marRight w:val="0"/>
          <w:marTop w:val="0"/>
          <w:marBottom w:val="0"/>
          <w:divBdr>
            <w:top w:val="none" w:sz="0" w:space="0" w:color="auto"/>
            <w:left w:val="none" w:sz="0" w:space="0" w:color="auto"/>
            <w:bottom w:val="none" w:sz="0" w:space="0" w:color="auto"/>
            <w:right w:val="none" w:sz="0" w:space="0" w:color="auto"/>
          </w:divBdr>
          <w:divsChild>
            <w:div w:id="891431558">
              <w:marLeft w:val="0"/>
              <w:marRight w:val="0"/>
              <w:marTop w:val="0"/>
              <w:marBottom w:val="0"/>
              <w:divBdr>
                <w:top w:val="none" w:sz="0" w:space="0" w:color="auto"/>
                <w:left w:val="none" w:sz="0" w:space="0" w:color="auto"/>
                <w:bottom w:val="none" w:sz="0" w:space="0" w:color="auto"/>
                <w:right w:val="none" w:sz="0" w:space="0" w:color="auto"/>
              </w:divBdr>
              <w:divsChild>
                <w:div w:id="486241716">
                  <w:marLeft w:val="0"/>
                  <w:marRight w:val="0"/>
                  <w:marTop w:val="0"/>
                  <w:marBottom w:val="0"/>
                  <w:divBdr>
                    <w:top w:val="none" w:sz="0" w:space="0" w:color="auto"/>
                    <w:left w:val="none" w:sz="0" w:space="0" w:color="auto"/>
                    <w:bottom w:val="none" w:sz="0" w:space="0" w:color="auto"/>
                    <w:right w:val="none" w:sz="0" w:space="0" w:color="auto"/>
                  </w:divBdr>
                  <w:divsChild>
                    <w:div w:id="9231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8470">
      <w:bodyDiv w:val="1"/>
      <w:marLeft w:val="0"/>
      <w:marRight w:val="0"/>
      <w:marTop w:val="0"/>
      <w:marBottom w:val="0"/>
      <w:divBdr>
        <w:top w:val="none" w:sz="0" w:space="0" w:color="auto"/>
        <w:left w:val="none" w:sz="0" w:space="0" w:color="auto"/>
        <w:bottom w:val="none" w:sz="0" w:space="0" w:color="auto"/>
        <w:right w:val="none" w:sz="0" w:space="0" w:color="auto"/>
      </w:divBdr>
    </w:div>
    <w:div w:id="1848056696">
      <w:bodyDiv w:val="1"/>
      <w:marLeft w:val="0"/>
      <w:marRight w:val="0"/>
      <w:marTop w:val="0"/>
      <w:marBottom w:val="0"/>
      <w:divBdr>
        <w:top w:val="none" w:sz="0" w:space="0" w:color="auto"/>
        <w:left w:val="none" w:sz="0" w:space="0" w:color="auto"/>
        <w:bottom w:val="none" w:sz="0" w:space="0" w:color="auto"/>
        <w:right w:val="none" w:sz="0" w:space="0" w:color="auto"/>
      </w:divBdr>
    </w:div>
    <w:div w:id="1856310209">
      <w:bodyDiv w:val="1"/>
      <w:marLeft w:val="0"/>
      <w:marRight w:val="0"/>
      <w:marTop w:val="0"/>
      <w:marBottom w:val="0"/>
      <w:divBdr>
        <w:top w:val="none" w:sz="0" w:space="0" w:color="auto"/>
        <w:left w:val="none" w:sz="0" w:space="0" w:color="auto"/>
        <w:bottom w:val="none" w:sz="0" w:space="0" w:color="auto"/>
        <w:right w:val="none" w:sz="0" w:space="0" w:color="auto"/>
      </w:divBdr>
    </w:div>
    <w:div w:id="1856920386">
      <w:bodyDiv w:val="1"/>
      <w:marLeft w:val="0"/>
      <w:marRight w:val="0"/>
      <w:marTop w:val="0"/>
      <w:marBottom w:val="0"/>
      <w:divBdr>
        <w:top w:val="none" w:sz="0" w:space="0" w:color="auto"/>
        <w:left w:val="none" w:sz="0" w:space="0" w:color="auto"/>
        <w:bottom w:val="none" w:sz="0" w:space="0" w:color="auto"/>
        <w:right w:val="none" w:sz="0" w:space="0" w:color="auto"/>
      </w:divBdr>
    </w:div>
    <w:div w:id="1861966327">
      <w:bodyDiv w:val="1"/>
      <w:marLeft w:val="0"/>
      <w:marRight w:val="0"/>
      <w:marTop w:val="0"/>
      <w:marBottom w:val="0"/>
      <w:divBdr>
        <w:top w:val="none" w:sz="0" w:space="0" w:color="auto"/>
        <w:left w:val="none" w:sz="0" w:space="0" w:color="auto"/>
        <w:bottom w:val="none" w:sz="0" w:space="0" w:color="auto"/>
        <w:right w:val="none" w:sz="0" w:space="0" w:color="auto"/>
      </w:divBdr>
    </w:div>
    <w:div w:id="1864633718">
      <w:bodyDiv w:val="1"/>
      <w:marLeft w:val="0"/>
      <w:marRight w:val="0"/>
      <w:marTop w:val="0"/>
      <w:marBottom w:val="0"/>
      <w:divBdr>
        <w:top w:val="none" w:sz="0" w:space="0" w:color="auto"/>
        <w:left w:val="none" w:sz="0" w:space="0" w:color="auto"/>
        <w:bottom w:val="none" w:sz="0" w:space="0" w:color="auto"/>
        <w:right w:val="none" w:sz="0" w:space="0" w:color="auto"/>
      </w:divBdr>
      <w:divsChild>
        <w:div w:id="515928829">
          <w:marLeft w:val="0"/>
          <w:marRight w:val="0"/>
          <w:marTop w:val="0"/>
          <w:marBottom w:val="0"/>
          <w:divBdr>
            <w:top w:val="none" w:sz="0" w:space="0" w:color="auto"/>
            <w:left w:val="none" w:sz="0" w:space="0" w:color="auto"/>
            <w:bottom w:val="none" w:sz="0" w:space="0" w:color="auto"/>
            <w:right w:val="none" w:sz="0" w:space="0" w:color="auto"/>
          </w:divBdr>
          <w:divsChild>
            <w:div w:id="1402285937">
              <w:marLeft w:val="0"/>
              <w:marRight w:val="0"/>
              <w:marTop w:val="0"/>
              <w:marBottom w:val="0"/>
              <w:divBdr>
                <w:top w:val="none" w:sz="0" w:space="0" w:color="auto"/>
                <w:left w:val="none" w:sz="0" w:space="0" w:color="auto"/>
                <w:bottom w:val="none" w:sz="0" w:space="0" w:color="auto"/>
                <w:right w:val="none" w:sz="0" w:space="0" w:color="auto"/>
              </w:divBdr>
              <w:divsChild>
                <w:div w:id="6483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50769">
      <w:bodyDiv w:val="1"/>
      <w:marLeft w:val="0"/>
      <w:marRight w:val="0"/>
      <w:marTop w:val="0"/>
      <w:marBottom w:val="0"/>
      <w:divBdr>
        <w:top w:val="none" w:sz="0" w:space="0" w:color="auto"/>
        <w:left w:val="none" w:sz="0" w:space="0" w:color="auto"/>
        <w:bottom w:val="none" w:sz="0" w:space="0" w:color="auto"/>
        <w:right w:val="none" w:sz="0" w:space="0" w:color="auto"/>
      </w:divBdr>
    </w:div>
    <w:div w:id="1867719827">
      <w:bodyDiv w:val="1"/>
      <w:marLeft w:val="0"/>
      <w:marRight w:val="0"/>
      <w:marTop w:val="0"/>
      <w:marBottom w:val="0"/>
      <w:divBdr>
        <w:top w:val="none" w:sz="0" w:space="0" w:color="auto"/>
        <w:left w:val="none" w:sz="0" w:space="0" w:color="auto"/>
        <w:bottom w:val="none" w:sz="0" w:space="0" w:color="auto"/>
        <w:right w:val="none" w:sz="0" w:space="0" w:color="auto"/>
      </w:divBdr>
    </w:div>
    <w:div w:id="1867911397">
      <w:bodyDiv w:val="1"/>
      <w:marLeft w:val="0"/>
      <w:marRight w:val="0"/>
      <w:marTop w:val="0"/>
      <w:marBottom w:val="0"/>
      <w:divBdr>
        <w:top w:val="none" w:sz="0" w:space="0" w:color="auto"/>
        <w:left w:val="none" w:sz="0" w:space="0" w:color="auto"/>
        <w:bottom w:val="none" w:sz="0" w:space="0" w:color="auto"/>
        <w:right w:val="none" w:sz="0" w:space="0" w:color="auto"/>
      </w:divBdr>
      <w:divsChild>
        <w:div w:id="1937518498">
          <w:marLeft w:val="0"/>
          <w:marRight w:val="0"/>
          <w:marTop w:val="0"/>
          <w:marBottom w:val="0"/>
          <w:divBdr>
            <w:top w:val="none" w:sz="0" w:space="0" w:color="auto"/>
            <w:left w:val="none" w:sz="0" w:space="0" w:color="auto"/>
            <w:bottom w:val="none" w:sz="0" w:space="0" w:color="auto"/>
            <w:right w:val="none" w:sz="0" w:space="0" w:color="auto"/>
          </w:divBdr>
          <w:divsChild>
            <w:div w:id="722018549">
              <w:marLeft w:val="0"/>
              <w:marRight w:val="0"/>
              <w:marTop w:val="0"/>
              <w:marBottom w:val="0"/>
              <w:divBdr>
                <w:top w:val="none" w:sz="0" w:space="0" w:color="auto"/>
                <w:left w:val="none" w:sz="0" w:space="0" w:color="auto"/>
                <w:bottom w:val="none" w:sz="0" w:space="0" w:color="auto"/>
                <w:right w:val="none" w:sz="0" w:space="0" w:color="auto"/>
              </w:divBdr>
              <w:divsChild>
                <w:div w:id="695277477">
                  <w:marLeft w:val="0"/>
                  <w:marRight w:val="0"/>
                  <w:marTop w:val="0"/>
                  <w:marBottom w:val="0"/>
                  <w:divBdr>
                    <w:top w:val="none" w:sz="0" w:space="0" w:color="auto"/>
                    <w:left w:val="none" w:sz="0" w:space="0" w:color="auto"/>
                    <w:bottom w:val="none" w:sz="0" w:space="0" w:color="auto"/>
                    <w:right w:val="none" w:sz="0" w:space="0" w:color="auto"/>
                  </w:divBdr>
                  <w:divsChild>
                    <w:div w:id="17393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83890">
      <w:bodyDiv w:val="1"/>
      <w:marLeft w:val="0"/>
      <w:marRight w:val="0"/>
      <w:marTop w:val="0"/>
      <w:marBottom w:val="0"/>
      <w:divBdr>
        <w:top w:val="none" w:sz="0" w:space="0" w:color="auto"/>
        <w:left w:val="none" w:sz="0" w:space="0" w:color="auto"/>
        <w:bottom w:val="none" w:sz="0" w:space="0" w:color="auto"/>
        <w:right w:val="none" w:sz="0" w:space="0" w:color="auto"/>
      </w:divBdr>
    </w:div>
    <w:div w:id="1872037979">
      <w:bodyDiv w:val="1"/>
      <w:marLeft w:val="0"/>
      <w:marRight w:val="0"/>
      <w:marTop w:val="0"/>
      <w:marBottom w:val="0"/>
      <w:divBdr>
        <w:top w:val="none" w:sz="0" w:space="0" w:color="auto"/>
        <w:left w:val="none" w:sz="0" w:space="0" w:color="auto"/>
        <w:bottom w:val="none" w:sz="0" w:space="0" w:color="auto"/>
        <w:right w:val="none" w:sz="0" w:space="0" w:color="auto"/>
      </w:divBdr>
      <w:divsChild>
        <w:div w:id="373777741">
          <w:marLeft w:val="0"/>
          <w:marRight w:val="0"/>
          <w:marTop w:val="0"/>
          <w:marBottom w:val="0"/>
          <w:divBdr>
            <w:top w:val="none" w:sz="0" w:space="0" w:color="auto"/>
            <w:left w:val="none" w:sz="0" w:space="0" w:color="auto"/>
            <w:bottom w:val="none" w:sz="0" w:space="0" w:color="auto"/>
            <w:right w:val="none" w:sz="0" w:space="0" w:color="auto"/>
          </w:divBdr>
        </w:div>
      </w:divsChild>
    </w:div>
    <w:div w:id="1873182279">
      <w:bodyDiv w:val="1"/>
      <w:marLeft w:val="0"/>
      <w:marRight w:val="0"/>
      <w:marTop w:val="0"/>
      <w:marBottom w:val="0"/>
      <w:divBdr>
        <w:top w:val="none" w:sz="0" w:space="0" w:color="auto"/>
        <w:left w:val="none" w:sz="0" w:space="0" w:color="auto"/>
        <w:bottom w:val="none" w:sz="0" w:space="0" w:color="auto"/>
        <w:right w:val="none" w:sz="0" w:space="0" w:color="auto"/>
      </w:divBdr>
    </w:div>
    <w:div w:id="1876650967">
      <w:bodyDiv w:val="1"/>
      <w:marLeft w:val="0"/>
      <w:marRight w:val="0"/>
      <w:marTop w:val="0"/>
      <w:marBottom w:val="0"/>
      <w:divBdr>
        <w:top w:val="none" w:sz="0" w:space="0" w:color="auto"/>
        <w:left w:val="none" w:sz="0" w:space="0" w:color="auto"/>
        <w:bottom w:val="none" w:sz="0" w:space="0" w:color="auto"/>
        <w:right w:val="none" w:sz="0" w:space="0" w:color="auto"/>
      </w:divBdr>
      <w:divsChild>
        <w:div w:id="2005888861">
          <w:marLeft w:val="0"/>
          <w:marRight w:val="0"/>
          <w:marTop w:val="0"/>
          <w:marBottom w:val="0"/>
          <w:divBdr>
            <w:top w:val="none" w:sz="0" w:space="0" w:color="auto"/>
            <w:left w:val="none" w:sz="0" w:space="0" w:color="auto"/>
            <w:bottom w:val="none" w:sz="0" w:space="0" w:color="auto"/>
            <w:right w:val="none" w:sz="0" w:space="0" w:color="auto"/>
          </w:divBdr>
          <w:divsChild>
            <w:div w:id="1149981558">
              <w:marLeft w:val="0"/>
              <w:marRight w:val="0"/>
              <w:marTop w:val="0"/>
              <w:marBottom w:val="0"/>
              <w:divBdr>
                <w:top w:val="none" w:sz="0" w:space="0" w:color="auto"/>
                <w:left w:val="none" w:sz="0" w:space="0" w:color="auto"/>
                <w:bottom w:val="none" w:sz="0" w:space="0" w:color="auto"/>
                <w:right w:val="none" w:sz="0" w:space="0" w:color="auto"/>
              </w:divBdr>
              <w:divsChild>
                <w:div w:id="3548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7568">
      <w:bodyDiv w:val="1"/>
      <w:marLeft w:val="0"/>
      <w:marRight w:val="0"/>
      <w:marTop w:val="0"/>
      <w:marBottom w:val="0"/>
      <w:divBdr>
        <w:top w:val="none" w:sz="0" w:space="0" w:color="auto"/>
        <w:left w:val="none" w:sz="0" w:space="0" w:color="auto"/>
        <w:bottom w:val="none" w:sz="0" w:space="0" w:color="auto"/>
        <w:right w:val="none" w:sz="0" w:space="0" w:color="auto"/>
      </w:divBdr>
      <w:divsChild>
        <w:div w:id="83848366">
          <w:marLeft w:val="0"/>
          <w:marRight w:val="0"/>
          <w:marTop w:val="0"/>
          <w:marBottom w:val="0"/>
          <w:divBdr>
            <w:top w:val="none" w:sz="0" w:space="0" w:color="auto"/>
            <w:left w:val="none" w:sz="0" w:space="0" w:color="auto"/>
            <w:bottom w:val="none" w:sz="0" w:space="0" w:color="auto"/>
            <w:right w:val="none" w:sz="0" w:space="0" w:color="auto"/>
          </w:divBdr>
          <w:divsChild>
            <w:div w:id="321586877">
              <w:marLeft w:val="0"/>
              <w:marRight w:val="0"/>
              <w:marTop w:val="0"/>
              <w:marBottom w:val="0"/>
              <w:divBdr>
                <w:top w:val="none" w:sz="0" w:space="0" w:color="auto"/>
                <w:left w:val="none" w:sz="0" w:space="0" w:color="auto"/>
                <w:bottom w:val="none" w:sz="0" w:space="0" w:color="auto"/>
                <w:right w:val="none" w:sz="0" w:space="0" w:color="auto"/>
              </w:divBdr>
              <w:divsChild>
                <w:div w:id="7455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4216">
      <w:bodyDiv w:val="1"/>
      <w:marLeft w:val="0"/>
      <w:marRight w:val="0"/>
      <w:marTop w:val="0"/>
      <w:marBottom w:val="0"/>
      <w:divBdr>
        <w:top w:val="none" w:sz="0" w:space="0" w:color="auto"/>
        <w:left w:val="none" w:sz="0" w:space="0" w:color="auto"/>
        <w:bottom w:val="none" w:sz="0" w:space="0" w:color="auto"/>
        <w:right w:val="none" w:sz="0" w:space="0" w:color="auto"/>
      </w:divBdr>
    </w:div>
    <w:div w:id="1888295609">
      <w:bodyDiv w:val="1"/>
      <w:marLeft w:val="0"/>
      <w:marRight w:val="0"/>
      <w:marTop w:val="0"/>
      <w:marBottom w:val="0"/>
      <w:divBdr>
        <w:top w:val="none" w:sz="0" w:space="0" w:color="auto"/>
        <w:left w:val="none" w:sz="0" w:space="0" w:color="auto"/>
        <w:bottom w:val="none" w:sz="0" w:space="0" w:color="auto"/>
        <w:right w:val="none" w:sz="0" w:space="0" w:color="auto"/>
      </w:divBdr>
    </w:div>
    <w:div w:id="1888486726">
      <w:bodyDiv w:val="1"/>
      <w:marLeft w:val="0"/>
      <w:marRight w:val="0"/>
      <w:marTop w:val="0"/>
      <w:marBottom w:val="0"/>
      <w:divBdr>
        <w:top w:val="none" w:sz="0" w:space="0" w:color="auto"/>
        <w:left w:val="none" w:sz="0" w:space="0" w:color="auto"/>
        <w:bottom w:val="none" w:sz="0" w:space="0" w:color="auto"/>
        <w:right w:val="none" w:sz="0" w:space="0" w:color="auto"/>
      </w:divBdr>
      <w:divsChild>
        <w:div w:id="36200271">
          <w:marLeft w:val="0"/>
          <w:marRight w:val="0"/>
          <w:marTop w:val="0"/>
          <w:marBottom w:val="0"/>
          <w:divBdr>
            <w:top w:val="none" w:sz="0" w:space="0" w:color="auto"/>
            <w:left w:val="none" w:sz="0" w:space="0" w:color="auto"/>
            <w:bottom w:val="none" w:sz="0" w:space="0" w:color="auto"/>
            <w:right w:val="none" w:sz="0" w:space="0" w:color="auto"/>
          </w:divBdr>
          <w:divsChild>
            <w:div w:id="1832213841">
              <w:marLeft w:val="0"/>
              <w:marRight w:val="0"/>
              <w:marTop w:val="0"/>
              <w:marBottom w:val="0"/>
              <w:divBdr>
                <w:top w:val="none" w:sz="0" w:space="0" w:color="auto"/>
                <w:left w:val="none" w:sz="0" w:space="0" w:color="auto"/>
                <w:bottom w:val="none" w:sz="0" w:space="0" w:color="auto"/>
                <w:right w:val="none" w:sz="0" w:space="0" w:color="auto"/>
              </w:divBdr>
              <w:divsChild>
                <w:div w:id="8371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94537">
      <w:bodyDiv w:val="1"/>
      <w:marLeft w:val="0"/>
      <w:marRight w:val="0"/>
      <w:marTop w:val="0"/>
      <w:marBottom w:val="0"/>
      <w:divBdr>
        <w:top w:val="none" w:sz="0" w:space="0" w:color="auto"/>
        <w:left w:val="none" w:sz="0" w:space="0" w:color="auto"/>
        <w:bottom w:val="none" w:sz="0" w:space="0" w:color="auto"/>
        <w:right w:val="none" w:sz="0" w:space="0" w:color="auto"/>
      </w:divBdr>
      <w:divsChild>
        <w:div w:id="1078015269">
          <w:marLeft w:val="0"/>
          <w:marRight w:val="0"/>
          <w:marTop w:val="0"/>
          <w:marBottom w:val="0"/>
          <w:divBdr>
            <w:top w:val="none" w:sz="0" w:space="0" w:color="auto"/>
            <w:left w:val="none" w:sz="0" w:space="0" w:color="auto"/>
            <w:bottom w:val="none" w:sz="0" w:space="0" w:color="auto"/>
            <w:right w:val="none" w:sz="0" w:space="0" w:color="auto"/>
          </w:divBdr>
          <w:divsChild>
            <w:div w:id="1075476710">
              <w:marLeft w:val="0"/>
              <w:marRight w:val="0"/>
              <w:marTop w:val="0"/>
              <w:marBottom w:val="0"/>
              <w:divBdr>
                <w:top w:val="none" w:sz="0" w:space="0" w:color="auto"/>
                <w:left w:val="none" w:sz="0" w:space="0" w:color="auto"/>
                <w:bottom w:val="none" w:sz="0" w:space="0" w:color="auto"/>
                <w:right w:val="none" w:sz="0" w:space="0" w:color="auto"/>
              </w:divBdr>
              <w:divsChild>
                <w:div w:id="174852272">
                  <w:marLeft w:val="0"/>
                  <w:marRight w:val="0"/>
                  <w:marTop w:val="0"/>
                  <w:marBottom w:val="0"/>
                  <w:divBdr>
                    <w:top w:val="none" w:sz="0" w:space="0" w:color="auto"/>
                    <w:left w:val="none" w:sz="0" w:space="0" w:color="auto"/>
                    <w:bottom w:val="none" w:sz="0" w:space="0" w:color="auto"/>
                    <w:right w:val="none" w:sz="0" w:space="0" w:color="auto"/>
                  </w:divBdr>
                  <w:divsChild>
                    <w:div w:id="13112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5671">
      <w:bodyDiv w:val="1"/>
      <w:marLeft w:val="0"/>
      <w:marRight w:val="0"/>
      <w:marTop w:val="0"/>
      <w:marBottom w:val="0"/>
      <w:divBdr>
        <w:top w:val="none" w:sz="0" w:space="0" w:color="auto"/>
        <w:left w:val="none" w:sz="0" w:space="0" w:color="auto"/>
        <w:bottom w:val="none" w:sz="0" w:space="0" w:color="auto"/>
        <w:right w:val="none" w:sz="0" w:space="0" w:color="auto"/>
      </w:divBdr>
    </w:div>
    <w:div w:id="1892182133">
      <w:bodyDiv w:val="1"/>
      <w:marLeft w:val="0"/>
      <w:marRight w:val="0"/>
      <w:marTop w:val="0"/>
      <w:marBottom w:val="0"/>
      <w:divBdr>
        <w:top w:val="none" w:sz="0" w:space="0" w:color="auto"/>
        <w:left w:val="none" w:sz="0" w:space="0" w:color="auto"/>
        <w:bottom w:val="none" w:sz="0" w:space="0" w:color="auto"/>
        <w:right w:val="none" w:sz="0" w:space="0" w:color="auto"/>
      </w:divBdr>
    </w:div>
    <w:div w:id="1892186199">
      <w:bodyDiv w:val="1"/>
      <w:marLeft w:val="0"/>
      <w:marRight w:val="0"/>
      <w:marTop w:val="0"/>
      <w:marBottom w:val="0"/>
      <w:divBdr>
        <w:top w:val="none" w:sz="0" w:space="0" w:color="auto"/>
        <w:left w:val="none" w:sz="0" w:space="0" w:color="auto"/>
        <w:bottom w:val="none" w:sz="0" w:space="0" w:color="auto"/>
        <w:right w:val="none" w:sz="0" w:space="0" w:color="auto"/>
      </w:divBdr>
    </w:div>
    <w:div w:id="1893760955">
      <w:bodyDiv w:val="1"/>
      <w:marLeft w:val="0"/>
      <w:marRight w:val="0"/>
      <w:marTop w:val="0"/>
      <w:marBottom w:val="0"/>
      <w:divBdr>
        <w:top w:val="none" w:sz="0" w:space="0" w:color="auto"/>
        <w:left w:val="none" w:sz="0" w:space="0" w:color="auto"/>
        <w:bottom w:val="none" w:sz="0" w:space="0" w:color="auto"/>
        <w:right w:val="none" w:sz="0" w:space="0" w:color="auto"/>
      </w:divBdr>
      <w:divsChild>
        <w:div w:id="2096314108">
          <w:marLeft w:val="0"/>
          <w:marRight w:val="0"/>
          <w:marTop w:val="0"/>
          <w:marBottom w:val="0"/>
          <w:divBdr>
            <w:top w:val="none" w:sz="0" w:space="0" w:color="auto"/>
            <w:left w:val="none" w:sz="0" w:space="0" w:color="auto"/>
            <w:bottom w:val="none" w:sz="0" w:space="0" w:color="auto"/>
            <w:right w:val="none" w:sz="0" w:space="0" w:color="auto"/>
          </w:divBdr>
          <w:divsChild>
            <w:div w:id="1929994410">
              <w:marLeft w:val="0"/>
              <w:marRight w:val="0"/>
              <w:marTop w:val="0"/>
              <w:marBottom w:val="0"/>
              <w:divBdr>
                <w:top w:val="none" w:sz="0" w:space="0" w:color="auto"/>
                <w:left w:val="none" w:sz="0" w:space="0" w:color="auto"/>
                <w:bottom w:val="none" w:sz="0" w:space="0" w:color="auto"/>
                <w:right w:val="none" w:sz="0" w:space="0" w:color="auto"/>
              </w:divBdr>
              <w:divsChild>
                <w:div w:id="582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6506">
      <w:bodyDiv w:val="1"/>
      <w:marLeft w:val="0"/>
      <w:marRight w:val="0"/>
      <w:marTop w:val="0"/>
      <w:marBottom w:val="0"/>
      <w:divBdr>
        <w:top w:val="none" w:sz="0" w:space="0" w:color="auto"/>
        <w:left w:val="none" w:sz="0" w:space="0" w:color="auto"/>
        <w:bottom w:val="none" w:sz="0" w:space="0" w:color="auto"/>
        <w:right w:val="none" w:sz="0" w:space="0" w:color="auto"/>
      </w:divBdr>
      <w:divsChild>
        <w:div w:id="1045448343">
          <w:marLeft w:val="0"/>
          <w:marRight w:val="0"/>
          <w:marTop w:val="0"/>
          <w:marBottom w:val="0"/>
          <w:divBdr>
            <w:top w:val="none" w:sz="0" w:space="0" w:color="auto"/>
            <w:left w:val="none" w:sz="0" w:space="0" w:color="auto"/>
            <w:bottom w:val="none" w:sz="0" w:space="0" w:color="auto"/>
            <w:right w:val="none" w:sz="0" w:space="0" w:color="auto"/>
          </w:divBdr>
          <w:divsChild>
            <w:div w:id="715928348">
              <w:marLeft w:val="0"/>
              <w:marRight w:val="0"/>
              <w:marTop w:val="0"/>
              <w:marBottom w:val="0"/>
              <w:divBdr>
                <w:top w:val="none" w:sz="0" w:space="0" w:color="auto"/>
                <w:left w:val="none" w:sz="0" w:space="0" w:color="auto"/>
                <w:bottom w:val="none" w:sz="0" w:space="0" w:color="auto"/>
                <w:right w:val="none" w:sz="0" w:space="0" w:color="auto"/>
              </w:divBdr>
              <w:divsChild>
                <w:div w:id="1571694165">
                  <w:marLeft w:val="0"/>
                  <w:marRight w:val="0"/>
                  <w:marTop w:val="0"/>
                  <w:marBottom w:val="0"/>
                  <w:divBdr>
                    <w:top w:val="none" w:sz="0" w:space="0" w:color="auto"/>
                    <w:left w:val="none" w:sz="0" w:space="0" w:color="auto"/>
                    <w:bottom w:val="none" w:sz="0" w:space="0" w:color="auto"/>
                    <w:right w:val="none" w:sz="0" w:space="0" w:color="auto"/>
                  </w:divBdr>
                  <w:divsChild>
                    <w:div w:id="17277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3600">
          <w:marLeft w:val="0"/>
          <w:marRight w:val="0"/>
          <w:marTop w:val="0"/>
          <w:marBottom w:val="0"/>
          <w:divBdr>
            <w:top w:val="none" w:sz="0" w:space="0" w:color="auto"/>
            <w:left w:val="none" w:sz="0" w:space="0" w:color="auto"/>
            <w:bottom w:val="none" w:sz="0" w:space="0" w:color="auto"/>
            <w:right w:val="none" w:sz="0" w:space="0" w:color="auto"/>
          </w:divBdr>
          <w:divsChild>
            <w:div w:id="2076390971">
              <w:marLeft w:val="0"/>
              <w:marRight w:val="0"/>
              <w:marTop w:val="0"/>
              <w:marBottom w:val="0"/>
              <w:divBdr>
                <w:top w:val="none" w:sz="0" w:space="0" w:color="auto"/>
                <w:left w:val="none" w:sz="0" w:space="0" w:color="auto"/>
                <w:bottom w:val="none" w:sz="0" w:space="0" w:color="auto"/>
                <w:right w:val="none" w:sz="0" w:space="0" w:color="auto"/>
              </w:divBdr>
              <w:divsChild>
                <w:div w:id="856112876">
                  <w:marLeft w:val="0"/>
                  <w:marRight w:val="0"/>
                  <w:marTop w:val="0"/>
                  <w:marBottom w:val="0"/>
                  <w:divBdr>
                    <w:top w:val="none" w:sz="0" w:space="0" w:color="auto"/>
                    <w:left w:val="none" w:sz="0" w:space="0" w:color="auto"/>
                    <w:bottom w:val="none" w:sz="0" w:space="0" w:color="auto"/>
                    <w:right w:val="none" w:sz="0" w:space="0" w:color="auto"/>
                  </w:divBdr>
                  <w:divsChild>
                    <w:div w:id="10405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0357">
          <w:marLeft w:val="0"/>
          <w:marRight w:val="0"/>
          <w:marTop w:val="0"/>
          <w:marBottom w:val="0"/>
          <w:divBdr>
            <w:top w:val="none" w:sz="0" w:space="0" w:color="auto"/>
            <w:left w:val="none" w:sz="0" w:space="0" w:color="auto"/>
            <w:bottom w:val="none" w:sz="0" w:space="0" w:color="auto"/>
            <w:right w:val="none" w:sz="0" w:space="0" w:color="auto"/>
          </w:divBdr>
          <w:divsChild>
            <w:div w:id="1756510871">
              <w:marLeft w:val="0"/>
              <w:marRight w:val="0"/>
              <w:marTop w:val="0"/>
              <w:marBottom w:val="0"/>
              <w:divBdr>
                <w:top w:val="none" w:sz="0" w:space="0" w:color="auto"/>
                <w:left w:val="none" w:sz="0" w:space="0" w:color="auto"/>
                <w:bottom w:val="none" w:sz="0" w:space="0" w:color="auto"/>
                <w:right w:val="none" w:sz="0" w:space="0" w:color="auto"/>
              </w:divBdr>
              <w:divsChild>
                <w:div w:id="897057511">
                  <w:marLeft w:val="0"/>
                  <w:marRight w:val="0"/>
                  <w:marTop w:val="0"/>
                  <w:marBottom w:val="0"/>
                  <w:divBdr>
                    <w:top w:val="none" w:sz="0" w:space="0" w:color="auto"/>
                    <w:left w:val="none" w:sz="0" w:space="0" w:color="auto"/>
                    <w:bottom w:val="none" w:sz="0" w:space="0" w:color="auto"/>
                    <w:right w:val="none" w:sz="0" w:space="0" w:color="auto"/>
                  </w:divBdr>
                  <w:divsChild>
                    <w:div w:id="15862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2649">
      <w:bodyDiv w:val="1"/>
      <w:marLeft w:val="0"/>
      <w:marRight w:val="0"/>
      <w:marTop w:val="0"/>
      <w:marBottom w:val="0"/>
      <w:divBdr>
        <w:top w:val="none" w:sz="0" w:space="0" w:color="auto"/>
        <w:left w:val="none" w:sz="0" w:space="0" w:color="auto"/>
        <w:bottom w:val="none" w:sz="0" w:space="0" w:color="auto"/>
        <w:right w:val="none" w:sz="0" w:space="0" w:color="auto"/>
      </w:divBdr>
    </w:div>
    <w:div w:id="1903054473">
      <w:bodyDiv w:val="1"/>
      <w:marLeft w:val="0"/>
      <w:marRight w:val="0"/>
      <w:marTop w:val="0"/>
      <w:marBottom w:val="0"/>
      <w:divBdr>
        <w:top w:val="none" w:sz="0" w:space="0" w:color="auto"/>
        <w:left w:val="none" w:sz="0" w:space="0" w:color="auto"/>
        <w:bottom w:val="none" w:sz="0" w:space="0" w:color="auto"/>
        <w:right w:val="none" w:sz="0" w:space="0" w:color="auto"/>
      </w:divBdr>
    </w:div>
    <w:div w:id="1903446011">
      <w:bodyDiv w:val="1"/>
      <w:marLeft w:val="0"/>
      <w:marRight w:val="0"/>
      <w:marTop w:val="0"/>
      <w:marBottom w:val="0"/>
      <w:divBdr>
        <w:top w:val="none" w:sz="0" w:space="0" w:color="auto"/>
        <w:left w:val="none" w:sz="0" w:space="0" w:color="auto"/>
        <w:bottom w:val="none" w:sz="0" w:space="0" w:color="auto"/>
        <w:right w:val="none" w:sz="0" w:space="0" w:color="auto"/>
      </w:divBdr>
    </w:div>
    <w:div w:id="1905098545">
      <w:bodyDiv w:val="1"/>
      <w:marLeft w:val="0"/>
      <w:marRight w:val="0"/>
      <w:marTop w:val="0"/>
      <w:marBottom w:val="0"/>
      <w:divBdr>
        <w:top w:val="none" w:sz="0" w:space="0" w:color="auto"/>
        <w:left w:val="none" w:sz="0" w:space="0" w:color="auto"/>
        <w:bottom w:val="none" w:sz="0" w:space="0" w:color="auto"/>
        <w:right w:val="none" w:sz="0" w:space="0" w:color="auto"/>
      </w:divBdr>
    </w:div>
    <w:div w:id="1905295141">
      <w:bodyDiv w:val="1"/>
      <w:marLeft w:val="0"/>
      <w:marRight w:val="0"/>
      <w:marTop w:val="0"/>
      <w:marBottom w:val="0"/>
      <w:divBdr>
        <w:top w:val="none" w:sz="0" w:space="0" w:color="auto"/>
        <w:left w:val="none" w:sz="0" w:space="0" w:color="auto"/>
        <w:bottom w:val="none" w:sz="0" w:space="0" w:color="auto"/>
        <w:right w:val="none" w:sz="0" w:space="0" w:color="auto"/>
      </w:divBdr>
    </w:div>
    <w:div w:id="1905869374">
      <w:bodyDiv w:val="1"/>
      <w:marLeft w:val="0"/>
      <w:marRight w:val="0"/>
      <w:marTop w:val="0"/>
      <w:marBottom w:val="0"/>
      <w:divBdr>
        <w:top w:val="none" w:sz="0" w:space="0" w:color="auto"/>
        <w:left w:val="none" w:sz="0" w:space="0" w:color="auto"/>
        <w:bottom w:val="none" w:sz="0" w:space="0" w:color="auto"/>
        <w:right w:val="none" w:sz="0" w:space="0" w:color="auto"/>
      </w:divBdr>
    </w:div>
    <w:div w:id="1906334751">
      <w:bodyDiv w:val="1"/>
      <w:marLeft w:val="0"/>
      <w:marRight w:val="0"/>
      <w:marTop w:val="0"/>
      <w:marBottom w:val="0"/>
      <w:divBdr>
        <w:top w:val="none" w:sz="0" w:space="0" w:color="auto"/>
        <w:left w:val="none" w:sz="0" w:space="0" w:color="auto"/>
        <w:bottom w:val="none" w:sz="0" w:space="0" w:color="auto"/>
        <w:right w:val="none" w:sz="0" w:space="0" w:color="auto"/>
      </w:divBdr>
      <w:divsChild>
        <w:div w:id="1130636760">
          <w:marLeft w:val="0"/>
          <w:marRight w:val="0"/>
          <w:marTop w:val="0"/>
          <w:marBottom w:val="0"/>
          <w:divBdr>
            <w:top w:val="none" w:sz="0" w:space="0" w:color="auto"/>
            <w:left w:val="none" w:sz="0" w:space="0" w:color="auto"/>
            <w:bottom w:val="none" w:sz="0" w:space="0" w:color="auto"/>
            <w:right w:val="none" w:sz="0" w:space="0" w:color="auto"/>
          </w:divBdr>
          <w:divsChild>
            <w:div w:id="1470511930">
              <w:marLeft w:val="0"/>
              <w:marRight w:val="0"/>
              <w:marTop w:val="0"/>
              <w:marBottom w:val="0"/>
              <w:divBdr>
                <w:top w:val="none" w:sz="0" w:space="0" w:color="auto"/>
                <w:left w:val="none" w:sz="0" w:space="0" w:color="auto"/>
                <w:bottom w:val="none" w:sz="0" w:space="0" w:color="auto"/>
                <w:right w:val="none" w:sz="0" w:space="0" w:color="auto"/>
              </w:divBdr>
              <w:divsChild>
                <w:div w:id="1559824090">
                  <w:marLeft w:val="0"/>
                  <w:marRight w:val="0"/>
                  <w:marTop w:val="0"/>
                  <w:marBottom w:val="0"/>
                  <w:divBdr>
                    <w:top w:val="none" w:sz="0" w:space="0" w:color="auto"/>
                    <w:left w:val="none" w:sz="0" w:space="0" w:color="auto"/>
                    <w:bottom w:val="none" w:sz="0" w:space="0" w:color="auto"/>
                    <w:right w:val="none" w:sz="0" w:space="0" w:color="auto"/>
                  </w:divBdr>
                  <w:divsChild>
                    <w:div w:id="19521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07560">
      <w:bodyDiv w:val="1"/>
      <w:marLeft w:val="0"/>
      <w:marRight w:val="0"/>
      <w:marTop w:val="0"/>
      <w:marBottom w:val="0"/>
      <w:divBdr>
        <w:top w:val="none" w:sz="0" w:space="0" w:color="auto"/>
        <w:left w:val="none" w:sz="0" w:space="0" w:color="auto"/>
        <w:bottom w:val="none" w:sz="0" w:space="0" w:color="auto"/>
        <w:right w:val="none" w:sz="0" w:space="0" w:color="auto"/>
      </w:divBdr>
      <w:divsChild>
        <w:div w:id="1582911216">
          <w:marLeft w:val="0"/>
          <w:marRight w:val="0"/>
          <w:marTop w:val="0"/>
          <w:marBottom w:val="0"/>
          <w:divBdr>
            <w:top w:val="none" w:sz="0" w:space="0" w:color="auto"/>
            <w:left w:val="none" w:sz="0" w:space="0" w:color="auto"/>
            <w:bottom w:val="none" w:sz="0" w:space="0" w:color="auto"/>
            <w:right w:val="none" w:sz="0" w:space="0" w:color="auto"/>
          </w:divBdr>
          <w:divsChild>
            <w:div w:id="1540390199">
              <w:marLeft w:val="0"/>
              <w:marRight w:val="0"/>
              <w:marTop w:val="0"/>
              <w:marBottom w:val="0"/>
              <w:divBdr>
                <w:top w:val="none" w:sz="0" w:space="0" w:color="auto"/>
                <w:left w:val="none" w:sz="0" w:space="0" w:color="auto"/>
                <w:bottom w:val="none" w:sz="0" w:space="0" w:color="auto"/>
                <w:right w:val="none" w:sz="0" w:space="0" w:color="auto"/>
              </w:divBdr>
              <w:divsChild>
                <w:div w:id="1554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1101">
      <w:bodyDiv w:val="1"/>
      <w:marLeft w:val="0"/>
      <w:marRight w:val="0"/>
      <w:marTop w:val="0"/>
      <w:marBottom w:val="0"/>
      <w:divBdr>
        <w:top w:val="none" w:sz="0" w:space="0" w:color="auto"/>
        <w:left w:val="none" w:sz="0" w:space="0" w:color="auto"/>
        <w:bottom w:val="none" w:sz="0" w:space="0" w:color="auto"/>
        <w:right w:val="none" w:sz="0" w:space="0" w:color="auto"/>
      </w:divBdr>
    </w:div>
    <w:div w:id="1911571248">
      <w:bodyDiv w:val="1"/>
      <w:marLeft w:val="0"/>
      <w:marRight w:val="0"/>
      <w:marTop w:val="0"/>
      <w:marBottom w:val="0"/>
      <w:divBdr>
        <w:top w:val="none" w:sz="0" w:space="0" w:color="auto"/>
        <w:left w:val="none" w:sz="0" w:space="0" w:color="auto"/>
        <w:bottom w:val="none" w:sz="0" w:space="0" w:color="auto"/>
        <w:right w:val="none" w:sz="0" w:space="0" w:color="auto"/>
      </w:divBdr>
    </w:div>
    <w:div w:id="1912152612">
      <w:bodyDiv w:val="1"/>
      <w:marLeft w:val="0"/>
      <w:marRight w:val="0"/>
      <w:marTop w:val="0"/>
      <w:marBottom w:val="0"/>
      <w:divBdr>
        <w:top w:val="none" w:sz="0" w:space="0" w:color="auto"/>
        <w:left w:val="none" w:sz="0" w:space="0" w:color="auto"/>
        <w:bottom w:val="none" w:sz="0" w:space="0" w:color="auto"/>
        <w:right w:val="none" w:sz="0" w:space="0" w:color="auto"/>
      </w:divBdr>
    </w:div>
    <w:div w:id="1921139454">
      <w:bodyDiv w:val="1"/>
      <w:marLeft w:val="0"/>
      <w:marRight w:val="0"/>
      <w:marTop w:val="0"/>
      <w:marBottom w:val="0"/>
      <w:divBdr>
        <w:top w:val="none" w:sz="0" w:space="0" w:color="auto"/>
        <w:left w:val="none" w:sz="0" w:space="0" w:color="auto"/>
        <w:bottom w:val="none" w:sz="0" w:space="0" w:color="auto"/>
        <w:right w:val="none" w:sz="0" w:space="0" w:color="auto"/>
      </w:divBdr>
    </w:div>
    <w:div w:id="1923293239">
      <w:bodyDiv w:val="1"/>
      <w:marLeft w:val="0"/>
      <w:marRight w:val="0"/>
      <w:marTop w:val="0"/>
      <w:marBottom w:val="0"/>
      <w:divBdr>
        <w:top w:val="none" w:sz="0" w:space="0" w:color="auto"/>
        <w:left w:val="none" w:sz="0" w:space="0" w:color="auto"/>
        <w:bottom w:val="none" w:sz="0" w:space="0" w:color="auto"/>
        <w:right w:val="none" w:sz="0" w:space="0" w:color="auto"/>
      </w:divBdr>
    </w:div>
    <w:div w:id="1924953353">
      <w:bodyDiv w:val="1"/>
      <w:marLeft w:val="0"/>
      <w:marRight w:val="0"/>
      <w:marTop w:val="0"/>
      <w:marBottom w:val="0"/>
      <w:divBdr>
        <w:top w:val="none" w:sz="0" w:space="0" w:color="auto"/>
        <w:left w:val="none" w:sz="0" w:space="0" w:color="auto"/>
        <w:bottom w:val="none" w:sz="0" w:space="0" w:color="auto"/>
        <w:right w:val="none" w:sz="0" w:space="0" w:color="auto"/>
      </w:divBdr>
      <w:divsChild>
        <w:div w:id="74014547">
          <w:marLeft w:val="0"/>
          <w:marRight w:val="0"/>
          <w:marTop w:val="0"/>
          <w:marBottom w:val="0"/>
          <w:divBdr>
            <w:top w:val="none" w:sz="0" w:space="0" w:color="auto"/>
            <w:left w:val="none" w:sz="0" w:space="0" w:color="auto"/>
            <w:bottom w:val="none" w:sz="0" w:space="0" w:color="auto"/>
            <w:right w:val="none" w:sz="0" w:space="0" w:color="auto"/>
          </w:divBdr>
        </w:div>
        <w:div w:id="322314669">
          <w:marLeft w:val="0"/>
          <w:marRight w:val="0"/>
          <w:marTop w:val="0"/>
          <w:marBottom w:val="0"/>
          <w:divBdr>
            <w:top w:val="none" w:sz="0" w:space="0" w:color="auto"/>
            <w:left w:val="none" w:sz="0" w:space="0" w:color="auto"/>
            <w:bottom w:val="none" w:sz="0" w:space="0" w:color="auto"/>
            <w:right w:val="none" w:sz="0" w:space="0" w:color="auto"/>
          </w:divBdr>
        </w:div>
      </w:divsChild>
    </w:div>
    <w:div w:id="1926762783">
      <w:bodyDiv w:val="1"/>
      <w:marLeft w:val="0"/>
      <w:marRight w:val="0"/>
      <w:marTop w:val="0"/>
      <w:marBottom w:val="0"/>
      <w:divBdr>
        <w:top w:val="none" w:sz="0" w:space="0" w:color="auto"/>
        <w:left w:val="none" w:sz="0" w:space="0" w:color="auto"/>
        <w:bottom w:val="none" w:sz="0" w:space="0" w:color="auto"/>
        <w:right w:val="none" w:sz="0" w:space="0" w:color="auto"/>
      </w:divBdr>
    </w:div>
    <w:div w:id="1927689417">
      <w:bodyDiv w:val="1"/>
      <w:marLeft w:val="0"/>
      <w:marRight w:val="0"/>
      <w:marTop w:val="0"/>
      <w:marBottom w:val="0"/>
      <w:divBdr>
        <w:top w:val="none" w:sz="0" w:space="0" w:color="auto"/>
        <w:left w:val="none" w:sz="0" w:space="0" w:color="auto"/>
        <w:bottom w:val="none" w:sz="0" w:space="0" w:color="auto"/>
        <w:right w:val="none" w:sz="0" w:space="0" w:color="auto"/>
      </w:divBdr>
    </w:div>
    <w:div w:id="1932666962">
      <w:bodyDiv w:val="1"/>
      <w:marLeft w:val="0"/>
      <w:marRight w:val="0"/>
      <w:marTop w:val="0"/>
      <w:marBottom w:val="0"/>
      <w:divBdr>
        <w:top w:val="none" w:sz="0" w:space="0" w:color="auto"/>
        <w:left w:val="none" w:sz="0" w:space="0" w:color="auto"/>
        <w:bottom w:val="none" w:sz="0" w:space="0" w:color="auto"/>
        <w:right w:val="none" w:sz="0" w:space="0" w:color="auto"/>
      </w:divBdr>
    </w:div>
    <w:div w:id="1933081058">
      <w:bodyDiv w:val="1"/>
      <w:marLeft w:val="0"/>
      <w:marRight w:val="0"/>
      <w:marTop w:val="0"/>
      <w:marBottom w:val="0"/>
      <w:divBdr>
        <w:top w:val="none" w:sz="0" w:space="0" w:color="auto"/>
        <w:left w:val="none" w:sz="0" w:space="0" w:color="auto"/>
        <w:bottom w:val="none" w:sz="0" w:space="0" w:color="auto"/>
        <w:right w:val="none" w:sz="0" w:space="0" w:color="auto"/>
      </w:divBdr>
    </w:div>
    <w:div w:id="1934783315">
      <w:bodyDiv w:val="1"/>
      <w:marLeft w:val="0"/>
      <w:marRight w:val="0"/>
      <w:marTop w:val="0"/>
      <w:marBottom w:val="0"/>
      <w:divBdr>
        <w:top w:val="none" w:sz="0" w:space="0" w:color="auto"/>
        <w:left w:val="none" w:sz="0" w:space="0" w:color="auto"/>
        <w:bottom w:val="none" w:sz="0" w:space="0" w:color="auto"/>
        <w:right w:val="none" w:sz="0" w:space="0" w:color="auto"/>
      </w:divBdr>
    </w:div>
    <w:div w:id="1937399584">
      <w:bodyDiv w:val="1"/>
      <w:marLeft w:val="0"/>
      <w:marRight w:val="0"/>
      <w:marTop w:val="0"/>
      <w:marBottom w:val="0"/>
      <w:divBdr>
        <w:top w:val="none" w:sz="0" w:space="0" w:color="auto"/>
        <w:left w:val="none" w:sz="0" w:space="0" w:color="auto"/>
        <w:bottom w:val="none" w:sz="0" w:space="0" w:color="auto"/>
        <w:right w:val="none" w:sz="0" w:space="0" w:color="auto"/>
      </w:divBdr>
      <w:divsChild>
        <w:div w:id="1640574131">
          <w:marLeft w:val="0"/>
          <w:marRight w:val="0"/>
          <w:marTop w:val="0"/>
          <w:marBottom w:val="0"/>
          <w:divBdr>
            <w:top w:val="none" w:sz="0" w:space="0" w:color="auto"/>
            <w:left w:val="none" w:sz="0" w:space="0" w:color="auto"/>
            <w:bottom w:val="none" w:sz="0" w:space="0" w:color="auto"/>
            <w:right w:val="none" w:sz="0" w:space="0" w:color="auto"/>
          </w:divBdr>
          <w:divsChild>
            <w:div w:id="80420758">
              <w:marLeft w:val="0"/>
              <w:marRight w:val="0"/>
              <w:marTop w:val="0"/>
              <w:marBottom w:val="0"/>
              <w:divBdr>
                <w:top w:val="none" w:sz="0" w:space="0" w:color="auto"/>
                <w:left w:val="none" w:sz="0" w:space="0" w:color="auto"/>
                <w:bottom w:val="none" w:sz="0" w:space="0" w:color="auto"/>
                <w:right w:val="none" w:sz="0" w:space="0" w:color="auto"/>
              </w:divBdr>
              <w:divsChild>
                <w:div w:id="5996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56296">
      <w:bodyDiv w:val="1"/>
      <w:marLeft w:val="0"/>
      <w:marRight w:val="0"/>
      <w:marTop w:val="0"/>
      <w:marBottom w:val="0"/>
      <w:divBdr>
        <w:top w:val="none" w:sz="0" w:space="0" w:color="auto"/>
        <w:left w:val="none" w:sz="0" w:space="0" w:color="auto"/>
        <w:bottom w:val="none" w:sz="0" w:space="0" w:color="auto"/>
        <w:right w:val="none" w:sz="0" w:space="0" w:color="auto"/>
      </w:divBdr>
      <w:divsChild>
        <w:div w:id="649477157">
          <w:marLeft w:val="0"/>
          <w:marRight w:val="0"/>
          <w:marTop w:val="0"/>
          <w:marBottom w:val="0"/>
          <w:divBdr>
            <w:top w:val="none" w:sz="0" w:space="0" w:color="auto"/>
            <w:left w:val="none" w:sz="0" w:space="0" w:color="auto"/>
            <w:bottom w:val="none" w:sz="0" w:space="0" w:color="auto"/>
            <w:right w:val="none" w:sz="0" w:space="0" w:color="auto"/>
          </w:divBdr>
          <w:divsChild>
            <w:div w:id="1577125089">
              <w:marLeft w:val="0"/>
              <w:marRight w:val="0"/>
              <w:marTop w:val="0"/>
              <w:marBottom w:val="0"/>
              <w:divBdr>
                <w:top w:val="none" w:sz="0" w:space="0" w:color="auto"/>
                <w:left w:val="none" w:sz="0" w:space="0" w:color="auto"/>
                <w:bottom w:val="none" w:sz="0" w:space="0" w:color="auto"/>
                <w:right w:val="none" w:sz="0" w:space="0" w:color="auto"/>
              </w:divBdr>
              <w:divsChild>
                <w:div w:id="19175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92260">
      <w:bodyDiv w:val="1"/>
      <w:marLeft w:val="0"/>
      <w:marRight w:val="0"/>
      <w:marTop w:val="0"/>
      <w:marBottom w:val="0"/>
      <w:divBdr>
        <w:top w:val="none" w:sz="0" w:space="0" w:color="auto"/>
        <w:left w:val="none" w:sz="0" w:space="0" w:color="auto"/>
        <w:bottom w:val="none" w:sz="0" w:space="0" w:color="auto"/>
        <w:right w:val="none" w:sz="0" w:space="0" w:color="auto"/>
      </w:divBdr>
      <w:divsChild>
        <w:div w:id="582420837">
          <w:marLeft w:val="0"/>
          <w:marRight w:val="0"/>
          <w:marTop w:val="0"/>
          <w:marBottom w:val="0"/>
          <w:divBdr>
            <w:top w:val="none" w:sz="0" w:space="0" w:color="auto"/>
            <w:left w:val="none" w:sz="0" w:space="0" w:color="auto"/>
            <w:bottom w:val="none" w:sz="0" w:space="0" w:color="auto"/>
            <w:right w:val="none" w:sz="0" w:space="0" w:color="auto"/>
          </w:divBdr>
          <w:divsChild>
            <w:div w:id="2013293289">
              <w:marLeft w:val="0"/>
              <w:marRight w:val="0"/>
              <w:marTop w:val="0"/>
              <w:marBottom w:val="0"/>
              <w:divBdr>
                <w:top w:val="none" w:sz="0" w:space="0" w:color="auto"/>
                <w:left w:val="none" w:sz="0" w:space="0" w:color="auto"/>
                <w:bottom w:val="none" w:sz="0" w:space="0" w:color="auto"/>
                <w:right w:val="none" w:sz="0" w:space="0" w:color="auto"/>
              </w:divBdr>
              <w:divsChild>
                <w:div w:id="19512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7422">
      <w:bodyDiv w:val="1"/>
      <w:marLeft w:val="0"/>
      <w:marRight w:val="0"/>
      <w:marTop w:val="0"/>
      <w:marBottom w:val="0"/>
      <w:divBdr>
        <w:top w:val="none" w:sz="0" w:space="0" w:color="auto"/>
        <w:left w:val="none" w:sz="0" w:space="0" w:color="auto"/>
        <w:bottom w:val="none" w:sz="0" w:space="0" w:color="auto"/>
        <w:right w:val="none" w:sz="0" w:space="0" w:color="auto"/>
      </w:divBdr>
      <w:divsChild>
        <w:div w:id="873277255">
          <w:marLeft w:val="0"/>
          <w:marRight w:val="0"/>
          <w:marTop w:val="0"/>
          <w:marBottom w:val="0"/>
          <w:divBdr>
            <w:top w:val="none" w:sz="0" w:space="0" w:color="auto"/>
            <w:left w:val="none" w:sz="0" w:space="0" w:color="auto"/>
            <w:bottom w:val="none" w:sz="0" w:space="0" w:color="auto"/>
            <w:right w:val="none" w:sz="0" w:space="0" w:color="auto"/>
          </w:divBdr>
        </w:div>
      </w:divsChild>
    </w:div>
    <w:div w:id="1944612259">
      <w:bodyDiv w:val="1"/>
      <w:marLeft w:val="0"/>
      <w:marRight w:val="0"/>
      <w:marTop w:val="0"/>
      <w:marBottom w:val="0"/>
      <w:divBdr>
        <w:top w:val="none" w:sz="0" w:space="0" w:color="auto"/>
        <w:left w:val="none" w:sz="0" w:space="0" w:color="auto"/>
        <w:bottom w:val="none" w:sz="0" w:space="0" w:color="auto"/>
        <w:right w:val="none" w:sz="0" w:space="0" w:color="auto"/>
      </w:divBdr>
      <w:divsChild>
        <w:div w:id="2029064032">
          <w:marLeft w:val="0"/>
          <w:marRight w:val="0"/>
          <w:marTop w:val="0"/>
          <w:marBottom w:val="0"/>
          <w:divBdr>
            <w:top w:val="none" w:sz="0" w:space="0" w:color="auto"/>
            <w:left w:val="none" w:sz="0" w:space="0" w:color="auto"/>
            <w:bottom w:val="none" w:sz="0" w:space="0" w:color="auto"/>
            <w:right w:val="none" w:sz="0" w:space="0" w:color="auto"/>
          </w:divBdr>
          <w:divsChild>
            <w:div w:id="783305022">
              <w:marLeft w:val="0"/>
              <w:marRight w:val="0"/>
              <w:marTop w:val="0"/>
              <w:marBottom w:val="0"/>
              <w:divBdr>
                <w:top w:val="none" w:sz="0" w:space="0" w:color="auto"/>
                <w:left w:val="none" w:sz="0" w:space="0" w:color="auto"/>
                <w:bottom w:val="none" w:sz="0" w:space="0" w:color="auto"/>
                <w:right w:val="none" w:sz="0" w:space="0" w:color="auto"/>
              </w:divBdr>
              <w:divsChild>
                <w:div w:id="21187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1177">
      <w:bodyDiv w:val="1"/>
      <w:marLeft w:val="0"/>
      <w:marRight w:val="0"/>
      <w:marTop w:val="0"/>
      <w:marBottom w:val="0"/>
      <w:divBdr>
        <w:top w:val="none" w:sz="0" w:space="0" w:color="auto"/>
        <w:left w:val="none" w:sz="0" w:space="0" w:color="auto"/>
        <w:bottom w:val="none" w:sz="0" w:space="0" w:color="auto"/>
        <w:right w:val="none" w:sz="0" w:space="0" w:color="auto"/>
      </w:divBdr>
    </w:div>
    <w:div w:id="1946157440">
      <w:bodyDiv w:val="1"/>
      <w:marLeft w:val="0"/>
      <w:marRight w:val="0"/>
      <w:marTop w:val="0"/>
      <w:marBottom w:val="0"/>
      <w:divBdr>
        <w:top w:val="none" w:sz="0" w:space="0" w:color="auto"/>
        <w:left w:val="none" w:sz="0" w:space="0" w:color="auto"/>
        <w:bottom w:val="none" w:sz="0" w:space="0" w:color="auto"/>
        <w:right w:val="none" w:sz="0" w:space="0" w:color="auto"/>
      </w:divBdr>
    </w:div>
    <w:div w:id="1946696464">
      <w:bodyDiv w:val="1"/>
      <w:marLeft w:val="0"/>
      <w:marRight w:val="0"/>
      <w:marTop w:val="0"/>
      <w:marBottom w:val="0"/>
      <w:divBdr>
        <w:top w:val="none" w:sz="0" w:space="0" w:color="auto"/>
        <w:left w:val="none" w:sz="0" w:space="0" w:color="auto"/>
        <w:bottom w:val="none" w:sz="0" w:space="0" w:color="auto"/>
        <w:right w:val="none" w:sz="0" w:space="0" w:color="auto"/>
      </w:divBdr>
    </w:div>
    <w:div w:id="1948804747">
      <w:bodyDiv w:val="1"/>
      <w:marLeft w:val="0"/>
      <w:marRight w:val="0"/>
      <w:marTop w:val="0"/>
      <w:marBottom w:val="0"/>
      <w:divBdr>
        <w:top w:val="none" w:sz="0" w:space="0" w:color="auto"/>
        <w:left w:val="none" w:sz="0" w:space="0" w:color="auto"/>
        <w:bottom w:val="none" w:sz="0" w:space="0" w:color="auto"/>
        <w:right w:val="none" w:sz="0" w:space="0" w:color="auto"/>
      </w:divBdr>
    </w:div>
    <w:div w:id="1952977759">
      <w:bodyDiv w:val="1"/>
      <w:marLeft w:val="0"/>
      <w:marRight w:val="0"/>
      <w:marTop w:val="0"/>
      <w:marBottom w:val="0"/>
      <w:divBdr>
        <w:top w:val="none" w:sz="0" w:space="0" w:color="auto"/>
        <w:left w:val="none" w:sz="0" w:space="0" w:color="auto"/>
        <w:bottom w:val="none" w:sz="0" w:space="0" w:color="auto"/>
        <w:right w:val="none" w:sz="0" w:space="0" w:color="auto"/>
      </w:divBdr>
    </w:div>
    <w:div w:id="1954166283">
      <w:bodyDiv w:val="1"/>
      <w:marLeft w:val="0"/>
      <w:marRight w:val="0"/>
      <w:marTop w:val="0"/>
      <w:marBottom w:val="0"/>
      <w:divBdr>
        <w:top w:val="none" w:sz="0" w:space="0" w:color="auto"/>
        <w:left w:val="none" w:sz="0" w:space="0" w:color="auto"/>
        <w:bottom w:val="none" w:sz="0" w:space="0" w:color="auto"/>
        <w:right w:val="none" w:sz="0" w:space="0" w:color="auto"/>
      </w:divBdr>
      <w:divsChild>
        <w:div w:id="678657850">
          <w:marLeft w:val="0"/>
          <w:marRight w:val="0"/>
          <w:marTop w:val="0"/>
          <w:marBottom w:val="0"/>
          <w:divBdr>
            <w:top w:val="none" w:sz="0" w:space="0" w:color="auto"/>
            <w:left w:val="none" w:sz="0" w:space="0" w:color="auto"/>
            <w:bottom w:val="none" w:sz="0" w:space="0" w:color="auto"/>
            <w:right w:val="none" w:sz="0" w:space="0" w:color="auto"/>
          </w:divBdr>
          <w:divsChild>
            <w:div w:id="303584807">
              <w:marLeft w:val="0"/>
              <w:marRight w:val="0"/>
              <w:marTop w:val="0"/>
              <w:marBottom w:val="0"/>
              <w:divBdr>
                <w:top w:val="none" w:sz="0" w:space="0" w:color="auto"/>
                <w:left w:val="none" w:sz="0" w:space="0" w:color="auto"/>
                <w:bottom w:val="none" w:sz="0" w:space="0" w:color="auto"/>
                <w:right w:val="none" w:sz="0" w:space="0" w:color="auto"/>
              </w:divBdr>
              <w:divsChild>
                <w:div w:id="1712997851">
                  <w:marLeft w:val="0"/>
                  <w:marRight w:val="0"/>
                  <w:marTop w:val="0"/>
                  <w:marBottom w:val="0"/>
                  <w:divBdr>
                    <w:top w:val="none" w:sz="0" w:space="0" w:color="auto"/>
                    <w:left w:val="none" w:sz="0" w:space="0" w:color="auto"/>
                    <w:bottom w:val="none" w:sz="0" w:space="0" w:color="auto"/>
                    <w:right w:val="none" w:sz="0" w:space="0" w:color="auto"/>
                  </w:divBdr>
                  <w:divsChild>
                    <w:div w:id="4978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595796">
      <w:bodyDiv w:val="1"/>
      <w:marLeft w:val="0"/>
      <w:marRight w:val="0"/>
      <w:marTop w:val="0"/>
      <w:marBottom w:val="0"/>
      <w:divBdr>
        <w:top w:val="none" w:sz="0" w:space="0" w:color="auto"/>
        <w:left w:val="none" w:sz="0" w:space="0" w:color="auto"/>
        <w:bottom w:val="none" w:sz="0" w:space="0" w:color="auto"/>
        <w:right w:val="none" w:sz="0" w:space="0" w:color="auto"/>
      </w:divBdr>
    </w:div>
    <w:div w:id="1957329918">
      <w:bodyDiv w:val="1"/>
      <w:marLeft w:val="0"/>
      <w:marRight w:val="0"/>
      <w:marTop w:val="0"/>
      <w:marBottom w:val="0"/>
      <w:divBdr>
        <w:top w:val="none" w:sz="0" w:space="0" w:color="auto"/>
        <w:left w:val="none" w:sz="0" w:space="0" w:color="auto"/>
        <w:bottom w:val="none" w:sz="0" w:space="0" w:color="auto"/>
        <w:right w:val="none" w:sz="0" w:space="0" w:color="auto"/>
      </w:divBdr>
    </w:div>
    <w:div w:id="1958414544">
      <w:bodyDiv w:val="1"/>
      <w:marLeft w:val="0"/>
      <w:marRight w:val="0"/>
      <w:marTop w:val="0"/>
      <w:marBottom w:val="0"/>
      <w:divBdr>
        <w:top w:val="none" w:sz="0" w:space="0" w:color="auto"/>
        <w:left w:val="none" w:sz="0" w:space="0" w:color="auto"/>
        <w:bottom w:val="none" w:sz="0" w:space="0" w:color="auto"/>
        <w:right w:val="none" w:sz="0" w:space="0" w:color="auto"/>
      </w:divBdr>
    </w:div>
    <w:div w:id="1960991737">
      <w:bodyDiv w:val="1"/>
      <w:marLeft w:val="0"/>
      <w:marRight w:val="0"/>
      <w:marTop w:val="0"/>
      <w:marBottom w:val="0"/>
      <w:divBdr>
        <w:top w:val="none" w:sz="0" w:space="0" w:color="auto"/>
        <w:left w:val="none" w:sz="0" w:space="0" w:color="auto"/>
        <w:bottom w:val="none" w:sz="0" w:space="0" w:color="auto"/>
        <w:right w:val="none" w:sz="0" w:space="0" w:color="auto"/>
      </w:divBdr>
    </w:div>
    <w:div w:id="1963611977">
      <w:bodyDiv w:val="1"/>
      <w:marLeft w:val="0"/>
      <w:marRight w:val="0"/>
      <w:marTop w:val="0"/>
      <w:marBottom w:val="0"/>
      <w:divBdr>
        <w:top w:val="none" w:sz="0" w:space="0" w:color="auto"/>
        <w:left w:val="none" w:sz="0" w:space="0" w:color="auto"/>
        <w:bottom w:val="none" w:sz="0" w:space="0" w:color="auto"/>
        <w:right w:val="none" w:sz="0" w:space="0" w:color="auto"/>
      </w:divBdr>
      <w:divsChild>
        <w:div w:id="464851722">
          <w:marLeft w:val="0"/>
          <w:marRight w:val="0"/>
          <w:marTop w:val="0"/>
          <w:marBottom w:val="0"/>
          <w:divBdr>
            <w:top w:val="none" w:sz="0" w:space="0" w:color="auto"/>
            <w:left w:val="none" w:sz="0" w:space="0" w:color="auto"/>
            <w:bottom w:val="none" w:sz="0" w:space="0" w:color="auto"/>
            <w:right w:val="none" w:sz="0" w:space="0" w:color="auto"/>
          </w:divBdr>
          <w:divsChild>
            <w:div w:id="1140608526">
              <w:marLeft w:val="0"/>
              <w:marRight w:val="0"/>
              <w:marTop w:val="0"/>
              <w:marBottom w:val="0"/>
              <w:divBdr>
                <w:top w:val="none" w:sz="0" w:space="0" w:color="auto"/>
                <w:left w:val="none" w:sz="0" w:space="0" w:color="auto"/>
                <w:bottom w:val="none" w:sz="0" w:space="0" w:color="auto"/>
                <w:right w:val="none" w:sz="0" w:space="0" w:color="auto"/>
              </w:divBdr>
              <w:divsChild>
                <w:div w:id="254098331">
                  <w:marLeft w:val="0"/>
                  <w:marRight w:val="0"/>
                  <w:marTop w:val="0"/>
                  <w:marBottom w:val="0"/>
                  <w:divBdr>
                    <w:top w:val="none" w:sz="0" w:space="0" w:color="auto"/>
                    <w:left w:val="none" w:sz="0" w:space="0" w:color="auto"/>
                    <w:bottom w:val="none" w:sz="0" w:space="0" w:color="auto"/>
                    <w:right w:val="none" w:sz="0" w:space="0" w:color="auto"/>
                  </w:divBdr>
                  <w:divsChild>
                    <w:div w:id="18435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6800">
      <w:bodyDiv w:val="1"/>
      <w:marLeft w:val="0"/>
      <w:marRight w:val="0"/>
      <w:marTop w:val="0"/>
      <w:marBottom w:val="0"/>
      <w:divBdr>
        <w:top w:val="none" w:sz="0" w:space="0" w:color="auto"/>
        <w:left w:val="none" w:sz="0" w:space="0" w:color="auto"/>
        <w:bottom w:val="none" w:sz="0" w:space="0" w:color="auto"/>
        <w:right w:val="none" w:sz="0" w:space="0" w:color="auto"/>
      </w:divBdr>
    </w:div>
    <w:div w:id="1969973783">
      <w:bodyDiv w:val="1"/>
      <w:marLeft w:val="0"/>
      <w:marRight w:val="0"/>
      <w:marTop w:val="0"/>
      <w:marBottom w:val="0"/>
      <w:divBdr>
        <w:top w:val="none" w:sz="0" w:space="0" w:color="auto"/>
        <w:left w:val="none" w:sz="0" w:space="0" w:color="auto"/>
        <w:bottom w:val="none" w:sz="0" w:space="0" w:color="auto"/>
        <w:right w:val="none" w:sz="0" w:space="0" w:color="auto"/>
      </w:divBdr>
      <w:divsChild>
        <w:div w:id="64570252">
          <w:marLeft w:val="0"/>
          <w:marRight w:val="0"/>
          <w:marTop w:val="0"/>
          <w:marBottom w:val="0"/>
          <w:divBdr>
            <w:top w:val="none" w:sz="0" w:space="0" w:color="auto"/>
            <w:left w:val="none" w:sz="0" w:space="0" w:color="auto"/>
            <w:bottom w:val="none" w:sz="0" w:space="0" w:color="auto"/>
            <w:right w:val="none" w:sz="0" w:space="0" w:color="auto"/>
          </w:divBdr>
          <w:divsChild>
            <w:div w:id="1235121140">
              <w:marLeft w:val="0"/>
              <w:marRight w:val="0"/>
              <w:marTop w:val="0"/>
              <w:marBottom w:val="0"/>
              <w:divBdr>
                <w:top w:val="none" w:sz="0" w:space="0" w:color="auto"/>
                <w:left w:val="none" w:sz="0" w:space="0" w:color="auto"/>
                <w:bottom w:val="none" w:sz="0" w:space="0" w:color="auto"/>
                <w:right w:val="none" w:sz="0" w:space="0" w:color="auto"/>
              </w:divBdr>
              <w:divsChild>
                <w:div w:id="698167428">
                  <w:marLeft w:val="0"/>
                  <w:marRight w:val="0"/>
                  <w:marTop w:val="0"/>
                  <w:marBottom w:val="0"/>
                  <w:divBdr>
                    <w:top w:val="none" w:sz="0" w:space="0" w:color="auto"/>
                    <w:left w:val="none" w:sz="0" w:space="0" w:color="auto"/>
                    <w:bottom w:val="none" w:sz="0" w:space="0" w:color="auto"/>
                    <w:right w:val="none" w:sz="0" w:space="0" w:color="auto"/>
                  </w:divBdr>
                  <w:divsChild>
                    <w:div w:id="6045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25480">
      <w:bodyDiv w:val="1"/>
      <w:marLeft w:val="0"/>
      <w:marRight w:val="0"/>
      <w:marTop w:val="0"/>
      <w:marBottom w:val="0"/>
      <w:divBdr>
        <w:top w:val="none" w:sz="0" w:space="0" w:color="auto"/>
        <w:left w:val="none" w:sz="0" w:space="0" w:color="auto"/>
        <w:bottom w:val="none" w:sz="0" w:space="0" w:color="auto"/>
        <w:right w:val="none" w:sz="0" w:space="0" w:color="auto"/>
      </w:divBdr>
    </w:div>
    <w:div w:id="1977098448">
      <w:bodyDiv w:val="1"/>
      <w:marLeft w:val="0"/>
      <w:marRight w:val="0"/>
      <w:marTop w:val="0"/>
      <w:marBottom w:val="0"/>
      <w:divBdr>
        <w:top w:val="none" w:sz="0" w:space="0" w:color="auto"/>
        <w:left w:val="none" w:sz="0" w:space="0" w:color="auto"/>
        <w:bottom w:val="none" w:sz="0" w:space="0" w:color="auto"/>
        <w:right w:val="none" w:sz="0" w:space="0" w:color="auto"/>
      </w:divBdr>
      <w:divsChild>
        <w:div w:id="833033714">
          <w:marLeft w:val="0"/>
          <w:marRight w:val="0"/>
          <w:marTop w:val="0"/>
          <w:marBottom w:val="0"/>
          <w:divBdr>
            <w:top w:val="none" w:sz="0" w:space="0" w:color="auto"/>
            <w:left w:val="none" w:sz="0" w:space="0" w:color="auto"/>
            <w:bottom w:val="none" w:sz="0" w:space="0" w:color="auto"/>
            <w:right w:val="none" w:sz="0" w:space="0" w:color="auto"/>
          </w:divBdr>
          <w:divsChild>
            <w:div w:id="123164676">
              <w:marLeft w:val="0"/>
              <w:marRight w:val="0"/>
              <w:marTop w:val="0"/>
              <w:marBottom w:val="0"/>
              <w:divBdr>
                <w:top w:val="none" w:sz="0" w:space="0" w:color="auto"/>
                <w:left w:val="none" w:sz="0" w:space="0" w:color="auto"/>
                <w:bottom w:val="none" w:sz="0" w:space="0" w:color="auto"/>
                <w:right w:val="none" w:sz="0" w:space="0" w:color="auto"/>
              </w:divBdr>
              <w:divsChild>
                <w:div w:id="348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37127">
      <w:bodyDiv w:val="1"/>
      <w:marLeft w:val="0"/>
      <w:marRight w:val="0"/>
      <w:marTop w:val="0"/>
      <w:marBottom w:val="0"/>
      <w:divBdr>
        <w:top w:val="none" w:sz="0" w:space="0" w:color="auto"/>
        <w:left w:val="none" w:sz="0" w:space="0" w:color="auto"/>
        <w:bottom w:val="none" w:sz="0" w:space="0" w:color="auto"/>
        <w:right w:val="none" w:sz="0" w:space="0" w:color="auto"/>
      </w:divBdr>
    </w:div>
    <w:div w:id="1978796853">
      <w:bodyDiv w:val="1"/>
      <w:marLeft w:val="0"/>
      <w:marRight w:val="0"/>
      <w:marTop w:val="0"/>
      <w:marBottom w:val="0"/>
      <w:divBdr>
        <w:top w:val="none" w:sz="0" w:space="0" w:color="auto"/>
        <w:left w:val="none" w:sz="0" w:space="0" w:color="auto"/>
        <w:bottom w:val="none" w:sz="0" w:space="0" w:color="auto"/>
        <w:right w:val="none" w:sz="0" w:space="0" w:color="auto"/>
      </w:divBdr>
    </w:div>
    <w:div w:id="1979415455">
      <w:bodyDiv w:val="1"/>
      <w:marLeft w:val="0"/>
      <w:marRight w:val="0"/>
      <w:marTop w:val="0"/>
      <w:marBottom w:val="0"/>
      <w:divBdr>
        <w:top w:val="none" w:sz="0" w:space="0" w:color="auto"/>
        <w:left w:val="none" w:sz="0" w:space="0" w:color="auto"/>
        <w:bottom w:val="none" w:sz="0" w:space="0" w:color="auto"/>
        <w:right w:val="none" w:sz="0" w:space="0" w:color="auto"/>
      </w:divBdr>
    </w:div>
    <w:div w:id="1980722699">
      <w:bodyDiv w:val="1"/>
      <w:marLeft w:val="0"/>
      <w:marRight w:val="0"/>
      <w:marTop w:val="0"/>
      <w:marBottom w:val="0"/>
      <w:divBdr>
        <w:top w:val="none" w:sz="0" w:space="0" w:color="auto"/>
        <w:left w:val="none" w:sz="0" w:space="0" w:color="auto"/>
        <w:bottom w:val="none" w:sz="0" w:space="0" w:color="auto"/>
        <w:right w:val="none" w:sz="0" w:space="0" w:color="auto"/>
      </w:divBdr>
    </w:div>
    <w:div w:id="1981618849">
      <w:bodyDiv w:val="1"/>
      <w:marLeft w:val="0"/>
      <w:marRight w:val="0"/>
      <w:marTop w:val="0"/>
      <w:marBottom w:val="0"/>
      <w:divBdr>
        <w:top w:val="none" w:sz="0" w:space="0" w:color="auto"/>
        <w:left w:val="none" w:sz="0" w:space="0" w:color="auto"/>
        <w:bottom w:val="none" w:sz="0" w:space="0" w:color="auto"/>
        <w:right w:val="none" w:sz="0" w:space="0" w:color="auto"/>
      </w:divBdr>
    </w:div>
    <w:div w:id="1985238535">
      <w:bodyDiv w:val="1"/>
      <w:marLeft w:val="0"/>
      <w:marRight w:val="0"/>
      <w:marTop w:val="0"/>
      <w:marBottom w:val="0"/>
      <w:divBdr>
        <w:top w:val="none" w:sz="0" w:space="0" w:color="auto"/>
        <w:left w:val="none" w:sz="0" w:space="0" w:color="auto"/>
        <w:bottom w:val="none" w:sz="0" w:space="0" w:color="auto"/>
        <w:right w:val="none" w:sz="0" w:space="0" w:color="auto"/>
      </w:divBdr>
      <w:divsChild>
        <w:div w:id="1459714923">
          <w:marLeft w:val="0"/>
          <w:marRight w:val="0"/>
          <w:marTop w:val="0"/>
          <w:marBottom w:val="0"/>
          <w:divBdr>
            <w:top w:val="none" w:sz="0" w:space="0" w:color="auto"/>
            <w:left w:val="none" w:sz="0" w:space="0" w:color="auto"/>
            <w:bottom w:val="none" w:sz="0" w:space="0" w:color="auto"/>
            <w:right w:val="none" w:sz="0" w:space="0" w:color="auto"/>
          </w:divBdr>
        </w:div>
        <w:div w:id="1869562972">
          <w:marLeft w:val="0"/>
          <w:marRight w:val="0"/>
          <w:marTop w:val="0"/>
          <w:marBottom w:val="0"/>
          <w:divBdr>
            <w:top w:val="none" w:sz="0" w:space="0" w:color="auto"/>
            <w:left w:val="none" w:sz="0" w:space="0" w:color="auto"/>
            <w:bottom w:val="none" w:sz="0" w:space="0" w:color="auto"/>
            <w:right w:val="none" w:sz="0" w:space="0" w:color="auto"/>
          </w:divBdr>
        </w:div>
        <w:div w:id="480853034">
          <w:marLeft w:val="0"/>
          <w:marRight w:val="0"/>
          <w:marTop w:val="0"/>
          <w:marBottom w:val="0"/>
          <w:divBdr>
            <w:top w:val="none" w:sz="0" w:space="0" w:color="auto"/>
            <w:left w:val="none" w:sz="0" w:space="0" w:color="auto"/>
            <w:bottom w:val="none" w:sz="0" w:space="0" w:color="auto"/>
            <w:right w:val="none" w:sz="0" w:space="0" w:color="auto"/>
          </w:divBdr>
        </w:div>
        <w:div w:id="1055591761">
          <w:marLeft w:val="0"/>
          <w:marRight w:val="0"/>
          <w:marTop w:val="0"/>
          <w:marBottom w:val="0"/>
          <w:divBdr>
            <w:top w:val="none" w:sz="0" w:space="0" w:color="auto"/>
            <w:left w:val="none" w:sz="0" w:space="0" w:color="auto"/>
            <w:bottom w:val="none" w:sz="0" w:space="0" w:color="auto"/>
            <w:right w:val="none" w:sz="0" w:space="0" w:color="auto"/>
          </w:divBdr>
        </w:div>
      </w:divsChild>
    </w:div>
    <w:div w:id="1987859402">
      <w:bodyDiv w:val="1"/>
      <w:marLeft w:val="0"/>
      <w:marRight w:val="0"/>
      <w:marTop w:val="0"/>
      <w:marBottom w:val="0"/>
      <w:divBdr>
        <w:top w:val="none" w:sz="0" w:space="0" w:color="auto"/>
        <w:left w:val="none" w:sz="0" w:space="0" w:color="auto"/>
        <w:bottom w:val="none" w:sz="0" w:space="0" w:color="auto"/>
        <w:right w:val="none" w:sz="0" w:space="0" w:color="auto"/>
      </w:divBdr>
      <w:divsChild>
        <w:div w:id="1814902557">
          <w:marLeft w:val="0"/>
          <w:marRight w:val="0"/>
          <w:marTop w:val="0"/>
          <w:marBottom w:val="0"/>
          <w:divBdr>
            <w:top w:val="none" w:sz="0" w:space="0" w:color="auto"/>
            <w:left w:val="none" w:sz="0" w:space="0" w:color="auto"/>
            <w:bottom w:val="none" w:sz="0" w:space="0" w:color="auto"/>
            <w:right w:val="none" w:sz="0" w:space="0" w:color="auto"/>
          </w:divBdr>
          <w:divsChild>
            <w:div w:id="1682008378">
              <w:marLeft w:val="0"/>
              <w:marRight w:val="0"/>
              <w:marTop w:val="0"/>
              <w:marBottom w:val="0"/>
              <w:divBdr>
                <w:top w:val="none" w:sz="0" w:space="0" w:color="auto"/>
                <w:left w:val="none" w:sz="0" w:space="0" w:color="auto"/>
                <w:bottom w:val="none" w:sz="0" w:space="0" w:color="auto"/>
                <w:right w:val="none" w:sz="0" w:space="0" w:color="auto"/>
              </w:divBdr>
              <w:divsChild>
                <w:div w:id="20738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70584">
      <w:bodyDiv w:val="1"/>
      <w:marLeft w:val="0"/>
      <w:marRight w:val="0"/>
      <w:marTop w:val="0"/>
      <w:marBottom w:val="0"/>
      <w:divBdr>
        <w:top w:val="none" w:sz="0" w:space="0" w:color="auto"/>
        <w:left w:val="none" w:sz="0" w:space="0" w:color="auto"/>
        <w:bottom w:val="none" w:sz="0" w:space="0" w:color="auto"/>
        <w:right w:val="none" w:sz="0" w:space="0" w:color="auto"/>
      </w:divBdr>
      <w:divsChild>
        <w:div w:id="1487236403">
          <w:marLeft w:val="0"/>
          <w:marRight w:val="0"/>
          <w:marTop w:val="0"/>
          <w:marBottom w:val="0"/>
          <w:divBdr>
            <w:top w:val="none" w:sz="0" w:space="0" w:color="auto"/>
            <w:left w:val="none" w:sz="0" w:space="0" w:color="auto"/>
            <w:bottom w:val="none" w:sz="0" w:space="0" w:color="auto"/>
            <w:right w:val="none" w:sz="0" w:space="0" w:color="auto"/>
          </w:divBdr>
          <w:divsChild>
            <w:div w:id="2051999683">
              <w:marLeft w:val="0"/>
              <w:marRight w:val="0"/>
              <w:marTop w:val="0"/>
              <w:marBottom w:val="0"/>
              <w:divBdr>
                <w:top w:val="none" w:sz="0" w:space="0" w:color="auto"/>
                <w:left w:val="none" w:sz="0" w:space="0" w:color="auto"/>
                <w:bottom w:val="none" w:sz="0" w:space="0" w:color="auto"/>
                <w:right w:val="none" w:sz="0" w:space="0" w:color="auto"/>
              </w:divBdr>
              <w:divsChild>
                <w:div w:id="744254972">
                  <w:marLeft w:val="0"/>
                  <w:marRight w:val="0"/>
                  <w:marTop w:val="0"/>
                  <w:marBottom w:val="0"/>
                  <w:divBdr>
                    <w:top w:val="none" w:sz="0" w:space="0" w:color="auto"/>
                    <w:left w:val="none" w:sz="0" w:space="0" w:color="auto"/>
                    <w:bottom w:val="none" w:sz="0" w:space="0" w:color="auto"/>
                    <w:right w:val="none" w:sz="0" w:space="0" w:color="auto"/>
                  </w:divBdr>
                  <w:divsChild>
                    <w:div w:id="13029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73970">
      <w:bodyDiv w:val="1"/>
      <w:marLeft w:val="0"/>
      <w:marRight w:val="0"/>
      <w:marTop w:val="0"/>
      <w:marBottom w:val="0"/>
      <w:divBdr>
        <w:top w:val="none" w:sz="0" w:space="0" w:color="auto"/>
        <w:left w:val="none" w:sz="0" w:space="0" w:color="auto"/>
        <w:bottom w:val="none" w:sz="0" w:space="0" w:color="auto"/>
        <w:right w:val="none" w:sz="0" w:space="0" w:color="auto"/>
      </w:divBdr>
    </w:div>
    <w:div w:id="1998873174">
      <w:bodyDiv w:val="1"/>
      <w:marLeft w:val="0"/>
      <w:marRight w:val="0"/>
      <w:marTop w:val="0"/>
      <w:marBottom w:val="0"/>
      <w:divBdr>
        <w:top w:val="none" w:sz="0" w:space="0" w:color="auto"/>
        <w:left w:val="none" w:sz="0" w:space="0" w:color="auto"/>
        <w:bottom w:val="none" w:sz="0" w:space="0" w:color="auto"/>
        <w:right w:val="none" w:sz="0" w:space="0" w:color="auto"/>
      </w:divBdr>
      <w:divsChild>
        <w:div w:id="564410625">
          <w:marLeft w:val="0"/>
          <w:marRight w:val="0"/>
          <w:marTop w:val="0"/>
          <w:marBottom w:val="0"/>
          <w:divBdr>
            <w:top w:val="none" w:sz="0" w:space="0" w:color="auto"/>
            <w:left w:val="none" w:sz="0" w:space="0" w:color="auto"/>
            <w:bottom w:val="none" w:sz="0" w:space="0" w:color="auto"/>
            <w:right w:val="none" w:sz="0" w:space="0" w:color="auto"/>
          </w:divBdr>
          <w:divsChild>
            <w:div w:id="1636250218">
              <w:marLeft w:val="0"/>
              <w:marRight w:val="0"/>
              <w:marTop w:val="0"/>
              <w:marBottom w:val="0"/>
              <w:divBdr>
                <w:top w:val="none" w:sz="0" w:space="0" w:color="auto"/>
                <w:left w:val="none" w:sz="0" w:space="0" w:color="auto"/>
                <w:bottom w:val="none" w:sz="0" w:space="0" w:color="auto"/>
                <w:right w:val="none" w:sz="0" w:space="0" w:color="auto"/>
              </w:divBdr>
              <w:divsChild>
                <w:div w:id="14400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30483">
      <w:bodyDiv w:val="1"/>
      <w:marLeft w:val="0"/>
      <w:marRight w:val="0"/>
      <w:marTop w:val="0"/>
      <w:marBottom w:val="0"/>
      <w:divBdr>
        <w:top w:val="none" w:sz="0" w:space="0" w:color="auto"/>
        <w:left w:val="none" w:sz="0" w:space="0" w:color="auto"/>
        <w:bottom w:val="none" w:sz="0" w:space="0" w:color="auto"/>
        <w:right w:val="none" w:sz="0" w:space="0" w:color="auto"/>
      </w:divBdr>
    </w:div>
    <w:div w:id="2002585718">
      <w:bodyDiv w:val="1"/>
      <w:marLeft w:val="0"/>
      <w:marRight w:val="0"/>
      <w:marTop w:val="0"/>
      <w:marBottom w:val="0"/>
      <w:divBdr>
        <w:top w:val="none" w:sz="0" w:space="0" w:color="auto"/>
        <w:left w:val="none" w:sz="0" w:space="0" w:color="auto"/>
        <w:bottom w:val="none" w:sz="0" w:space="0" w:color="auto"/>
        <w:right w:val="none" w:sz="0" w:space="0" w:color="auto"/>
      </w:divBdr>
    </w:div>
    <w:div w:id="2008240783">
      <w:bodyDiv w:val="1"/>
      <w:marLeft w:val="0"/>
      <w:marRight w:val="0"/>
      <w:marTop w:val="0"/>
      <w:marBottom w:val="0"/>
      <w:divBdr>
        <w:top w:val="none" w:sz="0" w:space="0" w:color="auto"/>
        <w:left w:val="none" w:sz="0" w:space="0" w:color="auto"/>
        <w:bottom w:val="none" w:sz="0" w:space="0" w:color="auto"/>
        <w:right w:val="none" w:sz="0" w:space="0" w:color="auto"/>
      </w:divBdr>
      <w:divsChild>
        <w:div w:id="1243224300">
          <w:marLeft w:val="0"/>
          <w:marRight w:val="0"/>
          <w:marTop w:val="0"/>
          <w:marBottom w:val="0"/>
          <w:divBdr>
            <w:top w:val="none" w:sz="0" w:space="0" w:color="auto"/>
            <w:left w:val="none" w:sz="0" w:space="0" w:color="auto"/>
            <w:bottom w:val="none" w:sz="0" w:space="0" w:color="auto"/>
            <w:right w:val="none" w:sz="0" w:space="0" w:color="auto"/>
          </w:divBdr>
        </w:div>
        <w:div w:id="806361897">
          <w:marLeft w:val="0"/>
          <w:marRight w:val="0"/>
          <w:marTop w:val="0"/>
          <w:marBottom w:val="0"/>
          <w:divBdr>
            <w:top w:val="none" w:sz="0" w:space="0" w:color="auto"/>
            <w:left w:val="none" w:sz="0" w:space="0" w:color="auto"/>
            <w:bottom w:val="none" w:sz="0" w:space="0" w:color="auto"/>
            <w:right w:val="none" w:sz="0" w:space="0" w:color="auto"/>
          </w:divBdr>
        </w:div>
      </w:divsChild>
    </w:div>
    <w:div w:id="2008442008">
      <w:bodyDiv w:val="1"/>
      <w:marLeft w:val="0"/>
      <w:marRight w:val="0"/>
      <w:marTop w:val="0"/>
      <w:marBottom w:val="0"/>
      <w:divBdr>
        <w:top w:val="none" w:sz="0" w:space="0" w:color="auto"/>
        <w:left w:val="none" w:sz="0" w:space="0" w:color="auto"/>
        <w:bottom w:val="none" w:sz="0" w:space="0" w:color="auto"/>
        <w:right w:val="none" w:sz="0" w:space="0" w:color="auto"/>
      </w:divBdr>
    </w:div>
    <w:div w:id="2017996277">
      <w:bodyDiv w:val="1"/>
      <w:marLeft w:val="0"/>
      <w:marRight w:val="0"/>
      <w:marTop w:val="0"/>
      <w:marBottom w:val="0"/>
      <w:divBdr>
        <w:top w:val="none" w:sz="0" w:space="0" w:color="auto"/>
        <w:left w:val="none" w:sz="0" w:space="0" w:color="auto"/>
        <w:bottom w:val="none" w:sz="0" w:space="0" w:color="auto"/>
        <w:right w:val="none" w:sz="0" w:space="0" w:color="auto"/>
      </w:divBdr>
    </w:div>
    <w:div w:id="2018464582">
      <w:bodyDiv w:val="1"/>
      <w:marLeft w:val="0"/>
      <w:marRight w:val="0"/>
      <w:marTop w:val="0"/>
      <w:marBottom w:val="0"/>
      <w:divBdr>
        <w:top w:val="none" w:sz="0" w:space="0" w:color="auto"/>
        <w:left w:val="none" w:sz="0" w:space="0" w:color="auto"/>
        <w:bottom w:val="none" w:sz="0" w:space="0" w:color="auto"/>
        <w:right w:val="none" w:sz="0" w:space="0" w:color="auto"/>
      </w:divBdr>
      <w:divsChild>
        <w:div w:id="1727338994">
          <w:marLeft w:val="0"/>
          <w:marRight w:val="0"/>
          <w:marTop w:val="0"/>
          <w:marBottom w:val="0"/>
          <w:divBdr>
            <w:top w:val="none" w:sz="0" w:space="0" w:color="auto"/>
            <w:left w:val="none" w:sz="0" w:space="0" w:color="auto"/>
            <w:bottom w:val="none" w:sz="0" w:space="0" w:color="auto"/>
            <w:right w:val="none" w:sz="0" w:space="0" w:color="auto"/>
          </w:divBdr>
          <w:divsChild>
            <w:div w:id="402023373">
              <w:marLeft w:val="0"/>
              <w:marRight w:val="0"/>
              <w:marTop w:val="0"/>
              <w:marBottom w:val="0"/>
              <w:divBdr>
                <w:top w:val="none" w:sz="0" w:space="0" w:color="auto"/>
                <w:left w:val="none" w:sz="0" w:space="0" w:color="auto"/>
                <w:bottom w:val="none" w:sz="0" w:space="0" w:color="auto"/>
                <w:right w:val="none" w:sz="0" w:space="0" w:color="auto"/>
              </w:divBdr>
              <w:divsChild>
                <w:div w:id="1512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40099">
      <w:bodyDiv w:val="1"/>
      <w:marLeft w:val="0"/>
      <w:marRight w:val="0"/>
      <w:marTop w:val="0"/>
      <w:marBottom w:val="0"/>
      <w:divBdr>
        <w:top w:val="none" w:sz="0" w:space="0" w:color="auto"/>
        <w:left w:val="none" w:sz="0" w:space="0" w:color="auto"/>
        <w:bottom w:val="none" w:sz="0" w:space="0" w:color="auto"/>
        <w:right w:val="none" w:sz="0" w:space="0" w:color="auto"/>
      </w:divBdr>
      <w:divsChild>
        <w:div w:id="770471664">
          <w:marLeft w:val="0"/>
          <w:marRight w:val="0"/>
          <w:marTop w:val="0"/>
          <w:marBottom w:val="0"/>
          <w:divBdr>
            <w:top w:val="none" w:sz="0" w:space="0" w:color="auto"/>
            <w:left w:val="none" w:sz="0" w:space="0" w:color="auto"/>
            <w:bottom w:val="none" w:sz="0" w:space="0" w:color="auto"/>
            <w:right w:val="none" w:sz="0" w:space="0" w:color="auto"/>
          </w:divBdr>
          <w:divsChild>
            <w:div w:id="1129398031">
              <w:marLeft w:val="0"/>
              <w:marRight w:val="0"/>
              <w:marTop w:val="0"/>
              <w:marBottom w:val="0"/>
              <w:divBdr>
                <w:top w:val="none" w:sz="0" w:space="0" w:color="auto"/>
                <w:left w:val="none" w:sz="0" w:space="0" w:color="auto"/>
                <w:bottom w:val="none" w:sz="0" w:space="0" w:color="auto"/>
                <w:right w:val="none" w:sz="0" w:space="0" w:color="auto"/>
              </w:divBdr>
              <w:divsChild>
                <w:div w:id="2109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6399">
      <w:bodyDiv w:val="1"/>
      <w:marLeft w:val="0"/>
      <w:marRight w:val="0"/>
      <w:marTop w:val="0"/>
      <w:marBottom w:val="0"/>
      <w:divBdr>
        <w:top w:val="none" w:sz="0" w:space="0" w:color="auto"/>
        <w:left w:val="none" w:sz="0" w:space="0" w:color="auto"/>
        <w:bottom w:val="none" w:sz="0" w:space="0" w:color="auto"/>
        <w:right w:val="none" w:sz="0" w:space="0" w:color="auto"/>
      </w:divBdr>
    </w:div>
    <w:div w:id="2019118164">
      <w:bodyDiv w:val="1"/>
      <w:marLeft w:val="0"/>
      <w:marRight w:val="0"/>
      <w:marTop w:val="0"/>
      <w:marBottom w:val="0"/>
      <w:divBdr>
        <w:top w:val="none" w:sz="0" w:space="0" w:color="auto"/>
        <w:left w:val="none" w:sz="0" w:space="0" w:color="auto"/>
        <w:bottom w:val="none" w:sz="0" w:space="0" w:color="auto"/>
        <w:right w:val="none" w:sz="0" w:space="0" w:color="auto"/>
      </w:divBdr>
      <w:divsChild>
        <w:div w:id="1512600404">
          <w:marLeft w:val="0"/>
          <w:marRight w:val="0"/>
          <w:marTop w:val="0"/>
          <w:marBottom w:val="0"/>
          <w:divBdr>
            <w:top w:val="none" w:sz="0" w:space="0" w:color="auto"/>
            <w:left w:val="none" w:sz="0" w:space="0" w:color="auto"/>
            <w:bottom w:val="none" w:sz="0" w:space="0" w:color="auto"/>
            <w:right w:val="none" w:sz="0" w:space="0" w:color="auto"/>
          </w:divBdr>
          <w:divsChild>
            <w:div w:id="608241106">
              <w:marLeft w:val="0"/>
              <w:marRight w:val="0"/>
              <w:marTop w:val="0"/>
              <w:marBottom w:val="0"/>
              <w:divBdr>
                <w:top w:val="none" w:sz="0" w:space="0" w:color="auto"/>
                <w:left w:val="none" w:sz="0" w:space="0" w:color="auto"/>
                <w:bottom w:val="none" w:sz="0" w:space="0" w:color="auto"/>
                <w:right w:val="none" w:sz="0" w:space="0" w:color="auto"/>
              </w:divBdr>
              <w:divsChild>
                <w:div w:id="2166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31156">
      <w:bodyDiv w:val="1"/>
      <w:marLeft w:val="0"/>
      <w:marRight w:val="0"/>
      <w:marTop w:val="0"/>
      <w:marBottom w:val="0"/>
      <w:divBdr>
        <w:top w:val="none" w:sz="0" w:space="0" w:color="auto"/>
        <w:left w:val="none" w:sz="0" w:space="0" w:color="auto"/>
        <w:bottom w:val="none" w:sz="0" w:space="0" w:color="auto"/>
        <w:right w:val="none" w:sz="0" w:space="0" w:color="auto"/>
      </w:divBdr>
      <w:divsChild>
        <w:div w:id="1176388152">
          <w:marLeft w:val="0"/>
          <w:marRight w:val="0"/>
          <w:marTop w:val="0"/>
          <w:marBottom w:val="0"/>
          <w:divBdr>
            <w:top w:val="none" w:sz="0" w:space="0" w:color="auto"/>
            <w:left w:val="none" w:sz="0" w:space="0" w:color="auto"/>
            <w:bottom w:val="none" w:sz="0" w:space="0" w:color="auto"/>
            <w:right w:val="none" w:sz="0" w:space="0" w:color="auto"/>
          </w:divBdr>
          <w:divsChild>
            <w:div w:id="794102176">
              <w:marLeft w:val="0"/>
              <w:marRight w:val="0"/>
              <w:marTop w:val="0"/>
              <w:marBottom w:val="0"/>
              <w:divBdr>
                <w:top w:val="none" w:sz="0" w:space="0" w:color="auto"/>
                <w:left w:val="none" w:sz="0" w:space="0" w:color="auto"/>
                <w:bottom w:val="none" w:sz="0" w:space="0" w:color="auto"/>
                <w:right w:val="none" w:sz="0" w:space="0" w:color="auto"/>
              </w:divBdr>
              <w:divsChild>
                <w:div w:id="7466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28264">
      <w:bodyDiv w:val="1"/>
      <w:marLeft w:val="0"/>
      <w:marRight w:val="0"/>
      <w:marTop w:val="0"/>
      <w:marBottom w:val="0"/>
      <w:divBdr>
        <w:top w:val="none" w:sz="0" w:space="0" w:color="auto"/>
        <w:left w:val="none" w:sz="0" w:space="0" w:color="auto"/>
        <w:bottom w:val="none" w:sz="0" w:space="0" w:color="auto"/>
        <w:right w:val="none" w:sz="0" w:space="0" w:color="auto"/>
      </w:divBdr>
    </w:div>
    <w:div w:id="2026591022">
      <w:bodyDiv w:val="1"/>
      <w:marLeft w:val="0"/>
      <w:marRight w:val="0"/>
      <w:marTop w:val="0"/>
      <w:marBottom w:val="0"/>
      <w:divBdr>
        <w:top w:val="none" w:sz="0" w:space="0" w:color="auto"/>
        <w:left w:val="none" w:sz="0" w:space="0" w:color="auto"/>
        <w:bottom w:val="none" w:sz="0" w:space="0" w:color="auto"/>
        <w:right w:val="none" w:sz="0" w:space="0" w:color="auto"/>
      </w:divBdr>
    </w:div>
    <w:div w:id="2028209790">
      <w:bodyDiv w:val="1"/>
      <w:marLeft w:val="0"/>
      <w:marRight w:val="0"/>
      <w:marTop w:val="0"/>
      <w:marBottom w:val="0"/>
      <w:divBdr>
        <w:top w:val="none" w:sz="0" w:space="0" w:color="auto"/>
        <w:left w:val="none" w:sz="0" w:space="0" w:color="auto"/>
        <w:bottom w:val="none" w:sz="0" w:space="0" w:color="auto"/>
        <w:right w:val="none" w:sz="0" w:space="0" w:color="auto"/>
      </w:divBdr>
    </w:div>
    <w:div w:id="2031566101">
      <w:bodyDiv w:val="1"/>
      <w:marLeft w:val="0"/>
      <w:marRight w:val="0"/>
      <w:marTop w:val="0"/>
      <w:marBottom w:val="0"/>
      <w:divBdr>
        <w:top w:val="none" w:sz="0" w:space="0" w:color="auto"/>
        <w:left w:val="none" w:sz="0" w:space="0" w:color="auto"/>
        <w:bottom w:val="none" w:sz="0" w:space="0" w:color="auto"/>
        <w:right w:val="none" w:sz="0" w:space="0" w:color="auto"/>
      </w:divBdr>
    </w:div>
    <w:div w:id="2034568906">
      <w:bodyDiv w:val="1"/>
      <w:marLeft w:val="0"/>
      <w:marRight w:val="0"/>
      <w:marTop w:val="0"/>
      <w:marBottom w:val="0"/>
      <w:divBdr>
        <w:top w:val="none" w:sz="0" w:space="0" w:color="auto"/>
        <w:left w:val="none" w:sz="0" w:space="0" w:color="auto"/>
        <w:bottom w:val="none" w:sz="0" w:space="0" w:color="auto"/>
        <w:right w:val="none" w:sz="0" w:space="0" w:color="auto"/>
      </w:divBdr>
    </w:div>
    <w:div w:id="2038118774">
      <w:bodyDiv w:val="1"/>
      <w:marLeft w:val="0"/>
      <w:marRight w:val="0"/>
      <w:marTop w:val="0"/>
      <w:marBottom w:val="0"/>
      <w:divBdr>
        <w:top w:val="none" w:sz="0" w:space="0" w:color="auto"/>
        <w:left w:val="none" w:sz="0" w:space="0" w:color="auto"/>
        <w:bottom w:val="none" w:sz="0" w:space="0" w:color="auto"/>
        <w:right w:val="none" w:sz="0" w:space="0" w:color="auto"/>
      </w:divBdr>
    </w:div>
    <w:div w:id="2038919619">
      <w:bodyDiv w:val="1"/>
      <w:marLeft w:val="0"/>
      <w:marRight w:val="0"/>
      <w:marTop w:val="0"/>
      <w:marBottom w:val="0"/>
      <w:divBdr>
        <w:top w:val="none" w:sz="0" w:space="0" w:color="auto"/>
        <w:left w:val="none" w:sz="0" w:space="0" w:color="auto"/>
        <w:bottom w:val="none" w:sz="0" w:space="0" w:color="auto"/>
        <w:right w:val="none" w:sz="0" w:space="0" w:color="auto"/>
      </w:divBdr>
    </w:div>
    <w:div w:id="2041665021">
      <w:bodyDiv w:val="1"/>
      <w:marLeft w:val="0"/>
      <w:marRight w:val="0"/>
      <w:marTop w:val="0"/>
      <w:marBottom w:val="0"/>
      <w:divBdr>
        <w:top w:val="none" w:sz="0" w:space="0" w:color="auto"/>
        <w:left w:val="none" w:sz="0" w:space="0" w:color="auto"/>
        <w:bottom w:val="none" w:sz="0" w:space="0" w:color="auto"/>
        <w:right w:val="none" w:sz="0" w:space="0" w:color="auto"/>
      </w:divBdr>
    </w:div>
    <w:div w:id="2043555286">
      <w:bodyDiv w:val="1"/>
      <w:marLeft w:val="0"/>
      <w:marRight w:val="0"/>
      <w:marTop w:val="0"/>
      <w:marBottom w:val="0"/>
      <w:divBdr>
        <w:top w:val="none" w:sz="0" w:space="0" w:color="auto"/>
        <w:left w:val="none" w:sz="0" w:space="0" w:color="auto"/>
        <w:bottom w:val="none" w:sz="0" w:space="0" w:color="auto"/>
        <w:right w:val="none" w:sz="0" w:space="0" w:color="auto"/>
      </w:divBdr>
    </w:div>
    <w:div w:id="2044015184">
      <w:bodyDiv w:val="1"/>
      <w:marLeft w:val="0"/>
      <w:marRight w:val="0"/>
      <w:marTop w:val="0"/>
      <w:marBottom w:val="0"/>
      <w:divBdr>
        <w:top w:val="none" w:sz="0" w:space="0" w:color="auto"/>
        <w:left w:val="none" w:sz="0" w:space="0" w:color="auto"/>
        <w:bottom w:val="none" w:sz="0" w:space="0" w:color="auto"/>
        <w:right w:val="none" w:sz="0" w:space="0" w:color="auto"/>
      </w:divBdr>
    </w:div>
    <w:div w:id="2044865683">
      <w:bodyDiv w:val="1"/>
      <w:marLeft w:val="0"/>
      <w:marRight w:val="0"/>
      <w:marTop w:val="0"/>
      <w:marBottom w:val="0"/>
      <w:divBdr>
        <w:top w:val="none" w:sz="0" w:space="0" w:color="auto"/>
        <w:left w:val="none" w:sz="0" w:space="0" w:color="auto"/>
        <w:bottom w:val="none" w:sz="0" w:space="0" w:color="auto"/>
        <w:right w:val="none" w:sz="0" w:space="0" w:color="auto"/>
      </w:divBdr>
    </w:div>
    <w:div w:id="2045404463">
      <w:bodyDiv w:val="1"/>
      <w:marLeft w:val="0"/>
      <w:marRight w:val="0"/>
      <w:marTop w:val="0"/>
      <w:marBottom w:val="0"/>
      <w:divBdr>
        <w:top w:val="none" w:sz="0" w:space="0" w:color="auto"/>
        <w:left w:val="none" w:sz="0" w:space="0" w:color="auto"/>
        <w:bottom w:val="none" w:sz="0" w:space="0" w:color="auto"/>
        <w:right w:val="none" w:sz="0" w:space="0" w:color="auto"/>
      </w:divBdr>
    </w:div>
    <w:div w:id="2047675763">
      <w:bodyDiv w:val="1"/>
      <w:marLeft w:val="0"/>
      <w:marRight w:val="0"/>
      <w:marTop w:val="0"/>
      <w:marBottom w:val="0"/>
      <w:divBdr>
        <w:top w:val="none" w:sz="0" w:space="0" w:color="auto"/>
        <w:left w:val="none" w:sz="0" w:space="0" w:color="auto"/>
        <w:bottom w:val="none" w:sz="0" w:space="0" w:color="auto"/>
        <w:right w:val="none" w:sz="0" w:space="0" w:color="auto"/>
      </w:divBdr>
    </w:div>
    <w:div w:id="2052606592">
      <w:bodyDiv w:val="1"/>
      <w:marLeft w:val="0"/>
      <w:marRight w:val="0"/>
      <w:marTop w:val="0"/>
      <w:marBottom w:val="0"/>
      <w:divBdr>
        <w:top w:val="none" w:sz="0" w:space="0" w:color="auto"/>
        <w:left w:val="none" w:sz="0" w:space="0" w:color="auto"/>
        <w:bottom w:val="none" w:sz="0" w:space="0" w:color="auto"/>
        <w:right w:val="none" w:sz="0" w:space="0" w:color="auto"/>
      </w:divBdr>
      <w:divsChild>
        <w:div w:id="1246379632">
          <w:marLeft w:val="0"/>
          <w:marRight w:val="0"/>
          <w:marTop w:val="0"/>
          <w:marBottom w:val="0"/>
          <w:divBdr>
            <w:top w:val="none" w:sz="0" w:space="0" w:color="auto"/>
            <w:left w:val="none" w:sz="0" w:space="0" w:color="auto"/>
            <w:bottom w:val="none" w:sz="0" w:space="0" w:color="auto"/>
            <w:right w:val="none" w:sz="0" w:space="0" w:color="auto"/>
          </w:divBdr>
          <w:divsChild>
            <w:div w:id="361442222">
              <w:marLeft w:val="0"/>
              <w:marRight w:val="0"/>
              <w:marTop w:val="0"/>
              <w:marBottom w:val="0"/>
              <w:divBdr>
                <w:top w:val="none" w:sz="0" w:space="0" w:color="auto"/>
                <w:left w:val="none" w:sz="0" w:space="0" w:color="auto"/>
                <w:bottom w:val="none" w:sz="0" w:space="0" w:color="auto"/>
                <w:right w:val="none" w:sz="0" w:space="0" w:color="auto"/>
              </w:divBdr>
              <w:divsChild>
                <w:div w:id="2054184930">
                  <w:marLeft w:val="0"/>
                  <w:marRight w:val="0"/>
                  <w:marTop w:val="0"/>
                  <w:marBottom w:val="0"/>
                  <w:divBdr>
                    <w:top w:val="none" w:sz="0" w:space="0" w:color="auto"/>
                    <w:left w:val="none" w:sz="0" w:space="0" w:color="auto"/>
                    <w:bottom w:val="none" w:sz="0" w:space="0" w:color="auto"/>
                    <w:right w:val="none" w:sz="0" w:space="0" w:color="auto"/>
                  </w:divBdr>
                  <w:divsChild>
                    <w:div w:id="10229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97922">
      <w:bodyDiv w:val="1"/>
      <w:marLeft w:val="0"/>
      <w:marRight w:val="0"/>
      <w:marTop w:val="0"/>
      <w:marBottom w:val="0"/>
      <w:divBdr>
        <w:top w:val="none" w:sz="0" w:space="0" w:color="auto"/>
        <w:left w:val="none" w:sz="0" w:space="0" w:color="auto"/>
        <w:bottom w:val="none" w:sz="0" w:space="0" w:color="auto"/>
        <w:right w:val="none" w:sz="0" w:space="0" w:color="auto"/>
      </w:divBdr>
    </w:div>
    <w:div w:id="2052805038">
      <w:bodyDiv w:val="1"/>
      <w:marLeft w:val="0"/>
      <w:marRight w:val="0"/>
      <w:marTop w:val="0"/>
      <w:marBottom w:val="0"/>
      <w:divBdr>
        <w:top w:val="none" w:sz="0" w:space="0" w:color="auto"/>
        <w:left w:val="none" w:sz="0" w:space="0" w:color="auto"/>
        <w:bottom w:val="none" w:sz="0" w:space="0" w:color="auto"/>
        <w:right w:val="none" w:sz="0" w:space="0" w:color="auto"/>
      </w:divBdr>
      <w:divsChild>
        <w:div w:id="1700013575">
          <w:marLeft w:val="0"/>
          <w:marRight w:val="0"/>
          <w:marTop w:val="60"/>
          <w:marBottom w:val="255"/>
          <w:divBdr>
            <w:top w:val="none" w:sz="0" w:space="0" w:color="auto"/>
            <w:left w:val="none" w:sz="0" w:space="0" w:color="auto"/>
            <w:bottom w:val="none" w:sz="0" w:space="0" w:color="auto"/>
            <w:right w:val="none" w:sz="0" w:space="0" w:color="auto"/>
          </w:divBdr>
          <w:divsChild>
            <w:div w:id="1360205468">
              <w:marLeft w:val="0"/>
              <w:marRight w:val="0"/>
              <w:marTop w:val="0"/>
              <w:marBottom w:val="0"/>
              <w:divBdr>
                <w:top w:val="none" w:sz="0" w:space="0" w:color="auto"/>
                <w:left w:val="none" w:sz="0" w:space="0" w:color="auto"/>
                <w:bottom w:val="none" w:sz="0" w:space="0" w:color="auto"/>
                <w:right w:val="none" w:sz="0" w:space="0" w:color="auto"/>
              </w:divBdr>
              <w:divsChild>
                <w:div w:id="192424955">
                  <w:marLeft w:val="0"/>
                  <w:marRight w:val="0"/>
                  <w:marTop w:val="0"/>
                  <w:marBottom w:val="0"/>
                  <w:divBdr>
                    <w:top w:val="none" w:sz="0" w:space="0" w:color="auto"/>
                    <w:left w:val="none" w:sz="0" w:space="0" w:color="auto"/>
                    <w:bottom w:val="none" w:sz="0" w:space="0" w:color="auto"/>
                    <w:right w:val="none" w:sz="0" w:space="0" w:color="auto"/>
                  </w:divBdr>
                  <w:divsChild>
                    <w:div w:id="1209368165">
                      <w:marLeft w:val="0"/>
                      <w:marRight w:val="0"/>
                      <w:marTop w:val="0"/>
                      <w:marBottom w:val="0"/>
                      <w:divBdr>
                        <w:top w:val="none" w:sz="0" w:space="0" w:color="auto"/>
                        <w:left w:val="none" w:sz="0" w:space="0" w:color="auto"/>
                        <w:bottom w:val="none" w:sz="0" w:space="0" w:color="auto"/>
                        <w:right w:val="none" w:sz="0" w:space="0" w:color="auto"/>
                      </w:divBdr>
                      <w:divsChild>
                        <w:div w:id="637883917">
                          <w:marLeft w:val="0"/>
                          <w:marRight w:val="0"/>
                          <w:marTop w:val="0"/>
                          <w:marBottom w:val="0"/>
                          <w:divBdr>
                            <w:top w:val="none" w:sz="0" w:space="0" w:color="auto"/>
                            <w:left w:val="none" w:sz="0" w:space="0" w:color="auto"/>
                            <w:bottom w:val="none" w:sz="0" w:space="0" w:color="auto"/>
                            <w:right w:val="none" w:sz="0" w:space="0" w:color="auto"/>
                          </w:divBdr>
                          <w:divsChild>
                            <w:div w:id="1816944994">
                              <w:marLeft w:val="0"/>
                              <w:marRight w:val="0"/>
                              <w:marTop w:val="0"/>
                              <w:marBottom w:val="0"/>
                              <w:divBdr>
                                <w:top w:val="none" w:sz="0" w:space="0" w:color="auto"/>
                                <w:left w:val="none" w:sz="0" w:space="0" w:color="auto"/>
                                <w:bottom w:val="none" w:sz="0" w:space="0" w:color="auto"/>
                                <w:right w:val="none" w:sz="0" w:space="0" w:color="auto"/>
                              </w:divBdr>
                              <w:divsChild>
                                <w:div w:id="1555388949">
                                  <w:marLeft w:val="0"/>
                                  <w:marRight w:val="0"/>
                                  <w:marTop w:val="0"/>
                                  <w:marBottom w:val="0"/>
                                  <w:divBdr>
                                    <w:top w:val="none" w:sz="0" w:space="0" w:color="auto"/>
                                    <w:left w:val="none" w:sz="0" w:space="0" w:color="auto"/>
                                    <w:bottom w:val="none" w:sz="0" w:space="0" w:color="auto"/>
                                    <w:right w:val="none" w:sz="0" w:space="0" w:color="auto"/>
                                  </w:divBdr>
                                  <w:divsChild>
                                    <w:div w:id="587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1107">
                              <w:marLeft w:val="0"/>
                              <w:marRight w:val="0"/>
                              <w:marTop w:val="0"/>
                              <w:marBottom w:val="0"/>
                              <w:divBdr>
                                <w:top w:val="none" w:sz="0" w:space="0" w:color="auto"/>
                                <w:left w:val="none" w:sz="0" w:space="0" w:color="auto"/>
                                <w:bottom w:val="none" w:sz="0" w:space="0" w:color="auto"/>
                                <w:right w:val="none" w:sz="0" w:space="0" w:color="auto"/>
                              </w:divBdr>
                              <w:divsChild>
                                <w:div w:id="1859658064">
                                  <w:marLeft w:val="0"/>
                                  <w:marRight w:val="0"/>
                                  <w:marTop w:val="0"/>
                                  <w:marBottom w:val="0"/>
                                  <w:divBdr>
                                    <w:top w:val="none" w:sz="0" w:space="0" w:color="auto"/>
                                    <w:left w:val="none" w:sz="0" w:space="0" w:color="auto"/>
                                    <w:bottom w:val="none" w:sz="0" w:space="0" w:color="auto"/>
                                    <w:right w:val="none" w:sz="0" w:space="0" w:color="auto"/>
                                  </w:divBdr>
                                  <w:divsChild>
                                    <w:div w:id="1425513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799441">
      <w:bodyDiv w:val="1"/>
      <w:marLeft w:val="0"/>
      <w:marRight w:val="0"/>
      <w:marTop w:val="0"/>
      <w:marBottom w:val="0"/>
      <w:divBdr>
        <w:top w:val="none" w:sz="0" w:space="0" w:color="auto"/>
        <w:left w:val="none" w:sz="0" w:space="0" w:color="auto"/>
        <w:bottom w:val="none" w:sz="0" w:space="0" w:color="auto"/>
        <w:right w:val="none" w:sz="0" w:space="0" w:color="auto"/>
      </w:divBdr>
    </w:div>
    <w:div w:id="2053847839">
      <w:bodyDiv w:val="1"/>
      <w:marLeft w:val="0"/>
      <w:marRight w:val="0"/>
      <w:marTop w:val="0"/>
      <w:marBottom w:val="0"/>
      <w:divBdr>
        <w:top w:val="none" w:sz="0" w:space="0" w:color="auto"/>
        <w:left w:val="none" w:sz="0" w:space="0" w:color="auto"/>
        <w:bottom w:val="none" w:sz="0" w:space="0" w:color="auto"/>
        <w:right w:val="none" w:sz="0" w:space="0" w:color="auto"/>
      </w:divBdr>
      <w:divsChild>
        <w:div w:id="803235970">
          <w:marLeft w:val="0"/>
          <w:marRight w:val="0"/>
          <w:marTop w:val="0"/>
          <w:marBottom w:val="0"/>
          <w:divBdr>
            <w:top w:val="none" w:sz="0" w:space="0" w:color="auto"/>
            <w:left w:val="none" w:sz="0" w:space="0" w:color="auto"/>
            <w:bottom w:val="none" w:sz="0" w:space="0" w:color="auto"/>
            <w:right w:val="none" w:sz="0" w:space="0" w:color="auto"/>
          </w:divBdr>
          <w:divsChild>
            <w:div w:id="548495458">
              <w:marLeft w:val="0"/>
              <w:marRight w:val="0"/>
              <w:marTop w:val="0"/>
              <w:marBottom w:val="0"/>
              <w:divBdr>
                <w:top w:val="none" w:sz="0" w:space="0" w:color="auto"/>
                <w:left w:val="none" w:sz="0" w:space="0" w:color="auto"/>
                <w:bottom w:val="none" w:sz="0" w:space="0" w:color="auto"/>
                <w:right w:val="none" w:sz="0" w:space="0" w:color="auto"/>
              </w:divBdr>
              <w:divsChild>
                <w:div w:id="9963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20944">
      <w:bodyDiv w:val="1"/>
      <w:marLeft w:val="0"/>
      <w:marRight w:val="0"/>
      <w:marTop w:val="0"/>
      <w:marBottom w:val="0"/>
      <w:divBdr>
        <w:top w:val="none" w:sz="0" w:space="0" w:color="auto"/>
        <w:left w:val="none" w:sz="0" w:space="0" w:color="auto"/>
        <w:bottom w:val="none" w:sz="0" w:space="0" w:color="auto"/>
        <w:right w:val="none" w:sz="0" w:space="0" w:color="auto"/>
      </w:divBdr>
    </w:div>
    <w:div w:id="2057459912">
      <w:bodyDiv w:val="1"/>
      <w:marLeft w:val="0"/>
      <w:marRight w:val="0"/>
      <w:marTop w:val="0"/>
      <w:marBottom w:val="0"/>
      <w:divBdr>
        <w:top w:val="none" w:sz="0" w:space="0" w:color="auto"/>
        <w:left w:val="none" w:sz="0" w:space="0" w:color="auto"/>
        <w:bottom w:val="none" w:sz="0" w:space="0" w:color="auto"/>
        <w:right w:val="none" w:sz="0" w:space="0" w:color="auto"/>
      </w:divBdr>
    </w:div>
    <w:div w:id="2062096160">
      <w:bodyDiv w:val="1"/>
      <w:marLeft w:val="0"/>
      <w:marRight w:val="0"/>
      <w:marTop w:val="0"/>
      <w:marBottom w:val="0"/>
      <w:divBdr>
        <w:top w:val="none" w:sz="0" w:space="0" w:color="auto"/>
        <w:left w:val="none" w:sz="0" w:space="0" w:color="auto"/>
        <w:bottom w:val="none" w:sz="0" w:space="0" w:color="auto"/>
        <w:right w:val="none" w:sz="0" w:space="0" w:color="auto"/>
      </w:divBdr>
      <w:divsChild>
        <w:div w:id="1022903204">
          <w:marLeft w:val="0"/>
          <w:marRight w:val="0"/>
          <w:marTop w:val="0"/>
          <w:marBottom w:val="0"/>
          <w:divBdr>
            <w:top w:val="none" w:sz="0" w:space="0" w:color="auto"/>
            <w:left w:val="none" w:sz="0" w:space="0" w:color="auto"/>
            <w:bottom w:val="none" w:sz="0" w:space="0" w:color="auto"/>
            <w:right w:val="none" w:sz="0" w:space="0" w:color="auto"/>
          </w:divBdr>
          <w:divsChild>
            <w:div w:id="1097754146">
              <w:marLeft w:val="0"/>
              <w:marRight w:val="0"/>
              <w:marTop w:val="0"/>
              <w:marBottom w:val="0"/>
              <w:divBdr>
                <w:top w:val="none" w:sz="0" w:space="0" w:color="auto"/>
                <w:left w:val="none" w:sz="0" w:space="0" w:color="auto"/>
                <w:bottom w:val="none" w:sz="0" w:space="0" w:color="auto"/>
                <w:right w:val="none" w:sz="0" w:space="0" w:color="auto"/>
              </w:divBdr>
              <w:divsChild>
                <w:div w:id="959216520">
                  <w:marLeft w:val="0"/>
                  <w:marRight w:val="0"/>
                  <w:marTop w:val="0"/>
                  <w:marBottom w:val="0"/>
                  <w:divBdr>
                    <w:top w:val="none" w:sz="0" w:space="0" w:color="auto"/>
                    <w:left w:val="none" w:sz="0" w:space="0" w:color="auto"/>
                    <w:bottom w:val="none" w:sz="0" w:space="0" w:color="auto"/>
                    <w:right w:val="none" w:sz="0" w:space="0" w:color="auto"/>
                  </w:divBdr>
                  <w:divsChild>
                    <w:div w:id="13562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71406">
      <w:bodyDiv w:val="1"/>
      <w:marLeft w:val="0"/>
      <w:marRight w:val="0"/>
      <w:marTop w:val="0"/>
      <w:marBottom w:val="0"/>
      <w:divBdr>
        <w:top w:val="none" w:sz="0" w:space="0" w:color="auto"/>
        <w:left w:val="none" w:sz="0" w:space="0" w:color="auto"/>
        <w:bottom w:val="none" w:sz="0" w:space="0" w:color="auto"/>
        <w:right w:val="none" w:sz="0" w:space="0" w:color="auto"/>
      </w:divBdr>
      <w:divsChild>
        <w:div w:id="1548223805">
          <w:marLeft w:val="0"/>
          <w:marRight w:val="0"/>
          <w:marTop w:val="0"/>
          <w:marBottom w:val="0"/>
          <w:divBdr>
            <w:top w:val="none" w:sz="0" w:space="0" w:color="auto"/>
            <w:left w:val="none" w:sz="0" w:space="0" w:color="auto"/>
            <w:bottom w:val="none" w:sz="0" w:space="0" w:color="auto"/>
            <w:right w:val="none" w:sz="0" w:space="0" w:color="auto"/>
          </w:divBdr>
          <w:divsChild>
            <w:div w:id="1984503759">
              <w:marLeft w:val="0"/>
              <w:marRight w:val="0"/>
              <w:marTop w:val="0"/>
              <w:marBottom w:val="0"/>
              <w:divBdr>
                <w:top w:val="none" w:sz="0" w:space="0" w:color="auto"/>
                <w:left w:val="none" w:sz="0" w:space="0" w:color="auto"/>
                <w:bottom w:val="none" w:sz="0" w:space="0" w:color="auto"/>
                <w:right w:val="none" w:sz="0" w:space="0" w:color="auto"/>
              </w:divBdr>
              <w:divsChild>
                <w:div w:id="441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55177">
      <w:bodyDiv w:val="1"/>
      <w:marLeft w:val="0"/>
      <w:marRight w:val="0"/>
      <w:marTop w:val="0"/>
      <w:marBottom w:val="0"/>
      <w:divBdr>
        <w:top w:val="none" w:sz="0" w:space="0" w:color="auto"/>
        <w:left w:val="none" w:sz="0" w:space="0" w:color="auto"/>
        <w:bottom w:val="none" w:sz="0" w:space="0" w:color="auto"/>
        <w:right w:val="none" w:sz="0" w:space="0" w:color="auto"/>
      </w:divBdr>
    </w:div>
    <w:div w:id="2070807079">
      <w:bodyDiv w:val="1"/>
      <w:marLeft w:val="0"/>
      <w:marRight w:val="0"/>
      <w:marTop w:val="0"/>
      <w:marBottom w:val="0"/>
      <w:divBdr>
        <w:top w:val="none" w:sz="0" w:space="0" w:color="auto"/>
        <w:left w:val="none" w:sz="0" w:space="0" w:color="auto"/>
        <w:bottom w:val="none" w:sz="0" w:space="0" w:color="auto"/>
        <w:right w:val="none" w:sz="0" w:space="0" w:color="auto"/>
      </w:divBdr>
      <w:divsChild>
        <w:div w:id="1543858387">
          <w:marLeft w:val="0"/>
          <w:marRight w:val="0"/>
          <w:marTop w:val="0"/>
          <w:marBottom w:val="0"/>
          <w:divBdr>
            <w:top w:val="none" w:sz="0" w:space="0" w:color="auto"/>
            <w:left w:val="none" w:sz="0" w:space="0" w:color="auto"/>
            <w:bottom w:val="none" w:sz="0" w:space="0" w:color="auto"/>
            <w:right w:val="none" w:sz="0" w:space="0" w:color="auto"/>
          </w:divBdr>
          <w:divsChild>
            <w:div w:id="1303346821">
              <w:marLeft w:val="0"/>
              <w:marRight w:val="0"/>
              <w:marTop w:val="0"/>
              <w:marBottom w:val="0"/>
              <w:divBdr>
                <w:top w:val="none" w:sz="0" w:space="0" w:color="auto"/>
                <w:left w:val="none" w:sz="0" w:space="0" w:color="auto"/>
                <w:bottom w:val="none" w:sz="0" w:space="0" w:color="auto"/>
                <w:right w:val="none" w:sz="0" w:space="0" w:color="auto"/>
              </w:divBdr>
              <w:divsChild>
                <w:div w:id="6634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8900">
      <w:bodyDiv w:val="1"/>
      <w:marLeft w:val="0"/>
      <w:marRight w:val="0"/>
      <w:marTop w:val="0"/>
      <w:marBottom w:val="0"/>
      <w:divBdr>
        <w:top w:val="none" w:sz="0" w:space="0" w:color="auto"/>
        <w:left w:val="none" w:sz="0" w:space="0" w:color="auto"/>
        <w:bottom w:val="none" w:sz="0" w:space="0" w:color="auto"/>
        <w:right w:val="none" w:sz="0" w:space="0" w:color="auto"/>
      </w:divBdr>
    </w:div>
    <w:div w:id="2076512427">
      <w:bodyDiv w:val="1"/>
      <w:marLeft w:val="0"/>
      <w:marRight w:val="0"/>
      <w:marTop w:val="0"/>
      <w:marBottom w:val="0"/>
      <w:divBdr>
        <w:top w:val="none" w:sz="0" w:space="0" w:color="auto"/>
        <w:left w:val="none" w:sz="0" w:space="0" w:color="auto"/>
        <w:bottom w:val="none" w:sz="0" w:space="0" w:color="auto"/>
        <w:right w:val="none" w:sz="0" w:space="0" w:color="auto"/>
      </w:divBdr>
    </w:div>
    <w:div w:id="2078897166">
      <w:bodyDiv w:val="1"/>
      <w:marLeft w:val="0"/>
      <w:marRight w:val="0"/>
      <w:marTop w:val="0"/>
      <w:marBottom w:val="0"/>
      <w:divBdr>
        <w:top w:val="none" w:sz="0" w:space="0" w:color="auto"/>
        <w:left w:val="none" w:sz="0" w:space="0" w:color="auto"/>
        <w:bottom w:val="none" w:sz="0" w:space="0" w:color="auto"/>
        <w:right w:val="none" w:sz="0" w:space="0" w:color="auto"/>
      </w:divBdr>
    </w:div>
    <w:div w:id="2079396788">
      <w:bodyDiv w:val="1"/>
      <w:marLeft w:val="0"/>
      <w:marRight w:val="0"/>
      <w:marTop w:val="0"/>
      <w:marBottom w:val="0"/>
      <w:divBdr>
        <w:top w:val="none" w:sz="0" w:space="0" w:color="auto"/>
        <w:left w:val="none" w:sz="0" w:space="0" w:color="auto"/>
        <w:bottom w:val="none" w:sz="0" w:space="0" w:color="auto"/>
        <w:right w:val="none" w:sz="0" w:space="0" w:color="auto"/>
      </w:divBdr>
    </w:div>
    <w:div w:id="2080982254">
      <w:bodyDiv w:val="1"/>
      <w:marLeft w:val="0"/>
      <w:marRight w:val="0"/>
      <w:marTop w:val="0"/>
      <w:marBottom w:val="0"/>
      <w:divBdr>
        <w:top w:val="none" w:sz="0" w:space="0" w:color="auto"/>
        <w:left w:val="none" w:sz="0" w:space="0" w:color="auto"/>
        <w:bottom w:val="none" w:sz="0" w:space="0" w:color="auto"/>
        <w:right w:val="none" w:sz="0" w:space="0" w:color="auto"/>
      </w:divBdr>
      <w:divsChild>
        <w:div w:id="1649699478">
          <w:marLeft w:val="0"/>
          <w:marRight w:val="0"/>
          <w:marTop w:val="0"/>
          <w:marBottom w:val="0"/>
          <w:divBdr>
            <w:top w:val="none" w:sz="0" w:space="0" w:color="auto"/>
            <w:left w:val="none" w:sz="0" w:space="0" w:color="auto"/>
            <w:bottom w:val="none" w:sz="0" w:space="0" w:color="auto"/>
            <w:right w:val="none" w:sz="0" w:space="0" w:color="auto"/>
          </w:divBdr>
          <w:divsChild>
            <w:div w:id="672339201">
              <w:marLeft w:val="0"/>
              <w:marRight w:val="0"/>
              <w:marTop w:val="0"/>
              <w:marBottom w:val="0"/>
              <w:divBdr>
                <w:top w:val="none" w:sz="0" w:space="0" w:color="auto"/>
                <w:left w:val="none" w:sz="0" w:space="0" w:color="auto"/>
                <w:bottom w:val="none" w:sz="0" w:space="0" w:color="auto"/>
                <w:right w:val="none" w:sz="0" w:space="0" w:color="auto"/>
              </w:divBdr>
              <w:divsChild>
                <w:div w:id="933199388">
                  <w:marLeft w:val="0"/>
                  <w:marRight w:val="0"/>
                  <w:marTop w:val="0"/>
                  <w:marBottom w:val="0"/>
                  <w:divBdr>
                    <w:top w:val="none" w:sz="0" w:space="0" w:color="auto"/>
                    <w:left w:val="none" w:sz="0" w:space="0" w:color="auto"/>
                    <w:bottom w:val="none" w:sz="0" w:space="0" w:color="auto"/>
                    <w:right w:val="none" w:sz="0" w:space="0" w:color="auto"/>
                  </w:divBdr>
                  <w:divsChild>
                    <w:div w:id="12939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56968">
          <w:marLeft w:val="0"/>
          <w:marRight w:val="0"/>
          <w:marTop w:val="0"/>
          <w:marBottom w:val="0"/>
          <w:divBdr>
            <w:top w:val="none" w:sz="0" w:space="0" w:color="auto"/>
            <w:left w:val="none" w:sz="0" w:space="0" w:color="auto"/>
            <w:bottom w:val="none" w:sz="0" w:space="0" w:color="auto"/>
            <w:right w:val="none" w:sz="0" w:space="0" w:color="auto"/>
          </w:divBdr>
          <w:divsChild>
            <w:div w:id="795564078">
              <w:marLeft w:val="0"/>
              <w:marRight w:val="0"/>
              <w:marTop w:val="0"/>
              <w:marBottom w:val="0"/>
              <w:divBdr>
                <w:top w:val="none" w:sz="0" w:space="0" w:color="auto"/>
                <w:left w:val="none" w:sz="0" w:space="0" w:color="auto"/>
                <w:bottom w:val="none" w:sz="0" w:space="0" w:color="auto"/>
                <w:right w:val="none" w:sz="0" w:space="0" w:color="auto"/>
              </w:divBdr>
              <w:divsChild>
                <w:div w:id="1851868723">
                  <w:marLeft w:val="0"/>
                  <w:marRight w:val="0"/>
                  <w:marTop w:val="0"/>
                  <w:marBottom w:val="0"/>
                  <w:divBdr>
                    <w:top w:val="none" w:sz="0" w:space="0" w:color="auto"/>
                    <w:left w:val="none" w:sz="0" w:space="0" w:color="auto"/>
                    <w:bottom w:val="none" w:sz="0" w:space="0" w:color="auto"/>
                    <w:right w:val="none" w:sz="0" w:space="0" w:color="auto"/>
                  </w:divBdr>
                  <w:divsChild>
                    <w:div w:id="9189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99325">
      <w:bodyDiv w:val="1"/>
      <w:marLeft w:val="0"/>
      <w:marRight w:val="0"/>
      <w:marTop w:val="0"/>
      <w:marBottom w:val="0"/>
      <w:divBdr>
        <w:top w:val="none" w:sz="0" w:space="0" w:color="auto"/>
        <w:left w:val="none" w:sz="0" w:space="0" w:color="auto"/>
        <w:bottom w:val="none" w:sz="0" w:space="0" w:color="auto"/>
        <w:right w:val="none" w:sz="0" w:space="0" w:color="auto"/>
      </w:divBdr>
    </w:div>
    <w:div w:id="2085028059">
      <w:bodyDiv w:val="1"/>
      <w:marLeft w:val="0"/>
      <w:marRight w:val="0"/>
      <w:marTop w:val="0"/>
      <w:marBottom w:val="0"/>
      <w:divBdr>
        <w:top w:val="none" w:sz="0" w:space="0" w:color="auto"/>
        <w:left w:val="none" w:sz="0" w:space="0" w:color="auto"/>
        <w:bottom w:val="none" w:sz="0" w:space="0" w:color="auto"/>
        <w:right w:val="none" w:sz="0" w:space="0" w:color="auto"/>
      </w:divBdr>
      <w:divsChild>
        <w:div w:id="1147626806">
          <w:marLeft w:val="0"/>
          <w:marRight w:val="0"/>
          <w:marTop w:val="0"/>
          <w:marBottom w:val="0"/>
          <w:divBdr>
            <w:top w:val="none" w:sz="0" w:space="0" w:color="auto"/>
            <w:left w:val="none" w:sz="0" w:space="0" w:color="auto"/>
            <w:bottom w:val="none" w:sz="0" w:space="0" w:color="auto"/>
            <w:right w:val="none" w:sz="0" w:space="0" w:color="auto"/>
          </w:divBdr>
        </w:div>
        <w:div w:id="1767654738">
          <w:marLeft w:val="0"/>
          <w:marRight w:val="0"/>
          <w:marTop w:val="0"/>
          <w:marBottom w:val="0"/>
          <w:divBdr>
            <w:top w:val="none" w:sz="0" w:space="0" w:color="auto"/>
            <w:left w:val="none" w:sz="0" w:space="0" w:color="auto"/>
            <w:bottom w:val="none" w:sz="0" w:space="0" w:color="auto"/>
            <w:right w:val="none" w:sz="0" w:space="0" w:color="auto"/>
          </w:divBdr>
        </w:div>
        <w:div w:id="1909457266">
          <w:marLeft w:val="0"/>
          <w:marRight w:val="0"/>
          <w:marTop w:val="0"/>
          <w:marBottom w:val="0"/>
          <w:divBdr>
            <w:top w:val="none" w:sz="0" w:space="0" w:color="auto"/>
            <w:left w:val="none" w:sz="0" w:space="0" w:color="auto"/>
            <w:bottom w:val="none" w:sz="0" w:space="0" w:color="auto"/>
            <w:right w:val="none" w:sz="0" w:space="0" w:color="auto"/>
          </w:divBdr>
        </w:div>
      </w:divsChild>
    </w:div>
    <w:div w:id="2086412988">
      <w:bodyDiv w:val="1"/>
      <w:marLeft w:val="0"/>
      <w:marRight w:val="0"/>
      <w:marTop w:val="0"/>
      <w:marBottom w:val="0"/>
      <w:divBdr>
        <w:top w:val="none" w:sz="0" w:space="0" w:color="auto"/>
        <w:left w:val="none" w:sz="0" w:space="0" w:color="auto"/>
        <w:bottom w:val="none" w:sz="0" w:space="0" w:color="auto"/>
        <w:right w:val="none" w:sz="0" w:space="0" w:color="auto"/>
      </w:divBdr>
    </w:div>
    <w:div w:id="2087455572">
      <w:bodyDiv w:val="1"/>
      <w:marLeft w:val="0"/>
      <w:marRight w:val="0"/>
      <w:marTop w:val="0"/>
      <w:marBottom w:val="0"/>
      <w:divBdr>
        <w:top w:val="none" w:sz="0" w:space="0" w:color="auto"/>
        <w:left w:val="none" w:sz="0" w:space="0" w:color="auto"/>
        <w:bottom w:val="none" w:sz="0" w:space="0" w:color="auto"/>
        <w:right w:val="none" w:sz="0" w:space="0" w:color="auto"/>
      </w:divBdr>
    </w:div>
    <w:div w:id="2090733635">
      <w:bodyDiv w:val="1"/>
      <w:marLeft w:val="0"/>
      <w:marRight w:val="0"/>
      <w:marTop w:val="0"/>
      <w:marBottom w:val="0"/>
      <w:divBdr>
        <w:top w:val="none" w:sz="0" w:space="0" w:color="auto"/>
        <w:left w:val="none" w:sz="0" w:space="0" w:color="auto"/>
        <w:bottom w:val="none" w:sz="0" w:space="0" w:color="auto"/>
        <w:right w:val="none" w:sz="0" w:space="0" w:color="auto"/>
      </w:divBdr>
    </w:div>
    <w:div w:id="2092846793">
      <w:bodyDiv w:val="1"/>
      <w:marLeft w:val="0"/>
      <w:marRight w:val="0"/>
      <w:marTop w:val="0"/>
      <w:marBottom w:val="0"/>
      <w:divBdr>
        <w:top w:val="none" w:sz="0" w:space="0" w:color="auto"/>
        <w:left w:val="none" w:sz="0" w:space="0" w:color="auto"/>
        <w:bottom w:val="none" w:sz="0" w:space="0" w:color="auto"/>
        <w:right w:val="none" w:sz="0" w:space="0" w:color="auto"/>
      </w:divBdr>
      <w:divsChild>
        <w:div w:id="1391803479">
          <w:marLeft w:val="0"/>
          <w:marRight w:val="0"/>
          <w:marTop w:val="0"/>
          <w:marBottom w:val="0"/>
          <w:divBdr>
            <w:top w:val="none" w:sz="0" w:space="0" w:color="auto"/>
            <w:left w:val="none" w:sz="0" w:space="0" w:color="auto"/>
            <w:bottom w:val="none" w:sz="0" w:space="0" w:color="auto"/>
            <w:right w:val="none" w:sz="0" w:space="0" w:color="auto"/>
          </w:divBdr>
          <w:divsChild>
            <w:div w:id="941646337">
              <w:marLeft w:val="0"/>
              <w:marRight w:val="0"/>
              <w:marTop w:val="0"/>
              <w:marBottom w:val="0"/>
              <w:divBdr>
                <w:top w:val="none" w:sz="0" w:space="0" w:color="auto"/>
                <w:left w:val="none" w:sz="0" w:space="0" w:color="auto"/>
                <w:bottom w:val="none" w:sz="0" w:space="0" w:color="auto"/>
                <w:right w:val="none" w:sz="0" w:space="0" w:color="auto"/>
              </w:divBdr>
              <w:divsChild>
                <w:div w:id="1589801957">
                  <w:marLeft w:val="0"/>
                  <w:marRight w:val="0"/>
                  <w:marTop w:val="0"/>
                  <w:marBottom w:val="0"/>
                  <w:divBdr>
                    <w:top w:val="none" w:sz="0" w:space="0" w:color="auto"/>
                    <w:left w:val="none" w:sz="0" w:space="0" w:color="auto"/>
                    <w:bottom w:val="none" w:sz="0" w:space="0" w:color="auto"/>
                    <w:right w:val="none" w:sz="0" w:space="0" w:color="auto"/>
                  </w:divBdr>
                  <w:divsChild>
                    <w:div w:id="3341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893457">
      <w:bodyDiv w:val="1"/>
      <w:marLeft w:val="0"/>
      <w:marRight w:val="0"/>
      <w:marTop w:val="0"/>
      <w:marBottom w:val="0"/>
      <w:divBdr>
        <w:top w:val="none" w:sz="0" w:space="0" w:color="auto"/>
        <w:left w:val="none" w:sz="0" w:space="0" w:color="auto"/>
        <w:bottom w:val="none" w:sz="0" w:space="0" w:color="auto"/>
        <w:right w:val="none" w:sz="0" w:space="0" w:color="auto"/>
      </w:divBdr>
    </w:div>
    <w:div w:id="2095204597">
      <w:bodyDiv w:val="1"/>
      <w:marLeft w:val="0"/>
      <w:marRight w:val="0"/>
      <w:marTop w:val="0"/>
      <w:marBottom w:val="0"/>
      <w:divBdr>
        <w:top w:val="none" w:sz="0" w:space="0" w:color="auto"/>
        <w:left w:val="none" w:sz="0" w:space="0" w:color="auto"/>
        <w:bottom w:val="none" w:sz="0" w:space="0" w:color="auto"/>
        <w:right w:val="none" w:sz="0" w:space="0" w:color="auto"/>
      </w:divBdr>
    </w:div>
    <w:div w:id="2101371242">
      <w:bodyDiv w:val="1"/>
      <w:marLeft w:val="0"/>
      <w:marRight w:val="0"/>
      <w:marTop w:val="0"/>
      <w:marBottom w:val="0"/>
      <w:divBdr>
        <w:top w:val="none" w:sz="0" w:space="0" w:color="auto"/>
        <w:left w:val="none" w:sz="0" w:space="0" w:color="auto"/>
        <w:bottom w:val="none" w:sz="0" w:space="0" w:color="auto"/>
        <w:right w:val="none" w:sz="0" w:space="0" w:color="auto"/>
      </w:divBdr>
      <w:divsChild>
        <w:div w:id="1171329866">
          <w:marLeft w:val="0"/>
          <w:marRight w:val="0"/>
          <w:marTop w:val="0"/>
          <w:marBottom w:val="0"/>
          <w:divBdr>
            <w:top w:val="none" w:sz="0" w:space="0" w:color="auto"/>
            <w:left w:val="none" w:sz="0" w:space="0" w:color="auto"/>
            <w:bottom w:val="none" w:sz="0" w:space="0" w:color="auto"/>
            <w:right w:val="none" w:sz="0" w:space="0" w:color="auto"/>
          </w:divBdr>
          <w:divsChild>
            <w:div w:id="1609660179">
              <w:marLeft w:val="0"/>
              <w:marRight w:val="0"/>
              <w:marTop w:val="0"/>
              <w:marBottom w:val="0"/>
              <w:divBdr>
                <w:top w:val="none" w:sz="0" w:space="0" w:color="auto"/>
                <w:left w:val="none" w:sz="0" w:space="0" w:color="auto"/>
                <w:bottom w:val="none" w:sz="0" w:space="0" w:color="auto"/>
                <w:right w:val="none" w:sz="0" w:space="0" w:color="auto"/>
              </w:divBdr>
              <w:divsChild>
                <w:div w:id="7176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93434">
      <w:bodyDiv w:val="1"/>
      <w:marLeft w:val="0"/>
      <w:marRight w:val="0"/>
      <w:marTop w:val="0"/>
      <w:marBottom w:val="0"/>
      <w:divBdr>
        <w:top w:val="none" w:sz="0" w:space="0" w:color="auto"/>
        <w:left w:val="none" w:sz="0" w:space="0" w:color="auto"/>
        <w:bottom w:val="none" w:sz="0" w:space="0" w:color="auto"/>
        <w:right w:val="none" w:sz="0" w:space="0" w:color="auto"/>
      </w:divBdr>
      <w:divsChild>
        <w:div w:id="1537959653">
          <w:marLeft w:val="0"/>
          <w:marRight w:val="0"/>
          <w:marTop w:val="0"/>
          <w:marBottom w:val="0"/>
          <w:divBdr>
            <w:top w:val="none" w:sz="0" w:space="0" w:color="auto"/>
            <w:left w:val="none" w:sz="0" w:space="0" w:color="auto"/>
            <w:bottom w:val="none" w:sz="0" w:space="0" w:color="auto"/>
            <w:right w:val="none" w:sz="0" w:space="0" w:color="auto"/>
          </w:divBdr>
          <w:divsChild>
            <w:div w:id="2006319376">
              <w:marLeft w:val="0"/>
              <w:marRight w:val="0"/>
              <w:marTop w:val="0"/>
              <w:marBottom w:val="0"/>
              <w:divBdr>
                <w:top w:val="none" w:sz="0" w:space="0" w:color="auto"/>
                <w:left w:val="none" w:sz="0" w:space="0" w:color="auto"/>
                <w:bottom w:val="none" w:sz="0" w:space="0" w:color="auto"/>
                <w:right w:val="none" w:sz="0" w:space="0" w:color="auto"/>
              </w:divBdr>
              <w:divsChild>
                <w:div w:id="12451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8526">
      <w:bodyDiv w:val="1"/>
      <w:marLeft w:val="0"/>
      <w:marRight w:val="0"/>
      <w:marTop w:val="0"/>
      <w:marBottom w:val="0"/>
      <w:divBdr>
        <w:top w:val="none" w:sz="0" w:space="0" w:color="auto"/>
        <w:left w:val="none" w:sz="0" w:space="0" w:color="auto"/>
        <w:bottom w:val="none" w:sz="0" w:space="0" w:color="auto"/>
        <w:right w:val="none" w:sz="0" w:space="0" w:color="auto"/>
      </w:divBdr>
    </w:div>
    <w:div w:id="2105609785">
      <w:bodyDiv w:val="1"/>
      <w:marLeft w:val="0"/>
      <w:marRight w:val="0"/>
      <w:marTop w:val="0"/>
      <w:marBottom w:val="0"/>
      <w:divBdr>
        <w:top w:val="none" w:sz="0" w:space="0" w:color="auto"/>
        <w:left w:val="none" w:sz="0" w:space="0" w:color="auto"/>
        <w:bottom w:val="none" w:sz="0" w:space="0" w:color="auto"/>
        <w:right w:val="none" w:sz="0" w:space="0" w:color="auto"/>
      </w:divBdr>
    </w:div>
    <w:div w:id="2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968243401">
          <w:marLeft w:val="0"/>
          <w:marRight w:val="0"/>
          <w:marTop w:val="0"/>
          <w:marBottom w:val="0"/>
          <w:divBdr>
            <w:top w:val="none" w:sz="0" w:space="0" w:color="auto"/>
            <w:left w:val="none" w:sz="0" w:space="0" w:color="auto"/>
            <w:bottom w:val="none" w:sz="0" w:space="0" w:color="auto"/>
            <w:right w:val="none" w:sz="0" w:space="0" w:color="auto"/>
          </w:divBdr>
          <w:divsChild>
            <w:div w:id="1122113219">
              <w:marLeft w:val="0"/>
              <w:marRight w:val="0"/>
              <w:marTop w:val="0"/>
              <w:marBottom w:val="0"/>
              <w:divBdr>
                <w:top w:val="none" w:sz="0" w:space="0" w:color="auto"/>
                <w:left w:val="none" w:sz="0" w:space="0" w:color="auto"/>
                <w:bottom w:val="none" w:sz="0" w:space="0" w:color="auto"/>
                <w:right w:val="none" w:sz="0" w:space="0" w:color="auto"/>
              </w:divBdr>
              <w:divsChild>
                <w:div w:id="9778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9877">
      <w:bodyDiv w:val="1"/>
      <w:marLeft w:val="0"/>
      <w:marRight w:val="0"/>
      <w:marTop w:val="0"/>
      <w:marBottom w:val="0"/>
      <w:divBdr>
        <w:top w:val="none" w:sz="0" w:space="0" w:color="auto"/>
        <w:left w:val="none" w:sz="0" w:space="0" w:color="auto"/>
        <w:bottom w:val="none" w:sz="0" w:space="0" w:color="auto"/>
        <w:right w:val="none" w:sz="0" w:space="0" w:color="auto"/>
      </w:divBdr>
      <w:divsChild>
        <w:div w:id="867791166">
          <w:marLeft w:val="0"/>
          <w:marRight w:val="0"/>
          <w:marTop w:val="0"/>
          <w:marBottom w:val="0"/>
          <w:divBdr>
            <w:top w:val="none" w:sz="0" w:space="0" w:color="auto"/>
            <w:left w:val="none" w:sz="0" w:space="0" w:color="auto"/>
            <w:bottom w:val="none" w:sz="0" w:space="0" w:color="auto"/>
            <w:right w:val="none" w:sz="0" w:space="0" w:color="auto"/>
          </w:divBdr>
          <w:divsChild>
            <w:div w:id="1313635978">
              <w:marLeft w:val="0"/>
              <w:marRight w:val="0"/>
              <w:marTop w:val="0"/>
              <w:marBottom w:val="0"/>
              <w:divBdr>
                <w:top w:val="none" w:sz="0" w:space="0" w:color="auto"/>
                <w:left w:val="none" w:sz="0" w:space="0" w:color="auto"/>
                <w:bottom w:val="none" w:sz="0" w:space="0" w:color="auto"/>
                <w:right w:val="none" w:sz="0" w:space="0" w:color="auto"/>
              </w:divBdr>
              <w:divsChild>
                <w:div w:id="1114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3919">
      <w:bodyDiv w:val="1"/>
      <w:marLeft w:val="0"/>
      <w:marRight w:val="0"/>
      <w:marTop w:val="0"/>
      <w:marBottom w:val="0"/>
      <w:divBdr>
        <w:top w:val="none" w:sz="0" w:space="0" w:color="auto"/>
        <w:left w:val="none" w:sz="0" w:space="0" w:color="auto"/>
        <w:bottom w:val="none" w:sz="0" w:space="0" w:color="auto"/>
        <w:right w:val="none" w:sz="0" w:space="0" w:color="auto"/>
      </w:divBdr>
      <w:divsChild>
        <w:div w:id="1560745712">
          <w:marLeft w:val="0"/>
          <w:marRight w:val="0"/>
          <w:marTop w:val="0"/>
          <w:marBottom w:val="0"/>
          <w:divBdr>
            <w:top w:val="none" w:sz="0" w:space="0" w:color="auto"/>
            <w:left w:val="none" w:sz="0" w:space="0" w:color="auto"/>
            <w:bottom w:val="none" w:sz="0" w:space="0" w:color="auto"/>
            <w:right w:val="none" w:sz="0" w:space="0" w:color="auto"/>
          </w:divBdr>
          <w:divsChild>
            <w:div w:id="1776752887">
              <w:marLeft w:val="0"/>
              <w:marRight w:val="0"/>
              <w:marTop w:val="0"/>
              <w:marBottom w:val="0"/>
              <w:divBdr>
                <w:top w:val="none" w:sz="0" w:space="0" w:color="auto"/>
                <w:left w:val="none" w:sz="0" w:space="0" w:color="auto"/>
                <w:bottom w:val="none" w:sz="0" w:space="0" w:color="auto"/>
                <w:right w:val="none" w:sz="0" w:space="0" w:color="auto"/>
              </w:divBdr>
              <w:divsChild>
                <w:div w:id="21402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9940">
      <w:bodyDiv w:val="1"/>
      <w:marLeft w:val="0"/>
      <w:marRight w:val="0"/>
      <w:marTop w:val="0"/>
      <w:marBottom w:val="0"/>
      <w:divBdr>
        <w:top w:val="none" w:sz="0" w:space="0" w:color="auto"/>
        <w:left w:val="none" w:sz="0" w:space="0" w:color="auto"/>
        <w:bottom w:val="none" w:sz="0" w:space="0" w:color="auto"/>
        <w:right w:val="none" w:sz="0" w:space="0" w:color="auto"/>
      </w:divBdr>
    </w:div>
    <w:div w:id="2112318115">
      <w:bodyDiv w:val="1"/>
      <w:marLeft w:val="0"/>
      <w:marRight w:val="0"/>
      <w:marTop w:val="0"/>
      <w:marBottom w:val="0"/>
      <w:divBdr>
        <w:top w:val="none" w:sz="0" w:space="0" w:color="auto"/>
        <w:left w:val="none" w:sz="0" w:space="0" w:color="auto"/>
        <w:bottom w:val="none" w:sz="0" w:space="0" w:color="auto"/>
        <w:right w:val="none" w:sz="0" w:space="0" w:color="auto"/>
      </w:divBdr>
      <w:divsChild>
        <w:div w:id="1473477282">
          <w:marLeft w:val="0"/>
          <w:marRight w:val="0"/>
          <w:marTop w:val="0"/>
          <w:marBottom w:val="0"/>
          <w:divBdr>
            <w:top w:val="none" w:sz="0" w:space="0" w:color="auto"/>
            <w:left w:val="none" w:sz="0" w:space="0" w:color="auto"/>
            <w:bottom w:val="none" w:sz="0" w:space="0" w:color="auto"/>
            <w:right w:val="none" w:sz="0" w:space="0" w:color="auto"/>
          </w:divBdr>
        </w:div>
        <w:div w:id="1400834445">
          <w:marLeft w:val="0"/>
          <w:marRight w:val="0"/>
          <w:marTop w:val="0"/>
          <w:marBottom w:val="0"/>
          <w:divBdr>
            <w:top w:val="none" w:sz="0" w:space="0" w:color="auto"/>
            <w:left w:val="none" w:sz="0" w:space="0" w:color="auto"/>
            <w:bottom w:val="none" w:sz="0" w:space="0" w:color="auto"/>
            <w:right w:val="none" w:sz="0" w:space="0" w:color="auto"/>
          </w:divBdr>
        </w:div>
      </w:divsChild>
    </w:div>
    <w:div w:id="2112625805">
      <w:bodyDiv w:val="1"/>
      <w:marLeft w:val="0"/>
      <w:marRight w:val="0"/>
      <w:marTop w:val="0"/>
      <w:marBottom w:val="0"/>
      <w:divBdr>
        <w:top w:val="none" w:sz="0" w:space="0" w:color="auto"/>
        <w:left w:val="none" w:sz="0" w:space="0" w:color="auto"/>
        <w:bottom w:val="none" w:sz="0" w:space="0" w:color="auto"/>
        <w:right w:val="none" w:sz="0" w:space="0" w:color="auto"/>
      </w:divBdr>
      <w:divsChild>
        <w:div w:id="1821917048">
          <w:marLeft w:val="0"/>
          <w:marRight w:val="0"/>
          <w:marTop w:val="0"/>
          <w:marBottom w:val="0"/>
          <w:divBdr>
            <w:top w:val="none" w:sz="0" w:space="0" w:color="auto"/>
            <w:left w:val="none" w:sz="0" w:space="0" w:color="auto"/>
            <w:bottom w:val="none" w:sz="0" w:space="0" w:color="auto"/>
            <w:right w:val="none" w:sz="0" w:space="0" w:color="auto"/>
          </w:divBdr>
        </w:div>
        <w:div w:id="2017076493">
          <w:marLeft w:val="0"/>
          <w:marRight w:val="0"/>
          <w:marTop w:val="0"/>
          <w:marBottom w:val="0"/>
          <w:divBdr>
            <w:top w:val="none" w:sz="0" w:space="0" w:color="auto"/>
            <w:left w:val="none" w:sz="0" w:space="0" w:color="auto"/>
            <w:bottom w:val="none" w:sz="0" w:space="0" w:color="auto"/>
            <w:right w:val="none" w:sz="0" w:space="0" w:color="auto"/>
          </w:divBdr>
        </w:div>
      </w:divsChild>
    </w:div>
    <w:div w:id="2115595302">
      <w:bodyDiv w:val="1"/>
      <w:marLeft w:val="0"/>
      <w:marRight w:val="0"/>
      <w:marTop w:val="0"/>
      <w:marBottom w:val="0"/>
      <w:divBdr>
        <w:top w:val="none" w:sz="0" w:space="0" w:color="auto"/>
        <w:left w:val="none" w:sz="0" w:space="0" w:color="auto"/>
        <w:bottom w:val="none" w:sz="0" w:space="0" w:color="auto"/>
        <w:right w:val="none" w:sz="0" w:space="0" w:color="auto"/>
      </w:divBdr>
      <w:divsChild>
        <w:div w:id="1931620288">
          <w:marLeft w:val="0"/>
          <w:marRight w:val="0"/>
          <w:marTop w:val="0"/>
          <w:marBottom w:val="0"/>
          <w:divBdr>
            <w:top w:val="none" w:sz="0" w:space="0" w:color="3D3D3D"/>
            <w:left w:val="none" w:sz="0" w:space="0" w:color="3D3D3D"/>
            <w:bottom w:val="none" w:sz="0" w:space="0" w:color="3D3D3D"/>
            <w:right w:val="none" w:sz="0" w:space="0" w:color="3D3D3D"/>
          </w:divBdr>
        </w:div>
      </w:divsChild>
    </w:div>
    <w:div w:id="2116826675">
      <w:bodyDiv w:val="1"/>
      <w:marLeft w:val="0"/>
      <w:marRight w:val="0"/>
      <w:marTop w:val="0"/>
      <w:marBottom w:val="0"/>
      <w:divBdr>
        <w:top w:val="none" w:sz="0" w:space="0" w:color="auto"/>
        <w:left w:val="none" w:sz="0" w:space="0" w:color="auto"/>
        <w:bottom w:val="none" w:sz="0" w:space="0" w:color="auto"/>
        <w:right w:val="none" w:sz="0" w:space="0" w:color="auto"/>
      </w:divBdr>
      <w:divsChild>
        <w:div w:id="1236933514">
          <w:marLeft w:val="0"/>
          <w:marRight w:val="0"/>
          <w:marTop w:val="0"/>
          <w:marBottom w:val="0"/>
          <w:divBdr>
            <w:top w:val="none" w:sz="0" w:space="0" w:color="auto"/>
            <w:left w:val="none" w:sz="0" w:space="0" w:color="auto"/>
            <w:bottom w:val="none" w:sz="0" w:space="0" w:color="auto"/>
            <w:right w:val="none" w:sz="0" w:space="0" w:color="auto"/>
          </w:divBdr>
          <w:divsChild>
            <w:div w:id="1715689623">
              <w:marLeft w:val="0"/>
              <w:marRight w:val="0"/>
              <w:marTop w:val="0"/>
              <w:marBottom w:val="0"/>
              <w:divBdr>
                <w:top w:val="none" w:sz="0" w:space="0" w:color="auto"/>
                <w:left w:val="none" w:sz="0" w:space="0" w:color="auto"/>
                <w:bottom w:val="none" w:sz="0" w:space="0" w:color="auto"/>
                <w:right w:val="none" w:sz="0" w:space="0" w:color="auto"/>
              </w:divBdr>
              <w:divsChild>
                <w:div w:id="6040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5036">
      <w:bodyDiv w:val="1"/>
      <w:marLeft w:val="0"/>
      <w:marRight w:val="0"/>
      <w:marTop w:val="0"/>
      <w:marBottom w:val="0"/>
      <w:divBdr>
        <w:top w:val="none" w:sz="0" w:space="0" w:color="auto"/>
        <w:left w:val="none" w:sz="0" w:space="0" w:color="auto"/>
        <w:bottom w:val="none" w:sz="0" w:space="0" w:color="auto"/>
        <w:right w:val="none" w:sz="0" w:space="0" w:color="auto"/>
      </w:divBdr>
    </w:div>
    <w:div w:id="2120830465">
      <w:bodyDiv w:val="1"/>
      <w:marLeft w:val="0"/>
      <w:marRight w:val="0"/>
      <w:marTop w:val="0"/>
      <w:marBottom w:val="0"/>
      <w:divBdr>
        <w:top w:val="none" w:sz="0" w:space="0" w:color="auto"/>
        <w:left w:val="none" w:sz="0" w:space="0" w:color="auto"/>
        <w:bottom w:val="none" w:sz="0" w:space="0" w:color="auto"/>
        <w:right w:val="none" w:sz="0" w:space="0" w:color="auto"/>
      </w:divBdr>
    </w:div>
    <w:div w:id="2122911465">
      <w:bodyDiv w:val="1"/>
      <w:marLeft w:val="0"/>
      <w:marRight w:val="0"/>
      <w:marTop w:val="0"/>
      <w:marBottom w:val="0"/>
      <w:divBdr>
        <w:top w:val="none" w:sz="0" w:space="0" w:color="auto"/>
        <w:left w:val="none" w:sz="0" w:space="0" w:color="auto"/>
        <w:bottom w:val="none" w:sz="0" w:space="0" w:color="auto"/>
        <w:right w:val="none" w:sz="0" w:space="0" w:color="auto"/>
      </w:divBdr>
      <w:divsChild>
        <w:div w:id="1753886930">
          <w:marLeft w:val="0"/>
          <w:marRight w:val="0"/>
          <w:marTop w:val="0"/>
          <w:marBottom w:val="0"/>
          <w:divBdr>
            <w:top w:val="none" w:sz="0" w:space="0" w:color="auto"/>
            <w:left w:val="none" w:sz="0" w:space="0" w:color="auto"/>
            <w:bottom w:val="none" w:sz="0" w:space="0" w:color="auto"/>
            <w:right w:val="none" w:sz="0" w:space="0" w:color="auto"/>
          </w:divBdr>
          <w:divsChild>
            <w:div w:id="18431356">
              <w:marLeft w:val="0"/>
              <w:marRight w:val="0"/>
              <w:marTop w:val="0"/>
              <w:marBottom w:val="0"/>
              <w:divBdr>
                <w:top w:val="none" w:sz="0" w:space="0" w:color="auto"/>
                <w:left w:val="none" w:sz="0" w:space="0" w:color="auto"/>
                <w:bottom w:val="none" w:sz="0" w:space="0" w:color="auto"/>
                <w:right w:val="none" w:sz="0" w:space="0" w:color="auto"/>
              </w:divBdr>
              <w:divsChild>
                <w:div w:id="1708026527">
                  <w:marLeft w:val="0"/>
                  <w:marRight w:val="0"/>
                  <w:marTop w:val="0"/>
                  <w:marBottom w:val="0"/>
                  <w:divBdr>
                    <w:top w:val="none" w:sz="0" w:space="0" w:color="auto"/>
                    <w:left w:val="none" w:sz="0" w:space="0" w:color="auto"/>
                    <w:bottom w:val="none" w:sz="0" w:space="0" w:color="auto"/>
                    <w:right w:val="none" w:sz="0" w:space="0" w:color="auto"/>
                  </w:divBdr>
                  <w:divsChild>
                    <w:div w:id="12199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42554">
      <w:bodyDiv w:val="1"/>
      <w:marLeft w:val="0"/>
      <w:marRight w:val="0"/>
      <w:marTop w:val="0"/>
      <w:marBottom w:val="0"/>
      <w:divBdr>
        <w:top w:val="none" w:sz="0" w:space="0" w:color="auto"/>
        <w:left w:val="none" w:sz="0" w:space="0" w:color="auto"/>
        <w:bottom w:val="none" w:sz="0" w:space="0" w:color="auto"/>
        <w:right w:val="none" w:sz="0" w:space="0" w:color="auto"/>
      </w:divBdr>
    </w:div>
    <w:div w:id="2125071637">
      <w:bodyDiv w:val="1"/>
      <w:marLeft w:val="0"/>
      <w:marRight w:val="0"/>
      <w:marTop w:val="0"/>
      <w:marBottom w:val="0"/>
      <w:divBdr>
        <w:top w:val="none" w:sz="0" w:space="0" w:color="auto"/>
        <w:left w:val="none" w:sz="0" w:space="0" w:color="auto"/>
        <w:bottom w:val="none" w:sz="0" w:space="0" w:color="auto"/>
        <w:right w:val="none" w:sz="0" w:space="0" w:color="auto"/>
      </w:divBdr>
    </w:div>
    <w:div w:id="2126342991">
      <w:bodyDiv w:val="1"/>
      <w:marLeft w:val="0"/>
      <w:marRight w:val="0"/>
      <w:marTop w:val="0"/>
      <w:marBottom w:val="0"/>
      <w:divBdr>
        <w:top w:val="none" w:sz="0" w:space="0" w:color="auto"/>
        <w:left w:val="none" w:sz="0" w:space="0" w:color="auto"/>
        <w:bottom w:val="none" w:sz="0" w:space="0" w:color="auto"/>
        <w:right w:val="none" w:sz="0" w:space="0" w:color="auto"/>
      </w:divBdr>
    </w:div>
    <w:div w:id="2129082926">
      <w:bodyDiv w:val="1"/>
      <w:marLeft w:val="0"/>
      <w:marRight w:val="0"/>
      <w:marTop w:val="0"/>
      <w:marBottom w:val="0"/>
      <w:divBdr>
        <w:top w:val="none" w:sz="0" w:space="0" w:color="auto"/>
        <w:left w:val="none" w:sz="0" w:space="0" w:color="auto"/>
        <w:bottom w:val="none" w:sz="0" w:space="0" w:color="auto"/>
        <w:right w:val="none" w:sz="0" w:space="0" w:color="auto"/>
      </w:divBdr>
    </w:div>
    <w:div w:id="2129662143">
      <w:bodyDiv w:val="1"/>
      <w:marLeft w:val="0"/>
      <w:marRight w:val="0"/>
      <w:marTop w:val="0"/>
      <w:marBottom w:val="0"/>
      <w:divBdr>
        <w:top w:val="none" w:sz="0" w:space="0" w:color="auto"/>
        <w:left w:val="none" w:sz="0" w:space="0" w:color="auto"/>
        <w:bottom w:val="none" w:sz="0" w:space="0" w:color="auto"/>
        <w:right w:val="none" w:sz="0" w:space="0" w:color="auto"/>
      </w:divBdr>
    </w:div>
    <w:div w:id="2131170106">
      <w:bodyDiv w:val="1"/>
      <w:marLeft w:val="0"/>
      <w:marRight w:val="0"/>
      <w:marTop w:val="0"/>
      <w:marBottom w:val="0"/>
      <w:divBdr>
        <w:top w:val="none" w:sz="0" w:space="0" w:color="auto"/>
        <w:left w:val="none" w:sz="0" w:space="0" w:color="auto"/>
        <w:bottom w:val="none" w:sz="0" w:space="0" w:color="auto"/>
        <w:right w:val="none" w:sz="0" w:space="0" w:color="auto"/>
      </w:divBdr>
      <w:divsChild>
        <w:div w:id="222645501">
          <w:marLeft w:val="0"/>
          <w:marRight w:val="0"/>
          <w:marTop w:val="0"/>
          <w:marBottom w:val="0"/>
          <w:divBdr>
            <w:top w:val="none" w:sz="0" w:space="0" w:color="auto"/>
            <w:left w:val="none" w:sz="0" w:space="0" w:color="auto"/>
            <w:bottom w:val="none" w:sz="0" w:space="0" w:color="auto"/>
            <w:right w:val="none" w:sz="0" w:space="0" w:color="auto"/>
          </w:divBdr>
          <w:divsChild>
            <w:div w:id="1002009315">
              <w:marLeft w:val="0"/>
              <w:marRight w:val="0"/>
              <w:marTop w:val="0"/>
              <w:marBottom w:val="0"/>
              <w:divBdr>
                <w:top w:val="none" w:sz="0" w:space="0" w:color="auto"/>
                <w:left w:val="none" w:sz="0" w:space="0" w:color="auto"/>
                <w:bottom w:val="none" w:sz="0" w:space="0" w:color="auto"/>
                <w:right w:val="none" w:sz="0" w:space="0" w:color="auto"/>
              </w:divBdr>
              <w:divsChild>
                <w:div w:id="390806547">
                  <w:marLeft w:val="0"/>
                  <w:marRight w:val="0"/>
                  <w:marTop w:val="0"/>
                  <w:marBottom w:val="0"/>
                  <w:divBdr>
                    <w:top w:val="none" w:sz="0" w:space="0" w:color="auto"/>
                    <w:left w:val="none" w:sz="0" w:space="0" w:color="auto"/>
                    <w:bottom w:val="none" w:sz="0" w:space="0" w:color="auto"/>
                    <w:right w:val="none" w:sz="0" w:space="0" w:color="auto"/>
                  </w:divBdr>
                  <w:divsChild>
                    <w:div w:id="11839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8001">
          <w:marLeft w:val="0"/>
          <w:marRight w:val="0"/>
          <w:marTop w:val="0"/>
          <w:marBottom w:val="0"/>
          <w:divBdr>
            <w:top w:val="none" w:sz="0" w:space="0" w:color="auto"/>
            <w:left w:val="none" w:sz="0" w:space="0" w:color="auto"/>
            <w:bottom w:val="none" w:sz="0" w:space="0" w:color="auto"/>
            <w:right w:val="none" w:sz="0" w:space="0" w:color="auto"/>
          </w:divBdr>
          <w:divsChild>
            <w:div w:id="420950219">
              <w:marLeft w:val="0"/>
              <w:marRight w:val="0"/>
              <w:marTop w:val="0"/>
              <w:marBottom w:val="0"/>
              <w:divBdr>
                <w:top w:val="none" w:sz="0" w:space="0" w:color="auto"/>
                <w:left w:val="none" w:sz="0" w:space="0" w:color="auto"/>
                <w:bottom w:val="none" w:sz="0" w:space="0" w:color="auto"/>
                <w:right w:val="none" w:sz="0" w:space="0" w:color="auto"/>
              </w:divBdr>
              <w:divsChild>
                <w:div w:id="1190144767">
                  <w:marLeft w:val="0"/>
                  <w:marRight w:val="0"/>
                  <w:marTop w:val="0"/>
                  <w:marBottom w:val="0"/>
                  <w:divBdr>
                    <w:top w:val="none" w:sz="0" w:space="0" w:color="auto"/>
                    <w:left w:val="none" w:sz="0" w:space="0" w:color="auto"/>
                    <w:bottom w:val="none" w:sz="0" w:space="0" w:color="auto"/>
                    <w:right w:val="none" w:sz="0" w:space="0" w:color="auto"/>
                  </w:divBdr>
                  <w:divsChild>
                    <w:div w:id="895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710556">
          <w:marLeft w:val="0"/>
          <w:marRight w:val="0"/>
          <w:marTop w:val="0"/>
          <w:marBottom w:val="0"/>
          <w:divBdr>
            <w:top w:val="none" w:sz="0" w:space="0" w:color="auto"/>
            <w:left w:val="none" w:sz="0" w:space="0" w:color="auto"/>
            <w:bottom w:val="none" w:sz="0" w:space="0" w:color="auto"/>
            <w:right w:val="none" w:sz="0" w:space="0" w:color="auto"/>
          </w:divBdr>
          <w:divsChild>
            <w:div w:id="1467045257">
              <w:marLeft w:val="0"/>
              <w:marRight w:val="0"/>
              <w:marTop w:val="0"/>
              <w:marBottom w:val="0"/>
              <w:divBdr>
                <w:top w:val="none" w:sz="0" w:space="0" w:color="auto"/>
                <w:left w:val="none" w:sz="0" w:space="0" w:color="auto"/>
                <w:bottom w:val="none" w:sz="0" w:space="0" w:color="auto"/>
                <w:right w:val="none" w:sz="0" w:space="0" w:color="auto"/>
              </w:divBdr>
              <w:divsChild>
                <w:div w:id="1956863855">
                  <w:marLeft w:val="0"/>
                  <w:marRight w:val="0"/>
                  <w:marTop w:val="0"/>
                  <w:marBottom w:val="0"/>
                  <w:divBdr>
                    <w:top w:val="none" w:sz="0" w:space="0" w:color="auto"/>
                    <w:left w:val="none" w:sz="0" w:space="0" w:color="auto"/>
                    <w:bottom w:val="none" w:sz="0" w:space="0" w:color="auto"/>
                    <w:right w:val="none" w:sz="0" w:space="0" w:color="auto"/>
                  </w:divBdr>
                  <w:divsChild>
                    <w:div w:id="890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09350">
      <w:bodyDiv w:val="1"/>
      <w:marLeft w:val="0"/>
      <w:marRight w:val="0"/>
      <w:marTop w:val="0"/>
      <w:marBottom w:val="0"/>
      <w:divBdr>
        <w:top w:val="none" w:sz="0" w:space="0" w:color="auto"/>
        <w:left w:val="none" w:sz="0" w:space="0" w:color="auto"/>
        <w:bottom w:val="none" w:sz="0" w:space="0" w:color="auto"/>
        <w:right w:val="none" w:sz="0" w:space="0" w:color="auto"/>
      </w:divBdr>
      <w:divsChild>
        <w:div w:id="1560556167">
          <w:marLeft w:val="0"/>
          <w:marRight w:val="0"/>
          <w:marTop w:val="0"/>
          <w:marBottom w:val="0"/>
          <w:divBdr>
            <w:top w:val="none" w:sz="0" w:space="0" w:color="auto"/>
            <w:left w:val="none" w:sz="0" w:space="0" w:color="auto"/>
            <w:bottom w:val="none" w:sz="0" w:space="0" w:color="auto"/>
            <w:right w:val="none" w:sz="0" w:space="0" w:color="auto"/>
          </w:divBdr>
          <w:divsChild>
            <w:div w:id="1511800912">
              <w:marLeft w:val="0"/>
              <w:marRight w:val="0"/>
              <w:marTop w:val="0"/>
              <w:marBottom w:val="0"/>
              <w:divBdr>
                <w:top w:val="none" w:sz="0" w:space="0" w:color="auto"/>
                <w:left w:val="none" w:sz="0" w:space="0" w:color="auto"/>
                <w:bottom w:val="none" w:sz="0" w:space="0" w:color="auto"/>
                <w:right w:val="none" w:sz="0" w:space="0" w:color="auto"/>
              </w:divBdr>
              <w:divsChild>
                <w:div w:id="14260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12480">
      <w:bodyDiv w:val="1"/>
      <w:marLeft w:val="0"/>
      <w:marRight w:val="0"/>
      <w:marTop w:val="0"/>
      <w:marBottom w:val="0"/>
      <w:divBdr>
        <w:top w:val="none" w:sz="0" w:space="0" w:color="auto"/>
        <w:left w:val="none" w:sz="0" w:space="0" w:color="auto"/>
        <w:bottom w:val="none" w:sz="0" w:space="0" w:color="auto"/>
        <w:right w:val="none" w:sz="0" w:space="0" w:color="auto"/>
      </w:divBdr>
    </w:div>
    <w:div w:id="2141261600">
      <w:bodyDiv w:val="1"/>
      <w:marLeft w:val="0"/>
      <w:marRight w:val="0"/>
      <w:marTop w:val="0"/>
      <w:marBottom w:val="0"/>
      <w:divBdr>
        <w:top w:val="none" w:sz="0" w:space="0" w:color="auto"/>
        <w:left w:val="none" w:sz="0" w:space="0" w:color="auto"/>
        <w:bottom w:val="none" w:sz="0" w:space="0" w:color="auto"/>
        <w:right w:val="none" w:sz="0" w:space="0" w:color="auto"/>
      </w:divBdr>
    </w:div>
    <w:div w:id="214454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forhistiur.net/2002-09-feldner/2002-09-feldner" TargetMode="External"/><Relationship Id="rId1" Type="http://schemas.openxmlformats.org/officeDocument/2006/relationships/hyperlink" Target="https://www.cambridge.org/core/journals/american-political-science-review/article/abs/madisons-opponents-and-constitutional-design/BBD1733104B85D917EDFA1EDE2D2C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21532-DE09-4F40-B5FD-3E58ADF02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197</Pages>
  <Words>33666</Words>
  <Characters>191902</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Josiah</dc:creator>
  <cp:keywords/>
  <dc:description/>
  <cp:lastModifiedBy>Josiah Davis</cp:lastModifiedBy>
  <cp:revision>12</cp:revision>
  <dcterms:created xsi:type="dcterms:W3CDTF">2026-09-24T13:47:00Z</dcterms:created>
  <dcterms:modified xsi:type="dcterms:W3CDTF">2026-09-27T16:07:00Z</dcterms:modified>
</cp:coreProperties>
</file>