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del w:id="100079" w:author="Claude" w:date="2026-09-26T12:00:00Z">
        <w:r>
          <w:rPr>
            <w:i/>
            <w:iCs/>
            <w:color w:val="000000" w:themeColor="text1"/>
          </w:rPr>
          <w:delText>Features of QCMS</w:delText>
        </w:r>
      </w:del>
      <w:ins w:id="100080" w:author="Claude" w:date="2026-09-26T12:00:00Z">
        <w:r>
          <w:rPr>
            <w:i/>
            <w:color w:val="000000" w:themeColor="text1"/>
          </w:rPr>
          <w:t>Features of QCMs</w:t>
        </w:r>
      </w:ins>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 xml:space="preserve">Lawyers File Disputes Without Testing Them </w:t>
      </w:r>
      <w:del w:id="100081" w:author="Claude" w:date="2026-09-26T12:00:00Z">
        <w:r>
          <w:rPr>
            <w:i/>
            <w:iCs/>
            <w:color w:val="000000" w:themeColor="text1"/>
          </w:rPr>
          <w:delText>Due</w:delText>
        </w:r>
      </w:del>
      <w:ins w:id="100082" w:author="Claude" w:date="2026-09-26T12:00:00Z">
        <w:r>
          <w:rPr>
            <w:i/>
            <w:color w:val="000000" w:themeColor="text1"/>
          </w:rPr>
          <w:t>Because</w:t>
        </w:r>
      </w:ins>
      <w:r>
        <w:rPr>
          <w:i/>
          <w:iCs/>
          <w:color w:val="000000" w:themeColor="text1"/>
        </w:rPr>
        <w:t xml:space="preserve"> </w:t>
      </w:r>
      <w:del w:id="100083" w:author="Claude" w:date="2026-09-26T12:00:00Z">
        <w:r>
          <w:rPr>
            <w:i/>
            <w:iCs/>
            <w:color w:val="000000" w:themeColor="text1"/>
          </w:rPr>
          <w:delText>to</w:delText>
        </w:r>
      </w:del>
      <w:ins w:id="100084" w:author="Claude" w:date="2026-09-26T12:00:00Z">
        <w:r>
          <w:rPr>
            <w:i/>
            <w:color w:val="000000" w:themeColor="text1"/>
          </w:rPr>
          <w:t>of</w:t>
        </w:r>
      </w:ins>
      <w:r>
        <w:rPr>
          <w:i/>
          <w:iCs/>
          <w:color w:val="000000" w:themeColor="text1"/>
        </w:rPr>
        <w:t xml:space="preserve">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ins w:id="100335" w:author="Claude" w:date="2026-09-26T12:00:00Z">
        <w:r>
          <w:rPr>
            <w:i/>
            <w:color w:val="000000" w:themeColor="text1"/>
          </w:rPr>
          <w:t xml:space="preserve"> Fund</w:t>
        </w:r>
      </w:ins>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del w:id="100085" w:author="Claude" w:date="2026-09-26T12:00:00Z">
        <w:r>
          <w:rPr>
            <w:i/>
            <w:iCs/>
            <w:color w:val="000000" w:themeColor="text1"/>
          </w:rPr>
          <w:delText>How the Convention Prevented Groupthink and Scrutinized Their Claim (We Need a New Constitution) Prior to Filing (Presenting to the Public for Ratification)</w:delText>
        </w:r>
      </w:del>
      <w:ins w:id="100086" w:author="Claude" w:date="2026-09-26T12:00:00Z">
        <w:r>
          <w:rPr>
            <w:i/>
            <w:color w:val="000000" w:themeColor="text1"/>
          </w:rPr>
          <w:t>How the Convention Prevented Groupthink Before Presenting Its Claim to the Public</w:t>
        </w:r>
      </w:ins>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del w:id="100087" w:author="Claude" w:date="2026-09-26T12:00:00Z">
        <w:r>
          <w:rPr>
            <w:smallCaps/>
          </w:rPr>
          <w:delText>These Historical Practices were not Early Iterations of Modern ADR</w:delText>
        </w:r>
      </w:del>
      <w:ins w:id="100088" w:author="Claude" w:date="2026-09-26T12:00:00Z">
        <w:r>
          <w:rPr>
            <w:smallCaps/>
          </w:rPr>
          <w:t>How the American Advocate Lost the Forge</w:t>
        </w:r>
      </w:ins>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del w:id="100089" w:author="Claude" w:date="2026-09-26T12:00:00Z">
        <w:r>
          <w:rPr>
            <w:color w:val="000000" w:themeColor="text1"/>
          </w:rPr>
          <w:delText>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delText>
        </w:r>
      </w:del>
      <w:ins w:id="100090" w:author="Claude" w:date="2026-09-26T12:00:00Z">
        <w:r>
          <w:rPr>
            <w:color w:val="000000" w:themeColor="text1"/>
          </w:rPr>
          <w:t xml:space="preserve">For most of recorded history, the advocate who brought a claim to court—for most of that history, the litigant himself—had first tested it. He tested it, not because he was virtuous, but because his society exacted a price if he did not: the divine oath of the Ancient Near East, the reputational exposure of the Athenian courtroom, the Roman advocate’s oath and the loser-pays rule, the Confucian teaching that a would-be litigant should first examine himself, the Anglo-Saxon oath sworn before the Almighty. This Note calls these entry fees Quality Control Mechanisms (QCMs). The field remembers them, if it remembers them at all, for what they did to court dockets. My interest is in what they did to the advocate. Each of them forced him, before he filed, to do what modern social psychology identifies as the chief safeguard against groupthink: to have his assumptions attacked by people who did not share them. Having tested his claim, he might do one of three things. He might bring it to court, confident that it was strong. He might repair its weaknesses, where the relief he sought (a constitutional right, say) could be had nowhere else. Or he might take it to one of the informal forums—the elders’ council, the Roman </w:t>
        </w:r>
        <w:r>
          <w:rPr>
            <w:i/>
            <w:color w:val="000000" w:themeColor="text1"/>
          </w:rPr>
          <w:t>compromissum</w:t>
        </w:r>
        <w:r>
          <w:rPr>
            <w:color w:val="000000" w:themeColor="text1"/>
          </w:rPr>
          <w:t xml:space="preserve">, the church meeting—that stood apart from the courts and took in the claims that testing had found wanting. The last of these is what the modern field calls “Alternative Dispute Resolution.” For purposes of this Note it is the least important of the three, since a disputant arrived there only after the testing was done. All of this the United States inherited, and all of it the United States dismantled, through three historical developments: the profession’s choice to make the lawyer a zealous advocate rather than an assessor of his own client’s case; the legal system’s expanding capacity for disputes, which let lawyers capture the informal forums that had once absorbed weak claims and moved the screening of claims from the advocate’s desk to the courthouse; and the shift to hourly billing and the American Rule on fees, which shielded lawyers and clients alike from the cost of pursuing weak claims. The consequence the field has noticed is really secondary: negotiation, mediation, arbitration, and trial collapsed onto a single track, and the first question a legal team asks became which forum to enter, not whether the claim was ready to be filed. The consequence it has not noticed is the more important one: because there is no longer any real cost to filing an untested claim, there is no longer any occasion on which an advocate is made to test it. What, it is fair to ask, requires the American advocate to test his claim before he files it? Almost nothing. So, as things now stand, he does not. The claims that suffer most are the most important ones—constitutional claims that only a court can remedy—and the teams that bring them, when they are insulated from dissent, mistake their own agreement for the strength of their case. That is what the psychologists call groupthink. The ACLU’s conduct of </w:t>
        </w:r>
        <w:r>
          <w:rPr>
            <w:i/>
            <w:color w:val="000000" w:themeColor="text1"/>
          </w:rPr>
          <w:t>United States v. Skrmetti</w:t>
        </w:r>
        <w:r>
          <w:rPr>
            <w:color w:val="000000" w:themeColor="text1"/>
          </w:rPr>
          <w:t xml:space="preserve"> is a mild case of it, and an instructive one. This Note traces the history and draws from it a practical argument about how legal organizations should advocate today. The forge can be rebuilt, and it can be rebuilt without any change in the law. It requires only that one compose a cognitively diverse team, make it safe for its members to disagree, and structure the discussion of the case so that the disagreement is heard. For most of human history the untested claim was the anomaly. It can be the anomaly again. One need only be willing to surround oneself with people who think differently, and to listen to them.</w:t>
        </w:r>
      </w:ins>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04F0C2B7" w14:textId="77777777" w:rsidR="001B515B" w:rsidRPr="001B515B" w:rsidRDefault="001B515B" w:rsidP="001B515B">
      <w:pPr>
        <w:spacing w:line="480" w:lineRule="auto"/>
        <w:ind w:left="360"/>
        <w:rPr>
          <w:smallCaps/>
          <w:color w:val="000000" w:themeColor="text1"/>
        </w:rPr>
      </w:pPr>
    </w:p>
    <w:p w14:paraId="2959CB45" w14:textId="267CE834" w:rsidR="009178CF" w:rsidRPr="00A9375B" w:rsidRDefault="00D57597" w:rsidP="003D74D8">
      <w:pPr>
        <w:pStyle w:val="BodyTextFirstIndent"/>
        <w:spacing w:line="480" w:lineRule="auto"/>
        <w:jc w:val="both"/>
      </w:pPr>
      <w:bookmarkStart w:id="2" w:name="_Ref214049453"/>
      <w:bookmarkEnd w:id="2"/>
      <w:bookmarkStart w:id="3" w:name="_Ref222257400"/>
      <w:bookmarkEnd w:id="3"/>
      <w:del w:id="100091" w:author="Claude" w:date="2026-09-26T12:00:00Z">
        <w:r>
          <w:delText>Contemporary Alternative Dispute Resolution (ADR) has lost the plot. On the prevailing understanding, a “dispute” is a conflict that a team of advocates (a “Deliberative Body”</w:delText>
        </w:r>
      </w:del>
      <w:ins w:id="100092" w:author="Claude" w:date="2026-09-26T12:00:00Z">
        <w:r>
          <w:t>Every argument is born in a room. Long before an advocate rises to say “May it please the Court,” a handful of lawyers around a table decide which claim to press, which theory to stake it on, which facts to trust. The adversary system will test those choices eventually. But by then they can no longer be unmade, and the only thing left to learn is whether they were any good. An argument that loses in the courtroom, you see, has often lost already, in the room. The courtroom merely announces the result. This Note is about what happens in the room. Before any claim reaches a court, a team of advocates (a “Deliberative Body”</w:t>
        </w:r>
      </w:ins>
      <w:r>
        <w:rPr>
          <w:rStyle w:val="FootnoteReference"/>
          <w:color w:val="000000" w:themeColor="text1"/>
        </w:rPr>
        <w:footnoteReference w:id="2"/>
      </w:r>
      <w:del w:id="100093" w:author="Claude" w:date="2026-09-26T12:00:00Z">
        <w:r>
          <w:delText>) has already conveyed from its internal chambers into the adversarial arena (“Externalized”</w:delText>
        </w:r>
      </w:del>
      <w:ins w:id="100094" w:author="Claude" w:date="2026-09-26T12:00:00Z">
        <w:r>
          <w:t>) has met, settled on a theory, and decided to carry the claim out of its internal chambers and into the adversarial arena—has, in the vocabulary of this Note, “Externalized” it.</w:t>
        </w:r>
      </w:ins>
      <w:r>
        <w:rPr>
          <w:rStyle w:val="FootnoteReference"/>
          <w:color w:val="000000" w:themeColor="text1"/>
        </w:rPr>
        <w:footnoteReference w:id="3"/>
      </w:r>
      <w:del w:id="100095" w:author="Claude" w:date="2026-09-26T12:00:00Z">
        <w:r>
          <w:delText xml:space="preserve">). </w:delText>
        </w:r>
      </w:del>
      <w:ins w:id="100096" w:author="Claude" w:date="2026-09-26T12:00:00Z">
        <w:r>
          <w:t xml:space="preserve"> The question this Note asks is whether the team tested the claim before it did so. For most of recorded history, the answer was yes. Today, generally speaking, it is no, and the field that ought to have noticed has not. I do not suggest, mind you, that the choice among forums does not matter. It matters, and I shall come to it. But it comes second. The field that has put it first calls itself Alternative Dispute Resolution (ADR), and on its prevailing understanding a “dispute” is a conflict that has already been Externalized. </w:t>
        </w:r>
      </w:ins>
      <w:r>
        <w:t>Negotiation, mediation, and arbitration earn the name “alternatives” because each can relieve a party’s normative demands.</w:t>
      </w:r>
      <w:r>
        <w:rPr>
          <w:rStyle w:val="FootnoteReference"/>
          <w:color w:val="000000" w:themeColor="text1"/>
        </w:rPr>
        <w:footnoteReference w:id="4"/>
      </w:r>
      <w:del w:id="100097" w:author="Claude" w:date="2026-09-26T12:00:00Z">
        <w:r>
          <w:delText xml:space="preserve"> Choosing among these parallel forums is now the first step in the dispute-resolution process, and whether Externalization is merited at all is no longer a question. </w:delText>
        </w:r>
      </w:del>
      <w:ins w:id="100098" w:author="Claude" w:date="2026-09-26T12:00:00Z">
        <w:r>
          <w:t xml:space="preserve"> Choosing among these parallel forums is now the first step in the dispute-resolution process, and whether the claim was ready to leave the room is no longer a question the field asks. Mary Douglas was not writing about lawyers, but she might as well have been: “The individual tends to leave the important decisions to his institutions while busying himself with tactics and details.”</w:t>
        </w:r>
        <w:r>
          <w:rPr>
            <w:rStyle w:val="FootnoteReference"/>
            <w:color w:val="000000" w:themeColor="text1"/>
          </w:rPr>
          <w:footnoteReference w:id="710"/>
        </w:r>
        <w:r>
          <w:t xml:space="preserve"> The field has kept the forum and forgotten the forge. </w:t>
        </w:r>
      </w:ins>
      <w:r>
        <w:t>That neglect stems from a sustained separation from historical practice.</w:t>
      </w:r>
      <w:r>
        <w:rPr>
          <w:rStyle w:val="FootnoteReference"/>
          <w:color w:val="000000" w:themeColor="text1"/>
        </w:rPr>
        <w:footnoteReference w:id="5"/>
      </w:r>
      <w:r>
        <w:t xml:space="preserve"> The 1976 Pound Conference ratified the divorce, when “Frank Sander delivered his famous remarks [and] the modern dispute resolution movement was born.”</w:t>
      </w:r>
      <w:r>
        <w:rPr>
          <w:rStyle w:val="FootnoteReference"/>
          <w:color w:val="000000" w:themeColor="text1"/>
        </w:rPr>
        <w:footnoteReference w:id="6"/>
      </w:r>
      <w:r>
        <w:t xml:space="preserve"> And what were Frank Sander’s famous remarks? That “one might envision by the year 2000 not simply a courthouse but a Dispute Resolution Center, where the grievant would first be channeled through a screening clerk.”</w:t>
      </w:r>
      <w:r>
        <w:rPr>
          <w:rStyle w:val="FootnoteReference"/>
        </w:rPr>
        <w:footnoteReference w:id="7"/>
      </w:r>
      <w:del w:id="100099" w:author="Claude" w:date="2026-09-26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ins w:id="100100" w:author="Claude" w:date="2026-09-26T12:00:00Z">
        <w:r>
          <w:t xml:space="preserve"> Consider where the screening sits in that vision: in the courthouse, in a clerk’s hands, after the grievant has arrived—not in the Deliberative Body’s chambers before the claim is filed. Nobody in that picture asks whether he should have come at all. This romanticized picture of bureaucratic triage—sorting already Externalized grievances among forums of mediation, arbitration, fact-finding, and trial—has captivated a generation of practitioners and “is often considered to be the point of origin for contemporary dispute resolution.”</w:t>
        </w:r>
      </w:ins>
      <w:r>
        <w:rPr>
          <w:rStyle w:val="FootnoteReference"/>
          <w:color w:val="000000" w:themeColor="text1"/>
        </w:rPr>
        <w:footnoteReference w:id="8"/>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9"/>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10"/>
      </w:r>
      <w:r>
        <w:t xml:space="preserve"> </w:t>
      </w:r>
    </w:p>
    <w:p w14:paraId="72F3002C" w14:textId="69A75B2E" w:rsidR="003E09AC" w:rsidRPr="00A9375B" w:rsidRDefault="005A4EE5" w:rsidP="003D74D8">
      <w:pPr>
        <w:pStyle w:val="BodyTextFirstIndent"/>
        <w:spacing w:line="480" w:lineRule="auto"/>
        <w:jc w:val="both"/>
      </w:pPr>
      <w:r>
        <w:t>Step outside the cave, and the world that comes into view is arranged nothing like ours. Throughout much of recorded human history, the conceptual analogs to negotiation, mediation, arbitration, and trial did not occupy the same track.</w:t>
      </w:r>
      <w:r>
        <w:rPr>
          <w:rStyle w:val="FootnoteReference"/>
        </w:rPr>
        <w:footnoteReference w:id="11"/>
      </w:r>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to scrutinize the strength of their claims. </w:t>
      </w:r>
      <w:del w:id="100101" w:author="Claude" w:date="2026-09-26T12:00:00Z">
        <w:r>
          <w:delText>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ins w:id="100102" w:author="Claude" w:date="2026-09-26T12:00:00Z">
        <w:r>
          <w:t>The scrutiny was no courtesy extended to the court; it was the price of admission. That compulsion is the point, and the rest of the history follows from it. The principle is a familiar one. A cook who must eat his own dish tastes it before it leaves the stove; a cook who need not eat it does not bother. The QCM made the disputant eat his own dish, and so he tasted it first. Once tested, a claim could come out one of three ways. It might prove strong, and then the claimant went to court. It might prove weak in a matter that only a court could remedy (a constitutional right, say), and then he repaired it—found better facts, better law, a better theory—and persisted once he was confident he could prevail. Or it might prove weak in a matter that did not need a court at all, and then he did not relinquish it but sought relief through the “Alternative” system instead, whether that was the elders’ council of the Ancient Near East, the compromissum of Imperial Rome, or the church meeting of a colonial Puritan community.</w:t>
        </w:r>
      </w:ins>
      <w:r>
        <w:rPr>
          <w:rStyle w:val="FootnoteReference"/>
          <w:color w:val="000000" w:themeColor="text1"/>
        </w:rPr>
        <w:footnoteReference w:id="12"/>
      </w:r>
      <w:del w:id="100103" w:author="Claude" w:date="2026-09-26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w:delText>
        </w:r>
      </w:del>
      <w:ins w:id="100104" w:author="Claude" w:date="2026-09-26T12:00:00Z">
        <w:r>
          <w:t xml:space="preserve"> The evolutionary psychologists have arrived, by another road, at much the same conclusion. “It makes sense to look for arguments for our opinions before we find ourselves called upon to state them,” Hugo Mercier and Dan Sperber write. “If the search for arguments is successful, we will be ready. If not, then perhaps it might be better to adopt a weaker position, one that is easier to defend.”</w:t>
        </w:r>
        <w:r>
          <w:rPr>
            <w:rStyle w:val="FootnoteReference"/>
          </w:rPr>
          <w:footnoteReference w:id="726"/>
        </w:r>
        <w:r>
          <w:t xml:space="preserve"> Modern ADR remembers only the third of these outcomes, and it remembers that one backwards. The forum was where a disputant ended up after the testing, and because of it; modern ADR makes it the place where he begins. Did the historical model also relieve the courts of weak claims? Of course it did; that is the very benefit modern ADR claims as its principal one. But that, for this Note, is really secondary. The point of a QCM was to make an individual claimant test the strength of his claim before Externalizing it. That is the very exercise modern social psychology prescribes against groupthink: the adversarial testing of one’s own assumptions. Groupthink is what happens when a cohesive group, bent on a shared objective, stops examining itself; its biases compound, and it adopts strategies that would never have survived the pre-filing scrutiny QCMs once guaranteed. The historical model put the burden of testing a claim on the disputant. The American model puts it on courts and administrations, after filing. That experiment failed, and it failed in both respects. The ADR forums it built collapsed onto the same track as trial, and the formal docket filled with baseless claims; that much the field has noticed. What it has not noticed is what this Note is about: by taking pre-filing scrutiny out of the disputant’s hands, the American model eliminated the only institutional occasion on which a Deliberative Body’s assumptions had to face testing before the courtroom supplied it. </w:t>
        </w:r>
      </w:ins>
      <w:r>
        <w:t>Because my thesis involves several moving parts and defined terms, I have presented it in the following figure, which abstracts the main points, before turning to the history.</w:t>
      </w:r>
    </w:p>
    <w:p w14:paraId="64D47805" w14:textId="5D1B9576" w:rsidR="00E60807" w:rsidRPr="00A9375B" w:rsidRDefault="00B166F7" w:rsidP="003D74D8">
      <w:pPr>
        <w:jc w:val="both"/>
        <w:rPr>
          <w:color w:val="000000" w:themeColor="text1"/>
        </w:rPr>
      </w:pPr>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p>
    <w:p w14:paraId="7F8C2B82" w14:textId="50A370BB" w:rsidR="00655A0D" w:rsidRPr="00A9375B" w:rsidRDefault="003E09AC" w:rsidP="003D74D8">
      <w:pPr>
        <w:pStyle w:val="BodyTextFirstIndent"/>
        <w:spacing w:line="480" w:lineRule="auto"/>
        <w:jc w:val="both"/>
      </w:pPr>
      <w:del w:id="100105" w:author="Claude" w:date="2026-09-26T12:00:00Z">
        <w:r>
          <w:delText xml:space="preserve">A hypothetical will illustrate how my theory of ADR operates in practice. </w:delText>
        </w:r>
      </w:del>
      <w:ins w:id="100106" w:author="Claude" w:date="2026-09-26T12:00:00Z">
        <w:r>
          <w:t xml:space="preserve">A hypothetical will illustrate how the forge operated in practice. </w:t>
        </w:r>
      </w:ins>
      <w:r>
        <w:t>The characters and events are fictional; the historical records behind them are not. The setting is Mesopotamia circa 1800 BCE, in the city of Larsa.</w:t>
      </w:r>
      <w:r>
        <w:rPr>
          <w:rStyle w:val="FootnoteReference"/>
          <w:color w:val="000000" w:themeColor="text1"/>
        </w:rPr>
        <w:footnoteReference w:id="13"/>
      </w:r>
      <w:r>
        <w:t xml:space="preserve"> A farmer named Shamash-iddin and his family believed their neighbor Warad-Sin had diverted irrigation water from the shared canal, leaving Shamash-iddin’s barley fields to wither.</w:t>
      </w:r>
      <w:r>
        <w:rPr>
          <w:rStyle w:val="FootnoteReference"/>
          <w:color w:val="000000" w:themeColor="text1"/>
        </w:rPr>
        <w:footnoteReference w:id="14"/>
      </w:r>
      <w:r>
        <w:t xml:space="preserve"> Before Shamash-iddin would even consider bringing a formal claim before the assembly</w:t>
      </w:r>
      <w:r>
        <w:rPr>
          <w:rStyle w:val="FootnoteReference"/>
          <w:color w:val="000000" w:themeColor="text1"/>
        </w:rPr>
        <w:footnoteReference w:id="15"/>
      </w:r>
      <w:r>
        <w:t>—a process requiring a sworn oath before the gods with the risk of divine punishment for baseless claims—he would first test the strength of his claim by presenting his grievance to the neighborhood council of elders.</w:t>
      </w:r>
      <w:r>
        <w:rPr>
          <w:rStyle w:val="FootnoteReference"/>
          <w:color w:val="000000" w:themeColor="text1"/>
        </w:rPr>
        <w:footnoteReference w:id="16"/>
      </w:r>
      <w:r>
        <w:t xml:space="preserve"> Shamash-iddin was confident that someone had intentionally diverted the water because levels remained too low this late into the season. Yet his theory fell apart once presented to the council.</w:t>
      </w:r>
      <w:r>
        <w:rPr>
          <w:rStyle w:val="FootnoteReference"/>
          <w:color w:val="000000" w:themeColor="text1"/>
        </w:rPr>
        <w:footnoteReference w:id="17"/>
      </w:r>
      <w:r>
        <w:t xml:space="preserve"> One of these elders owned adjacent fields and benefited from the same canal, another was Warad-Sin’s cousin, and a third had previously disputed a property boundary with Shamash-iddin.</w:t>
      </w:r>
      <w:r>
        <w:rPr>
          <w:rStyle w:val="FootnoteReference"/>
          <w:color w:val="000000" w:themeColor="text1"/>
        </w:rPr>
        <w:footnoteReference w:id="18"/>
      </w:r>
      <w:r>
        <w:t xml:space="preserve"> The cousin challenged the timeline, the adjacent landowner noted that all farmers faced low water this season, and the rival asked why, if Warad-Sin was stealing water, his own barley looked equally parched.</w:t>
      </w:r>
      <w:r>
        <w:rPr>
          <w:rStyle w:val="FootnoteReference"/>
          <w:color w:val="000000" w:themeColor="text1"/>
        </w:rPr>
        <w:footnoteReference w:id="19"/>
      </w:r>
      <w:r>
        <w:t xml:space="preserve"> Confronted with these challenges, Shamash-iddin conceded that his claim was baseless and never brought it.</w:t>
      </w:r>
      <w:r>
        <w:rPr>
          <w:rStyle w:val="FootnoteReference"/>
          <w:color w:val="000000" w:themeColor="text1"/>
        </w:rPr>
        <w:footnoteReference w:id="20"/>
      </w:r>
      <w:r>
        <w:t xml:space="preserve"> </w:t>
      </w:r>
    </w:p>
    <w:p w14:paraId="4A5598AC" w14:textId="44857C25" w:rsidR="006E1CB3" w:rsidRPr="00A9375B" w:rsidRDefault="009017D7" w:rsidP="003D74D8">
      <w:pPr>
        <w:pStyle w:val="BodyTextFirstIndent"/>
        <w:spacing w:line="480" w:lineRule="auto"/>
        <w:jc w:val="both"/>
      </w:pPr>
      <w:bookmarkStart w:id="4" w:name="_Ref221994663"/>
      <w:bookmarkEnd w:id="4"/>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processes is almost as great as the variety of its societies,” and yet “for all the differences in their laws, in premodern societies people everywhere came up with similar solutions” to solving the problem of baseless litigation. </w:t>
      </w:r>
      <w:r>
        <w:t xml:space="preserve">While “oaths and ordeals might seem exotic to us now, even barbaric,” premodern societies the world over used oaths, or oath-adjacent QCMs, to save </w:t>
      </w:r>
      <w:del w:id="100107" w:author="Claude" w:date="2026-09-26T12:00:00Z">
        <w:r>
          <w:delText>courts</w:delText>
        </w:r>
      </w:del>
      <w:ins w:id="100108" w:author="Claude" w:date="2026-09-26T12:00:00Z">
        <w:r>
          <w:t>clients,</w:t>
        </w:r>
      </w:ins>
      <w:r>
        <w:t xml:space="preserve"> and </w:t>
      </w:r>
      <w:del w:id="100109" w:author="Claude" w:date="2026-09-26T12:00:00Z">
        <w:r>
          <w:delText>clients</w:delText>
        </w:r>
      </w:del>
      <w:ins w:id="100110" w:author="Claude" w:date="2026-09-26T12:00:00Z">
        <w:r>
          <w:t>courts with them,</w:t>
        </w:r>
      </w:ins>
      <w:r>
        <w:t xml:space="preserve"> from weak, untested claims.</w:t>
      </w:r>
      <w:r>
        <w:rPr>
          <w:rStyle w:val="FootnoteReference"/>
          <w:color w:val="000000" w:themeColor="text1"/>
        </w:rPr>
        <w:footnoteReference w:id="21"/>
      </w:r>
    </w:p>
    <w:p w14:paraId="4FB5C107" w14:textId="77777777" w:rsidR="00CC4B9B" w:rsidRPr="00A9375B" w:rsidRDefault="00CC4B9B" w:rsidP="003D74D8">
      <w:pPr>
        <w:pStyle w:val="BodyTextFirstIndent"/>
        <w:spacing w:line="480" w:lineRule="auto"/>
        <w:ind w:firstLine="0"/>
        <w:jc w:val="both"/>
      </w:pPr>
    </w:p>
    <w:p w14:paraId="4A7FA23A" w14:textId="5D45E347" w:rsidR="00CC4B9B" w:rsidRPr="00A9375B" w:rsidRDefault="00CC4B9B" w:rsidP="003D74D8">
      <w:pPr>
        <w:pStyle w:val="BodyTextFirstIndent"/>
        <w:numPr>
          <w:ilvl w:val="0"/>
          <w:numId w:val="33"/>
        </w:numPr>
        <w:spacing w:line="480" w:lineRule="auto"/>
        <w:jc w:val="both"/>
        <w:rPr>
          <w:i/>
          <w:iCs/>
        </w:rPr>
      </w:pPr>
      <w:r>
        <w:rPr>
          <w:i/>
          <w:iCs/>
        </w:rPr>
        <w:t>Features of QCMs</w:t>
      </w:r>
    </w:p>
    <w:p w14:paraId="686ACA24" w14:textId="77777777" w:rsidR="00CC4B9B" w:rsidRPr="00A9375B" w:rsidRDefault="00CC4B9B" w:rsidP="003D74D8">
      <w:pPr>
        <w:pStyle w:val="BodyTextFirstIndent"/>
        <w:spacing w:line="480" w:lineRule="auto"/>
        <w:ind w:left="360" w:firstLine="0"/>
        <w:jc w:val="both"/>
      </w:pPr>
    </w:p>
    <w:p w14:paraId="623E9916" w14:textId="4FF876C0" w:rsidR="006E1CB3" w:rsidRPr="00A9375B" w:rsidRDefault="006E1CB3" w:rsidP="003D74D8">
      <w:pPr>
        <w:pStyle w:val="BodyTextFirstIndent"/>
        <w:spacing w:line="480" w:lineRule="auto"/>
        <w:jc w:val="both"/>
      </w:pPr>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r>
        <w:rPr>
          <w:rStyle w:val="FootnoteReference"/>
          <w:color w:val="000000" w:themeColor="text1"/>
        </w:rPr>
        <w:footnoteReference w:id="22"/>
      </w:r>
      <w:r>
        <w:t xml:space="preserve"> Where the QCM took the form of an oath invoking misfortune, it signaled a disputant was “therefore tak[ing] a costly risk, thereby honestly communicating one’s desire to obtain a given verdict.”</w:t>
      </w:r>
      <w:r>
        <w:rPr>
          <w:rStyle w:val="FootnoteReference"/>
          <w:color w:val="000000" w:themeColor="text1"/>
        </w:rPr>
        <w:footnoteReference w:id="23"/>
      </w:r>
      <w:r>
        <w:t xml:space="preserve"> </w:t>
      </w:r>
    </w:p>
    <w:p w14:paraId="1683C074" w14:textId="2DA290CF" w:rsidR="006E1CB3" w:rsidRPr="00A9375B" w:rsidRDefault="008534A1" w:rsidP="003D74D8">
      <w:pPr>
        <w:pStyle w:val="BodyTextFirstIndent"/>
        <w:spacing w:line="480" w:lineRule="auto"/>
        <w:jc w:val="both"/>
      </w:pPr>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lastRenderedPageBreak/>
        <w:t>exposed him to informal social sanction.</w:t>
      </w:r>
      <w:bookmarkStart w:id="5" w:name="_Ref221994504"/>
      <w:r>
        <w:rPr>
          <w:rStyle w:val="FootnoteReference"/>
          <w:color w:val="000000" w:themeColor="text1"/>
        </w:rPr>
        <w:footnoteReference w:id="24"/>
      </w:r>
      <w:bookmarkEnd w:id="5"/>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r>
        <w:rPr>
          <w:rStyle w:val="FootnoteReference"/>
          <w:color w:val="000000" w:themeColor="text1"/>
        </w:rPr>
        <w:footnoteReference w:id="25"/>
      </w:r>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r>
        <w:rPr>
          <w:rStyle w:val="FootnoteReference"/>
          <w:color w:val="000000" w:themeColor="text1"/>
        </w:rPr>
        <w:footnoteReference w:id="26"/>
      </w:r>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r>
        <w:rPr>
          <w:rStyle w:val="FootnoteReference"/>
          <w:color w:val="000000" w:themeColor="text1"/>
        </w:rPr>
        <w:footnoteReference w:id="27"/>
      </w:r>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p>
    <w:p w14:paraId="2B1FF12D" w14:textId="6AE0A8B2" w:rsidR="003E09AC" w:rsidRPr="00A9375B" w:rsidRDefault="00BB165A" w:rsidP="003D74D8">
      <w:pPr>
        <w:spacing w:line="480" w:lineRule="auto"/>
        <w:jc w:val="both"/>
        <w:rPr>
          <w:color w:val="000000" w:themeColor="text1"/>
        </w:rPr>
      </w:pPr>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p>
    <w:p w14:paraId="1AA7FB99" w14:textId="2A73638E" w:rsidR="00655A0D" w:rsidRPr="00A9375B" w:rsidRDefault="000F5FFF" w:rsidP="003D74D8">
      <w:pPr>
        <w:pStyle w:val="BodyTextFirstIndent"/>
        <w:spacing w:line="480" w:lineRule="auto"/>
        <w:jc w:val="both"/>
      </w:pPr>
      <w:bookmarkStart w:id="6" w:name="_Ref222161048"/>
      <w:bookmarkEnd w:id="6"/>
      <w:r>
        <w:t xml:space="preserve">This figure shows a principle that recurs throughout the civilizations surveyed in this Note. </w:t>
      </w:r>
      <w:del w:id="100111" w:author="Claude" w:date="2026-09-26T12:00:00Z">
        <w:r>
          <w:delText>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ins w:id="100112" w:author="Claude" w:date="2026-09-26T12:00:00Z">
        <w:r>
          <w:t>The surest way to give clients strong advocacy—and, with it, to keep the docket clear—was never to set ADR forums beside the courts, as modern American practice assumes. It was to put the burden on the disputants themselves. Compelled by a QCM to scrutinize their own claims before filing, they accomplished what no screening clerk could replicate.</w:t>
        </w:r>
      </w:ins>
      <w:r>
        <w:rPr>
          <w:rStyle w:val="FootnoteReference"/>
          <w:color w:val="000000" w:themeColor="text1"/>
        </w:rPr>
        <w:footnoteReference w:id="28"/>
      </w:r>
      <w:r>
        <w:t xml:space="preserve"> This brings me to the second point about the QCM. Up until the Roman Empire, throughout much of human history, litigants were conceptually “pro se,” so to speak.</w:t>
      </w:r>
      <w:r>
        <w:rPr>
          <w:rStyle w:val="FootnoteReference"/>
          <w:color w:val="000000" w:themeColor="text1"/>
        </w:rPr>
        <w:footnoteReference w:id="29"/>
      </w:r>
      <w:ins w:id="100113" w:author="Claude" w:date="2026-09-26T12:00:00Z">
        <w:r>
          <w:t xml:space="preserve"> </w:t>
        </w:r>
      </w:ins>
      <w:r>
        <w:t>Accordingly, the historic oath/QCM should not be confused with a modern juror swearing their testimony is truthful or the ABA’s “oath” (if you can call it that), as these QCMs applied to the individual advancing legal arguments in court.</w:t>
      </w:r>
      <w:r>
        <w:rPr>
          <w:rStyle w:val="FootnoteReference"/>
          <w:color w:val="000000" w:themeColor="text1"/>
        </w:rPr>
        <w:footnoteReference w:id="30"/>
      </w:r>
      <w:r>
        <w:t xml:space="preserve"> </w:t>
      </w:r>
    </w:p>
    <w:p w14:paraId="2522D8DA" w14:textId="2F3CC009" w:rsidR="000F5FFF" w:rsidRPr="00A9375B" w:rsidRDefault="000F5FFF" w:rsidP="003D74D8">
      <w:pPr>
        <w:pStyle w:val="BodyTextFirstIndent"/>
        <w:spacing w:line="480" w:lineRule="auto"/>
        <w:jc w:val="both"/>
      </w:pPr>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r>
        <w:rPr>
          <w:rStyle w:val="FootnoteReference"/>
          <w:color w:val="000000" w:themeColor="text1"/>
        </w:rPr>
        <w:footnoteReference w:id="31"/>
      </w:r>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lastRenderedPageBreak/>
        <w:t>or not a prospective client had a reasonable cause of action.”</w:t>
      </w:r>
      <w:r>
        <w:rPr>
          <w:rStyle w:val="FootnoteReference"/>
        </w:rPr>
        <w:footnoteReference w:id="32"/>
      </w:r>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r>
        <w:rPr>
          <w:rStyle w:val="FootnoteReference"/>
          <w:color w:val="000000" w:themeColor="text1"/>
        </w:rPr>
        <w:footnoteReference w:id="33"/>
      </w:r>
    </w:p>
    <w:p w14:paraId="71ABACA8" w14:textId="220F5C96" w:rsidR="00254412" w:rsidRPr="00A9375B" w:rsidRDefault="00254412" w:rsidP="003D74D8">
      <w:pPr>
        <w:pStyle w:val="BodyTextFirstIndent"/>
        <w:spacing w:line="480" w:lineRule="auto"/>
        <w:jc w:val="both"/>
      </w:pPr>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r>
        <w:rPr>
          <w:rStyle w:val="FootnoteReference"/>
          <w:color w:val="000000" w:themeColor="text1"/>
        </w:rPr>
        <w:footnoteReference w:id="34"/>
      </w:r>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r>
        <w:rPr>
          <w:rStyle w:val="FootnoteReference"/>
          <w:color w:val="000000" w:themeColor="text1"/>
        </w:rPr>
        <w:footnoteReference w:id="35"/>
      </w:r>
    </w:p>
    <w:p w14:paraId="620BA2A3" w14:textId="42ABA214" w:rsidR="00254412" w:rsidRPr="00A9375B" w:rsidRDefault="00254412" w:rsidP="003D74D8">
      <w:pPr>
        <w:pStyle w:val="BodyTextFirstIndent"/>
        <w:spacing w:line="480" w:lineRule="auto"/>
        <w:jc w:val="both"/>
      </w:pPr>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lastRenderedPageBreak/>
        <w:t>practice where authoritative legal rules are unavailable.</w:t>
      </w:r>
      <w:r>
        <w:rPr>
          <w:rStyle w:val="FootnoteReference"/>
          <w:color w:val="000000" w:themeColor="text1"/>
        </w:rPr>
        <w:footnoteReference w:id="36"/>
      </w:r>
      <w:r>
        <w:t xml:space="preserve"> Fish do not talk about water.</w:t>
      </w:r>
      <w:r>
        <w:rPr>
          <w:rStyle w:val="FootnoteReference"/>
          <w:color w:val="000000" w:themeColor="text1"/>
        </w:rPr>
        <w:footnoteReference w:id="37"/>
      </w:r>
      <w:r>
        <w:t xml:space="preserve"> In a secularized society divine oaths are impractical, because “modern societies don’t believe ordeals are </w:t>
      </w:r>
      <w:r>
        <w:rPr>
          <w:i/>
          <w:iCs/>
        </w:rPr>
        <w:t>iudicia</w:t>
      </w:r>
      <w:r>
        <w:t xml:space="preserve"> </w:t>
      </w:r>
      <w:r>
        <w:rPr>
          <w:i/>
          <w:iCs/>
        </w:rPr>
        <w:t>Dei</w:t>
      </w:r>
      <w:r>
        <w:t>, which ordeals require to work” (</w:t>
      </w:r>
      <w:r>
        <w:rPr>
          <w:i/>
          <w:iCs/>
        </w:rPr>
        <w:t>iudicia</w:t>
      </w:r>
      <w:r>
        <w:t xml:space="preserve"> </w:t>
      </w:r>
      <w:r>
        <w:rPr>
          <w:i/>
          <w:iCs/>
        </w:rPr>
        <w:t>Dei</w:t>
      </w:r>
      <w:r>
        <w:t xml:space="preserve"> is a term meaning “judgments of God,” referring to the superstition that God miraculously intervenes to condemn the guilty and exonerate the innocent).</w:t>
      </w:r>
      <w:r>
        <w:rPr>
          <w:rStyle w:val="FootnoteReference"/>
          <w:color w:val="000000" w:themeColor="text1"/>
        </w:rPr>
        <w:footnoteReference w:id="38"/>
      </w:r>
      <w:r>
        <w:t xml:space="preserve"> While other societies have adapted to this cultural transition</w:t>
      </w:r>
      <w:r>
        <w:rPr>
          <w:rStyle w:val="FootnoteReference"/>
          <w:color w:val="000000" w:themeColor="text1"/>
        </w:rPr>
        <w:footnoteReference w:id="39"/>
      </w:r>
      <w:r>
        <w:t xml:space="preserve">, a series </w:t>
        <w:lastRenderedPageBreak/>
        <w:t>of historical circumstances unique to American society</w:t>
      </w:r>
      <w:r>
        <w:rPr>
          <w:rStyle w:val="FootnoteReference"/>
          <w:color w:val="000000" w:themeColor="text1"/>
        </w:rPr>
        <w:footnoteReference w:id="40"/>
      </w:r>
      <w:r>
        <w:t xml:space="preserve"> means that the oath “once was the principal source of ethical regulation of lawyers, but it is now an often overlooked part of the labyrinth of laws and standards governing lawyer conduct.”</w:t>
      </w:r>
      <w:r>
        <w:rPr>
          <w:rStyle w:val="FootnoteReference"/>
          <w:color w:val="000000" w:themeColor="text1"/>
        </w:rPr>
        <w:footnoteReference w:id="41"/>
      </w:r>
      <w:r>
        <w:t xml:space="preserve"> What follows are just a few examples of how the concept of the oath persists in modern practice.</w:t>
      </w:r>
    </w:p>
    <w:p w14:paraId="74803279" w14:textId="4D75BB32" w:rsidR="00254412" w:rsidRPr="00A9375B" w:rsidRDefault="00254412" w:rsidP="003D74D8">
      <w:pPr>
        <w:pStyle w:val="BodyTextFirstIndent"/>
        <w:spacing w:line="480" w:lineRule="auto"/>
        <w:jc w:val="both"/>
      </w:pPr>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r>
        <w:rPr>
          <w:rStyle w:val="FootnoteReference"/>
          <w:color w:val="000000" w:themeColor="text1"/>
        </w:rPr>
        <w:footnoteReference w:id="42"/>
      </w:r>
      <w:r>
        <w:t xml:space="preserve"> In modern Greece, unlike the ABA’s oath, which evolved to permit any defense deemed “honestly debatable”</w:t>
      </w:r>
      <w:r>
        <w:rPr>
          <w:rStyle w:val="FootnoteReference"/>
          <w:color w:val="000000" w:themeColor="text1"/>
        </w:rPr>
        <w:footnoteReference w:id="43"/>
      </w:r>
      <w:r>
        <w:t xml:space="preserve"> regardless of its content, Article 116 of the Greek Code of Civil Procedure states a general duty to tell the truth and to conduct litigation according to “good faith and morality.”</w:t>
      </w:r>
      <w:r>
        <w:rPr>
          <w:rStyle w:val="FootnoteReference"/>
          <w:color w:val="000000" w:themeColor="text1"/>
        </w:rPr>
        <w:footnoteReference w:id="44"/>
      </w:r>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r>
        <w:rPr>
          <w:rStyle w:val="FootnoteReference"/>
          <w:color w:val="000000" w:themeColor="text1"/>
        </w:rPr>
        <w:footnoteReference w:id="45"/>
      </w:r>
      <w:r>
        <w:t xml:space="preserve"> In modern </w:t>
        <w:lastRenderedPageBreak/>
        <w:t>Rome, the calumny oath, discussed above, “remain[s] embedded in modern [romano-canonical] procedural codes.”</w:t>
      </w:r>
      <w:r>
        <w:rPr>
          <w:rStyle w:val="FootnoteReference"/>
          <w:color w:val="000000" w:themeColor="text1"/>
        </w:rPr>
        <w:footnoteReference w:id="46"/>
      </w:r>
      <w:r>
        <w:t xml:space="preserve"> </w:t>
      </w:r>
    </w:p>
    <w:p w14:paraId="751D41D1" w14:textId="14D9A907" w:rsidR="00254412" w:rsidRPr="00A9375B" w:rsidRDefault="00254412" w:rsidP="003D74D8">
      <w:pPr>
        <w:pStyle w:val="BodyTextFirstIndent"/>
        <w:spacing w:line="480" w:lineRule="auto"/>
        <w:jc w:val="both"/>
      </w:pPr>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r>
        <w:rPr>
          <w:rStyle w:val="FootnoteReference"/>
          <w:color w:val="000000" w:themeColor="text1"/>
        </w:rPr>
        <w:footnoteReference w:id="47"/>
      </w:r>
      <w:r>
        <w:t xml:space="preserve"> This practice parallels the traditional authority of a village elder restoring communal harmony through deference, face-saving, and relational obligation.</w:t>
      </w:r>
      <w:r>
        <w:rPr>
          <w:rStyle w:val="FootnoteReference"/>
          <w:color w:val="000000" w:themeColor="text1"/>
        </w:rPr>
        <w:footnoteReference w:id="48"/>
      </w:r>
      <w:r>
        <w:t> At the grassroots level, People’s Mediation Committees rooted in Confucian community ordering continue to function as a pre-adjudicative filter, preventing tens of thousands of civil disputes from escalating into criminal matters each year.</w:t>
      </w:r>
      <w:r>
        <w:rPr>
          <w:rStyle w:val="FootnoteReference"/>
          <w:color w:val="000000" w:themeColor="text1"/>
        </w:rPr>
        <w:footnoteReference w:id="49"/>
      </w:r>
      <w:r>
        <w:t xml:space="preserve"> And in England, where dispute resolution through arbitration and mediation predates the common law itself, medieval lovedays evolved into formalized commercial arbitration through the procedural mechanism of penal bonds.</w:t>
      </w:r>
      <w:r>
        <w:rPr>
          <w:rStyle w:val="FootnoteReference"/>
          <w:color w:val="000000" w:themeColor="text1"/>
        </w:rPr>
        <w:footnoteReference w:id="50"/>
      </w:r>
      <w:r>
        <w:t xml:space="preserve"> Unlike the United States’ placement of ADR forums on the same track as litigation, Parliament’s </w:t>
        <w:lastRenderedPageBreak/>
        <w:t>uninterrupted support for pro-arbitration statutes from 1698 through the present has sustained a statutory policy favoring arbitration.</w:t>
      </w:r>
      <w:r>
        <w:rPr>
          <w:rStyle w:val="FootnoteReference"/>
          <w:color w:val="000000" w:themeColor="text1"/>
        </w:rPr>
        <w:footnoteReference w:id="51"/>
      </w:r>
    </w:p>
    <w:p w14:paraId="5CF63D47" w14:textId="1607AF9E" w:rsidR="004F5266" w:rsidRPr="00A9375B" w:rsidRDefault="009D146A" w:rsidP="003D74D8">
      <w:pPr>
        <w:pStyle w:val="BodyTextFirstIndent"/>
        <w:spacing w:line="480" w:lineRule="auto"/>
        <w:jc w:val="both"/>
      </w:pPr>
      <w:bookmarkStart w:id="7" w:name="_Ref222081948"/>
      <w:bookmarkEnd w:id="7"/>
      <w:r>
        <w:t xml:space="preserve">QCMs have served, and in much of the world continue to serve, an indispensable purpose. </w:t>
      </w:r>
      <w:del w:id="100114" w:author="Claude" w:date="2026-09-26T12:00:00Z">
        <w:r>
          <w:delText xml:space="preserve">They preserve the formal system for genuinely meritorious claims by imposing existential costs on those who would advance a grievance without first having it tested. </w:delText>
        </w:r>
      </w:del>
      <w:ins w:id="100115" w:author="Claude" w:date="2026-09-26T12:00:00Z">
        <w:r>
          <w:t xml:space="preserve">They make the advocate test his claim before he brings it, by imposing existential costs on anyone who would advance a grievance without first having it tested; and in doing so they preserve the formal system for genuinely meritorious claims. </w:t>
        </w:r>
      </w:ins>
      <w:r>
        <w:t xml:space="preserve">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w:t>
      </w:r>
      <w:ins w:id="100116" w:author="Claude" w:date="2026-09-26T12:00:00Z">
        <w:r>
          <w:t xml:space="preserve">But the geometry is secondary. </w:t>
        </w:r>
      </w:ins>
      <w:r>
        <w:t xml:space="preserve">Modern American ADR has flattened </w:t>
      </w:r>
      <w:del w:id="100117" w:author="Claude" w:date="2026-09-26T12:00:00Z">
        <w:r>
          <w:delText>this geometry</w:delText>
        </w:r>
      </w:del>
      <w:ins w:id="100118" w:author="Claude" w:date="2026-09-26T12:00:00Z">
        <w:r>
          <w:t>it</w:t>
        </w:r>
      </w:ins>
      <w:r>
        <w:t xml:space="preserve"> entirely, compressing both tracks onto a single post-filing plane where negotiation, mediation, arbitration, and litigation sit side by side, distinguished only by procedure and never by whether the underlying claim </w:t>
      </w:r>
      <w:del w:id="100119" w:author="Claude" w:date="2026-09-26T12:00:00Z">
        <w:r>
          <w:delText>merited</w:delText>
        </w:r>
      </w:del>
      <w:ins w:id="100120" w:author="Claude" w:date="2026-09-26T12:00:00Z">
        <w:r>
          <w:t>was</w:t>
        </w:r>
      </w:ins>
      <w:r>
        <w:t xml:space="preserve"> </w:t>
      </w:r>
      <w:del w:id="100121" w:author="Claude" w:date="2026-09-26T12:00:00Z">
        <w:r>
          <w:delText>externalization</w:delText>
        </w:r>
      </w:del>
      <w:ins w:id="100122" w:author="Claude" w:date="2026-09-26T12:00:00Z">
        <w:r>
          <w:t>ready to be Externalized</w:t>
        </w:r>
      </w:ins>
      <w:r>
        <w:t xml:space="preserve"> in the first place.</w:t>
      </w:r>
      <w:r>
        <w:rPr>
          <w:rStyle w:val="FootnoteReference"/>
          <w:color w:val="000000" w:themeColor="text1"/>
        </w:rPr>
        <w:footnoteReference w:id="52"/>
      </w:r>
      <w:del w:id="100123" w:author="Claude" w:date="2026-09-26T12:00:00Z">
        <w:r>
          <w:delText xml:space="preserve"> The choice among these forums is merely a choice among post-externalization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ins w:id="100124" w:author="Claude" w:date="2026-09-26T12:00:00Z">
        <w:r>
          <w:t xml:space="preserve"> To be sure, the choice among forums matters; but it is a choice of where to send a claim that has already left the room, and it says nothing about whether the claim was tested before it left. What was lost when the tracks collapsed was not, principally, a filter for the docket. It was the moment—the only one the system provided—at which a claimant had to hear his assumptions attacked by people who did not share them. That, the groupthink literature tells us, is the only thing that keeps a cohesive group honest with itself. Once Deliberative Bodies stop asking “has this claim been tested?” they spend their energy getting the dispute ready for a forum, working backward from what the forum expects; and they never get around to the exercise that would have exposed their own assumptions, and the biases buried in them, to authentic dissent.</w:t>
        </w:r>
      </w:ins>
      <w:r>
        <w:rPr>
          <w:rStyle w:val="FootnoteReference"/>
          <w:color w:val="000000" w:themeColor="text1"/>
        </w:rPr>
        <w:footnoteReference w:id="53"/>
      </w:r>
      <w:r>
        <w:t xml:space="preserve"> This is not to say that every claim belongs in an informal forum;</w:t>
      </w:r>
      <w:del w:id="100125" w:author="Claude" w:date="2026-09-26T12:00:00Z">
        <w:r>
          <w:delText xml:space="preserve">  </w:delText>
        </w:r>
      </w:del>
      <w:ins w:id="100126" w:author="Claude" w:date="2026-09-26T12:00:00Z">
        <w:r>
          <w:t xml:space="preserve"> </w:t>
        </w:r>
      </w:ins>
      <w:r>
        <w:t>some grievances can obtain full relief only through formal adjudication, and Deliberative Bodies that elect to seek it are entitled to that choice—but that choice is best made after, not instead of, testing the claim.</w:t>
      </w:r>
      <w:r>
        <w:rPr>
          <w:rStyle w:val="FootnoteReference"/>
          <w:color w:val="000000" w:themeColor="text1"/>
        </w:rPr>
        <w:footnoteReference w:id="54"/>
      </w:r>
      <w:r>
        <w:t xml:space="preserve"> I have represented this collapse in the following figure. </w:t>
      </w:r>
    </w:p>
    <w:p w14:paraId="23927515" w14:textId="513243E6" w:rsidR="009F0FBF" w:rsidRPr="00A9375B" w:rsidRDefault="00C303BD" w:rsidP="003D74D8">
      <w:pPr>
        <w:spacing w:line="480" w:lineRule="auto"/>
        <w:jc w:val="both"/>
        <w:rPr>
          <w:color w:val="000000" w:themeColor="text1"/>
        </w:rPr>
      </w:pPr>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r>
        <w:rPr>
          <w:rStyle w:val="FootnoteReference"/>
          <w:color w:val="000000" w:themeColor="text1"/>
        </w:rPr>
        <w:footnoteReference w:id="55"/>
      </w:r>
    </w:p>
    <w:p w14:paraId="27B6B39D" w14:textId="386995A4" w:rsidR="00321619" w:rsidRPr="00A9375B" w:rsidRDefault="009D146A" w:rsidP="003D74D8">
      <w:pPr>
        <w:pStyle w:val="BodyTextFirstIndent"/>
        <w:spacing w:line="480" w:lineRule="auto"/>
        <w:jc w:val="both"/>
      </w:pPr>
      <w:bookmarkStart w:id="8" w:name="_Ref217223724"/>
      <w:bookmarkEnd w:id="8"/>
      <w:bookmarkStart w:id="9" w:name="_Ref222160954"/>
      <w:bookmarkEnd w:id="9"/>
      <w:r>
        <w:t xml:space="preserve">Why do I turn to history when I could instead focus this Note entirely on the present? The short answer is persuasiveness, but the longer answer is that a particular kind of persuasiveness is required. </w:t>
      </w:r>
      <w:r>
        <w:t xml:space="preserve">The cognitive biases that afflict modern Deliberative Bodies also </w:t>
      </w:r>
      <w:del w:id="100127" w:author="Claude" w:date="2026-09-26T12:00:00Z">
        <w:r>
          <w:delText>impacted</w:delText>
        </w:r>
      </w:del>
      <w:ins w:id="100128" w:author="Claude" w:date="2026-09-26T12:00:00Z">
        <w:r>
          <w:t>afflicted</w:t>
        </w:r>
      </w:ins>
      <w:r>
        <w:t xml:space="preserve"> every Deliberative Body in recorded history, and the societies examined in this Note understood this and built institutions accordingly. To convince modern Deliberative Bodies that they should </w:t>
      </w:r>
      <w:del w:id="100129" w:author="Claude" w:date="2026-09-26T12:00:00Z">
        <w:r>
          <w:delText>change</w:delText>
        </w:r>
      </w:del>
      <w:ins w:id="100130" w:author="Claude" w:date="2026-09-26T12:00:00Z">
        <w:r>
          <w:t>test</w:t>
        </w:r>
      </w:ins>
      <w:r>
        <w:t xml:space="preserve"> </w:t>
      </w:r>
      <w:del w:id="100131" w:author="Claude" w:date="2026-09-26T12:00:00Z">
        <w:r>
          <w:delText>the</w:delText>
        </w:r>
      </w:del>
      <w:ins w:id="100132" w:author="Claude" w:date="2026-09-26T12:00:00Z">
        <w:r>
          <w:t>their</w:t>
        </w:r>
      </w:ins>
      <w:r>
        <w:t xml:space="preserve"> </w:t>
      </w:r>
      <w:del w:id="100133" w:author="Claude" w:date="2026-09-26T12:00:00Z">
        <w:r>
          <w:delText>manner</w:delText>
        </w:r>
      </w:del>
      <w:ins w:id="100134" w:author="Claude" w:date="2026-09-26T12:00:00Z">
        <w:r>
          <w:t>claims</w:t>
        </w:r>
      </w:ins>
      <w:r>
        <w:t xml:space="preserve"> </w:t>
      </w:r>
      <w:del w:id="100135" w:author="Claude" w:date="2026-09-26T12:00:00Z">
        <w:r>
          <w:delText>in which</w:delText>
        </w:r>
      </w:del>
      <w:ins w:id="100136" w:author="Claude" w:date="2026-09-26T12:00:00Z">
        <w:r>
          <w:t>before</w:t>
        </w:r>
      </w:ins>
      <w:r>
        <w:t xml:space="preserve"> they </w:t>
      </w:r>
      <w:del w:id="100137" w:author="Claude" w:date="2026-09-26T12:00:00Z">
        <w:r>
          <w:delText>conceptualize</w:delText>
        </w:r>
      </w:del>
      <w:ins w:id="100138" w:author="Claude" w:date="2026-09-26T12:00:00Z">
        <w:r>
          <w:t>file</w:t>
        </w:r>
      </w:ins>
      <w:r>
        <w:t xml:space="preserve"> </w:t>
      </w:r>
      <w:del w:id="100139" w:author="Claude" w:date="2026-09-26T12:00:00Z">
        <w:r>
          <w:delText>disputes</w:delText>
        </w:r>
      </w:del>
      <w:ins w:id="100140" w:author="Claude" w:date="2026-09-26T12:00:00Z">
        <w:r>
          <w:t>them,</w:t>
        </w:r>
      </w:ins>
      <w:r>
        <w:t xml:space="preserve"> </w:t>
      </w:r>
      <w:del w:id="100141" w:author="Claude" w:date="2026-09-26T12:00:00Z">
        <w:r>
          <w:delText>as</w:delText>
        </w:r>
      </w:del>
      <w:ins w:id="100142" w:author="Claude" w:date="2026-09-26T12:00:00Z">
        <w:r>
          <w:t>rather</w:t>
        </w:r>
      </w:ins>
      <w:r>
        <w:t xml:space="preserve"> </w:t>
      </w:r>
      <w:del w:id="100143" w:author="Claude" w:date="2026-09-26T12:00:00Z">
        <w:r>
          <w:delText>a</w:delText>
        </w:r>
      </w:del>
      <w:ins w:id="100144" w:author="Claude" w:date="2026-09-26T12:00:00Z">
        <w:r>
          <w:t>than</w:t>
        </w:r>
      </w:ins>
      <w:r>
        <w:t xml:space="preserve"> </w:t>
      </w:r>
      <w:del w:id="100145" w:author="Claude" w:date="2026-09-26T12:00:00Z">
        <w:r>
          <w:delText>process</w:delText>
        </w:r>
      </w:del>
      <w:ins w:id="100146" w:author="Claude" w:date="2026-09-26T12:00:00Z">
        <w:r>
          <w:t>ask</w:t>
        </w:r>
      </w:ins>
      <w:r>
        <w:t xml:space="preserve"> </w:t>
      </w:r>
      <w:del w:id="100147" w:author="Claude" w:date="2026-09-26T12:00:00Z">
        <w:r>
          <w:delText>of</w:delText>
        </w:r>
      </w:del>
      <w:ins w:id="100148" w:author="Claude" w:date="2026-09-26T12:00:00Z">
        <w:r>
          <w:t>only</w:t>
        </w:r>
      </w:ins>
      <w:r>
        <w:t xml:space="preserve"> </w:t>
      </w:r>
      <w:del w:id="100149" w:author="Claude" w:date="2026-09-26T12:00:00Z">
        <w:r>
          <w:delText>looking</w:delText>
        </w:r>
      </w:del>
      <w:ins w:id="100150" w:author="Claude" w:date="2026-09-26T12:00:00Z">
        <w:r>
          <w:t>where</w:t>
        </w:r>
      </w:ins>
      <w:r>
        <w:t xml:space="preserve"> </w:t>
      </w:r>
      <w:del w:id="100151" w:author="Claude" w:date="2026-09-26T12:00:00Z">
        <w:r>
          <w:delText>outward</w:delText>
        </w:r>
      </w:del>
      <w:ins w:id="100152" w:author="Claude" w:date="2026-09-26T12:00:00Z">
        <w:r>
          <w:t>to file them</w:t>
        </w:r>
      </w:ins>
      <w:r>
        <w:t xml:space="preserve">, I cannot usefully cite scholarship and empirical studies that conclusively establish the benefits of testing one’s claim before filing it, for these studies, sound as they are, speak only in the idiom of the system that produced the deficiency. </w:t>
      </w:r>
      <w:r>
        <w:t>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r>
        <w:rPr>
          <w:rStyle w:val="FootnoteReference"/>
          <w:color w:val="000000" w:themeColor="text1"/>
        </w:rPr>
        <w:footnoteReference w:id="56"/>
      </w:r>
      <w:r>
        <w:t xml:space="preserve"> Rather, I submit that groupthink (the cause of poor litigation strategy) can be avoided only if Deliberative Bodies cultivate the ideological diversity required to question those terms before filing. </w:t>
      </w:r>
      <w:r>
        <w:t>My approach also adheres to current Supreme Court jurisprudence</w:t>
      </w:r>
      <w:del w:id="100153" w:author="Claude" w:date="2026-09-26T12:00:00Z">
        <w:r>
          <w:delText xml:space="preserve"> </w:delText>
        </w:r>
      </w:del>
      <w:r>
        <w:t>, which asks whether a modern practice is “relevantly similar” to what tradition permits, “apply[ing] faithfully the balance struck by the founding generation to modern circumstances.”</w:t>
      </w:r>
      <w:r>
        <w:rPr>
          <w:rStyle w:val="FootnoteReference"/>
          <w:color w:val="000000" w:themeColor="text1"/>
        </w:rPr>
        <w:footnoteReference w:id="57"/>
      </w:r>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r>
        <w:rPr>
          <w:rStyle w:val="FootnoteReference"/>
          <w:color w:val="000000" w:themeColor="text1"/>
        </w:rPr>
        <w:footnoteReference w:id="58"/>
      </w:r>
    </w:p>
    <w:p w14:paraId="0D8319CC" w14:textId="77777777" w:rsidR="00CC4B9B" w:rsidRPr="00A9375B" w:rsidRDefault="00CC4B9B" w:rsidP="003D74D8">
      <w:pPr>
        <w:pStyle w:val="BodyTextFirstIndent"/>
        <w:spacing w:line="480" w:lineRule="auto"/>
        <w:ind w:firstLine="0"/>
        <w:jc w:val="both"/>
      </w:pPr>
    </w:p>
    <w:p w14:paraId="723AE123" w14:textId="186CD35F" w:rsidR="00CC4B9B" w:rsidRPr="00A9375B" w:rsidRDefault="00CC4B9B" w:rsidP="003D74D8">
      <w:pPr>
        <w:pStyle w:val="BodyTextFirstIndent"/>
        <w:numPr>
          <w:ilvl w:val="0"/>
          <w:numId w:val="33"/>
        </w:numPr>
        <w:spacing w:line="480" w:lineRule="auto"/>
        <w:jc w:val="both"/>
        <w:rPr>
          <w:i/>
          <w:iCs/>
        </w:rPr>
      </w:pPr>
      <w:r>
        <w:rPr>
          <w:i/>
          <w:iCs/>
        </w:rPr>
        <w:t>Lawyers File Disputes Without Testing Them Because of Three Historical Reasons</w:t>
      </w:r>
    </w:p>
    <w:p w14:paraId="37C06446" w14:textId="77777777" w:rsidR="003B6B60" w:rsidRPr="00A9375B" w:rsidRDefault="003B6B60" w:rsidP="003D74D8">
      <w:pPr>
        <w:pStyle w:val="BodyTextFirstIndent"/>
        <w:spacing w:line="480" w:lineRule="auto"/>
        <w:ind w:left="360" w:firstLine="0"/>
        <w:jc w:val="both"/>
      </w:pPr>
    </w:p>
    <w:p w14:paraId="11F3F2D2" w14:textId="5859F504" w:rsidR="00BD7E7F" w:rsidRPr="00A9375B" w:rsidRDefault="00BD7E7F" w:rsidP="003D74D8">
      <w:pPr>
        <w:pStyle w:val="BodyTextFirstIndent2"/>
        <w:spacing w:line="480" w:lineRule="auto"/>
        <w:ind w:left="0"/>
        <w:jc w:val="both"/>
      </w:pPr>
      <w:r>
        <w: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t>
      </w:r>
      <w:r>
        <w:rPr>
          <w:rStyle w:val="FootnoteReference"/>
          <w:color w:val="000000" w:themeColor="text1"/>
        </w:rPr>
        <w:footnoteReference w:id="59"/>
      </w:r>
      <w:del w:id="100154" w:author="Claude" w:date="2026-09-26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w:delText>
        </w:r>
      </w:del>
      <w:ins w:id="100155" w:author="Claude" w:date="2026-09-26T12:00:00Z">
        <w:r>
          <w:t xml:space="preserve"> That is the principal loss, and it is a loss to advocacy. There was a secondary loss as well: the informal forums that had historically operated as a coequal track alongside the formal system collapsed into procedural variations of the same adversarial process, so that the question the system asks of a grievance became which forum to send it to rather than whether it had been tested at all. Cognitive biases rushed in to fill the space the fees had left, in the individual lawyer and across entire legal teams. </w:t>
        </w:r>
      </w:ins>
      <w:r>
        <w:t xml:space="preserve">An introduction to each of the three developments follows, along with an explanation of how each contributes to the creation of cognitive bias. </w:t>
      </w:r>
    </w:p>
    <w:p w14:paraId="001CF5B8" w14:textId="77777777" w:rsidR="00BD7E7F" w:rsidRPr="00A9375B" w:rsidRDefault="00BD7E7F" w:rsidP="003D74D8">
      <w:pPr>
        <w:pStyle w:val="BodyTextFirstIndent2"/>
        <w:spacing w:line="480" w:lineRule="auto"/>
        <w:ind w:left="0" w:firstLine="0"/>
        <w:jc w:val="both"/>
      </w:pPr>
    </w:p>
    <w:p w14:paraId="269B0113" w14:textId="425210F0" w:rsidR="00C708D7" w:rsidRPr="00A9375B" w:rsidRDefault="00C708D7" w:rsidP="003D74D8">
      <w:pPr>
        <w:pStyle w:val="BodyTextFirstIndent2"/>
        <w:numPr>
          <w:ilvl w:val="0"/>
          <w:numId w:val="35"/>
        </w:numPr>
        <w:spacing w:line="480" w:lineRule="auto"/>
        <w:jc w:val="both"/>
        <w:rPr>
          <w:i/>
          <w:iCs/>
          <w:smallCaps/>
        </w:rPr>
      </w:pPr>
      <w:r>
        <w:rPr>
          <w:i/>
          <w:iCs/>
          <w:smallCaps/>
        </w:rPr>
        <w:t>First Historical Development – Choice of Lawyers Role</w:t>
      </w:r>
    </w:p>
    <w:p w14:paraId="2CEAD5CA" w14:textId="77777777" w:rsidR="00B57D67" w:rsidRPr="00A9375B" w:rsidRDefault="00B57D67" w:rsidP="003D74D8">
      <w:pPr>
        <w:pStyle w:val="BodyTextFirstIndent2"/>
        <w:spacing w:line="480" w:lineRule="auto"/>
        <w:ind w:left="720" w:firstLine="0"/>
        <w:jc w:val="both"/>
      </w:pPr>
    </w:p>
    <w:p w14:paraId="483DFA56" w14:textId="051B8A0E" w:rsidR="00094246" w:rsidRPr="00A9375B" w:rsidRDefault="00B663C8" w:rsidP="003D74D8">
      <w:pPr>
        <w:pStyle w:val="BodyTextFirstIndent2"/>
        <w:spacing w:line="480" w:lineRule="auto"/>
        <w:ind w:left="0"/>
        <w:jc w:val="both"/>
      </w:pPr>
      <w:r>
        <w: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t>
      </w:r>
      <w:r>
        <w:rPr>
          <w:rStyle w:val="FootnoteReference"/>
          <w:color w:val="000000" w:themeColor="text1"/>
        </w:rPr>
        <w:footnoteReference w:id="60"/>
      </w:r>
      <w:r>
        <w:t xml:space="preserve"> George Sharswood cast him as a zealous advocate: “the lawyer, who refuses his professional assistance because in his judgment the case is unjust and indefensible, usurps the functions of both judge and jury.”</w:t>
      </w:r>
      <w:r>
        <w:rPr>
          <w:rStyle w:val="FootnoteReference"/>
        </w:rPr>
        <w:footnoteReference w:id="61"/>
      </w:r>
    </w:p>
    <w:p w14:paraId="7B0E8787" w14:textId="689D5FE7" w:rsidR="000B08B7" w:rsidRPr="00A9375B" w:rsidRDefault="00B663C8" w:rsidP="003D74D8">
      <w:pPr>
        <w:pStyle w:val="BodyTextFirstIndent"/>
        <w:spacing w:line="480" w:lineRule="auto"/>
        <w:jc w:val="both"/>
      </w:pPr>
      <w:r>
        <w:lastRenderedPageBreak/>
        <w:t>The profession adopted Sharswood’s view as “the basis for the Canons [which] later evolved into the Model Code and the Model Rules.”</w:t>
      </w:r>
      <w:r>
        <w:rPr>
          <w:rStyle w:val="FootnoteReference"/>
        </w:rPr>
        <w:footnoteReference w:id="62"/>
      </w:r>
      <w:r>
        <w:t xml:space="preserve"> As a result, “one byproduct of an adversary model is that it polarizes the participants, imposing pressures on them to dogmatically pursue their own perceived interests or their own assessments of the proper outcomes of their cases”.</w:t>
      </w:r>
      <w:r>
        <w:rPr>
          <w:rStyle w:val="FootnoteReference"/>
          <w:color w:val="000000" w:themeColor="text1"/>
        </w:rPr>
        <w:footnoteReference w:id="63"/>
      </w:r>
      <w:r>
        <w:t xml:space="preserve"> The Model Code and Model Rules carried Sharswood’s principle that “the responsibility for advising as to questionable transactions, for bringing questionable suits, for urging questionable defenses, [was] the lawyer's responsibility.”</w:t>
      </w:r>
      <w:r>
        <w:rPr>
          <w:rStyle w:val="FootnoteReference"/>
        </w:rPr>
        <w:footnoteReference w:id="64"/>
      </w:r>
      <w:r>
        <w:t xml:space="preserve"> Delegating case assessment to the lawyer’s sole province proved particularly improvident in an era in which “private interests were primary” and “[w]hether a lawyer behaved ethically became a test of private conscience, not public honor.”</w:t>
      </w:r>
      <w:r>
        <w:rPr>
          <w:rStyle w:val="FootnoteReference"/>
        </w:rPr>
        <w:footnoteReference w:id="65"/>
      </w:r>
      <w:r>
        <w:t xml:space="preserve"> </w:t>
      </w:r>
    </w:p>
    <w:p w14:paraId="7126D178" w14:textId="46504588" w:rsidR="000B08B7" w:rsidRPr="00A9375B" w:rsidRDefault="00D70590" w:rsidP="003D74D8">
      <w:pPr>
        <w:pStyle w:val="BodyTextFirstIndent"/>
        <w:spacing w:line="480" w:lineRule="auto"/>
        <w:jc w:val="both"/>
      </w:pPr>
      <w:del w:id="100351" w:author="Claude" w:date="2026-09-26T12:00:00Z">
        <w:r>
          <w:delText xml:space="preserve">Dan Simon and Minwoo Ahn describe a logic of reciprocity within the adversarial mindset. </w:delText>
        </w:r>
      </w:del>
      <w:ins w:id="100352" w:author="Claude" w:date="2026-09-26T12:00:00Z">
        <w:r>
          <w:t>The bar’s own defense of the adversary system rests on a concession it has never followed to its conclusion. The Joint Conference of the American Bar Association and the Association of American Law Schools admitted, in its 1958 report on professional responsibility, that “what starts as a preliminary diagnosis designed to direct the inquiry tends, quickly and imperceptibly, to become a fixed conclusion, as all that confirms the diagnosis makes a strong imprint on the mind, while all that runs counter to it is received with diverted attention,” and that “[a]n adversary presentation seems the only effective means for combatting this natural human tendency to judge too swiftly in terms of the familiar that which is not yet fully known.”</w:t>
        </w:r>
        <w:r>
          <w:rPr>
            <w:rStyle w:val="FootnoteReference"/>
          </w:rPr>
          <w:footnoteReference w:id="712"/>
        </w:r>
        <w:r>
          <w:t xml:space="preserve"> I entirely agree. But the adversary system supplies the adversary only after filing, when the diagnosis has long since hardened; the Deliberative Body must supply him before. The same report set the limit of zeal: the advocate “plays his role badly, and trespasses against the obligations of professional responsibility, when his desire to win leads him to muddy the headwaters of decision.”</w:t>
        </w:r>
        <w:r>
          <w:rPr>
            <w:rStyle w:val="FootnoteReference"/>
          </w:rPr>
          <w:footnoteReference w:id="713"/>
        </w:r>
        <w:r>
          <w:t xml:space="preserve"> Dewey had made the diagnosis a generation earlier: “No lawyer ever thought out the case of a client in terms of the syllogism. He begins with a conclusion which he intends to reach, favorable to his client of course, and then analyzes the facts of the situation to find material out of which to construct a favorable statement of facts.”</w:t>
        </w:r>
        <w:r>
          <w:rPr>
            <w:rStyle w:val="FootnoteReference"/>
          </w:rPr>
          <w:footnoteReference w:id="709"/>
        </w:r>
        <w:r>
          <w:t xml:space="preserve"> Dan Simon and Minwoo Ahn describe a logic of reciprocity within the adversarial mindset. </w:t>
        </w:r>
      </w:ins>
      <w:r>
        <w:t>On that logic, “the reflexively and thoughtlessly conjured schemas of a biased, untrustworthy and distrusting counterpart are by and large justifiable plainly because people on both sides of an adversarial divide tend to be biased, untrustworthy and distrusting.”</w:t>
      </w:r>
      <w:r>
        <w:rPr>
          <w:rStyle w:val="FootnoteReference"/>
        </w:rPr>
        <w:footnoteReference w:id="66"/>
      </w:r>
      <w:r>
        <w:t xml:space="preserve"> Today Holger Spamann finds that law students develop this dogmatic thinking within forty minutes of being assigned an advocacy role,</w:t>
      </w:r>
      <w:r>
        <w:rPr>
          <w:rStyle w:val="FootnoteReference"/>
          <w:color w:val="000000" w:themeColor="text1"/>
        </w:rPr>
        <w:footnoteReference w:id="67"/>
      </w:r>
      <w:r>
        <w:t xml:space="preserve"> with the legal mandate of zealous advocacy “bias[ing] a range of judgments automatically and without conscious control.”</w:t>
      </w:r>
      <w:r>
        <w:rPr>
          <w:rStyle w:val="FootnoteReference"/>
          <w:color w:val="000000" w:themeColor="text1"/>
        </w:rPr>
        <w:footnoteReference w:id="68"/>
      </w:r>
      <w:r>
        <w:t xml:space="preserve"> In part, this occurs because the mere act of placing people in hypercompetitive roles impairs one’s ability to assess situations objectively.</w:t>
      </w:r>
      <w:r>
        <w:rPr>
          <w:rStyle w:val="FootnoteReference"/>
          <w:color w:val="000000" w:themeColor="text1"/>
        </w:rPr>
        <w:footnoteReference w:id="69"/>
      </w:r>
      <w:r>
        <w:t xml:space="preserve"> “[z]eal might cloud the mind of the advocate, undermining their sensitivity to the sensibilities of their audience and blinding them to the weaknesses of their argument.”</w:t>
      </w:r>
      <w:r>
        <w:rPr>
          <w:rStyle w:val="FootnoteReference"/>
        </w:rPr>
        <w:footnoteReference w:id="70"/>
      </w:r>
      <w:r>
        <w:t xml:space="preserve"> Such bias is so pervasive that advocates cannot provide an objective assessment of their case even when they become aware of the bias itself.</w:t>
      </w:r>
      <w:r>
        <w:rPr>
          <w:rStyle w:val="FootnoteReference"/>
          <w:color w:val="000000" w:themeColor="text1"/>
        </w:rPr>
        <w:footnoteReference w:id="71"/>
      </w:r>
      <w:r>
        <w:t xml:space="preserve"> </w:t>
      </w:r>
    </w:p>
    <w:p w14:paraId="7BE1216F" w14:textId="77777777" w:rsidR="003B6B60" w:rsidRPr="00A9375B" w:rsidRDefault="003B6B60" w:rsidP="003D74D8">
      <w:pPr>
        <w:pStyle w:val="BodyTextFirstIndent"/>
        <w:spacing w:line="480" w:lineRule="auto"/>
        <w:jc w:val="both"/>
      </w:pPr>
    </w:p>
    <w:p w14:paraId="127FCD55" w14:textId="15DF79E0" w:rsidR="00C708D7" w:rsidRPr="00A9375B" w:rsidRDefault="00C708D7" w:rsidP="003D74D8">
      <w:pPr>
        <w:pStyle w:val="BodyTextFirstIndent2"/>
        <w:numPr>
          <w:ilvl w:val="0"/>
          <w:numId w:val="35"/>
        </w:numPr>
        <w:spacing w:line="480" w:lineRule="auto"/>
        <w:jc w:val="both"/>
        <w:rPr>
          <w:i/>
          <w:iCs/>
          <w:smallCaps/>
        </w:rPr>
      </w:pPr>
      <w:r>
        <w:rPr>
          <w:i/>
          <w:iCs/>
          <w:smallCaps/>
        </w:rPr>
        <w:t>Second Historical Development – Institutional Capacity for Disputes</w:t>
      </w:r>
    </w:p>
    <w:p w14:paraId="0A9C7419" w14:textId="77777777" w:rsidR="00B57D67" w:rsidRPr="00A9375B" w:rsidRDefault="00B57D67" w:rsidP="003D74D8">
      <w:pPr>
        <w:pStyle w:val="BodyTextFirstIndent2"/>
        <w:spacing w:line="480" w:lineRule="auto"/>
        <w:ind w:left="720" w:firstLine="0"/>
        <w:jc w:val="both"/>
      </w:pPr>
    </w:p>
    <w:p w14:paraId="1C1689F2" w14:textId="5F3727E8" w:rsidR="00B573FE" w:rsidRPr="00A9375B" w:rsidRDefault="00B663C8" w:rsidP="003D74D8">
      <w:pPr>
        <w:pStyle w:val="BodyTextFirstIndent"/>
        <w:spacing w:line="480" w:lineRule="auto"/>
        <w:jc w:val="both"/>
      </w:pPr>
      <w:del w:id="100156" w:author="Claude" w:date="2026-09-26T12:00:00Z">
        <w:r>
          <w:delText xml:space="preserve">Second, attitudes toward court alternatives vacillated from the nation’s founding to the Progressive Era. </w:delText>
        </w:r>
      </w:del>
      <w:ins w:id="100157" w:author="Claude" w:date="2026-09-26T12:00:00Z">
        <w:r>
          <w:t xml:space="preserve">Second, as the legal system’s capacity for disputes expanded, lawyers moved into the informal forums that had once absorbed weak claims, and the job of screening claims passed from the advocate, before filing, to the court, after it. The story begins with attitudes toward court alternatives, which vacillated from the nation’s founding to the Progressive Era. </w:t>
        </w:r>
      </w:ins>
      <w:r>
        <w:t>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r>
        <w:rPr>
          <w:rStyle w:val="FootnoteReference"/>
        </w:rPr>
        <w:footnoteReference w:id="72"/>
      </w:r>
      <w:r>
        <w:t xml:space="preserve"> Although “one rarely finds a legislative history as unambiguous as the FAA’s,” the Supreme Court disregarded this intent to transform a modest procedural framework into an all-encompassing system of mandated ADR.</w:t>
      </w:r>
      <w:r>
        <w:rPr>
          <w:rStyle w:val="FootnoteReference"/>
        </w:rPr>
        <w:footnoteReference w:id="73"/>
      </w:r>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r>
        <w:rPr>
          <w:rStyle w:val="FootnoteReference"/>
        </w:rPr>
        <w:footnoteReference w:id="74"/>
      </w:r>
      <w:r>
        <w:t xml:space="preserve"> After initial experiments with multi-door courthouses failed because courts lacked both infrastructure and methodology, the legal system subsumed ADR into a single system of “litigotiation,” in which litigation and ADR are now “inseparably entwined” as standard, legalized steps in the process.</w:t>
      </w:r>
      <w:r>
        <w:rPr>
          <w:rStyle w:val="FootnoteReference"/>
        </w:rPr>
        <w:footnoteReference w:id="75"/>
      </w:r>
      <w:r>
        <w:t xml:space="preserve"> As Amos Gabrieli and Michal Alberstein describe it,  </w:t>
      </w:r>
    </w:p>
    <w:p w14:paraId="1A5B2E00" w14:textId="7875095D" w:rsidR="00B573FE" w:rsidRPr="00A9375B" w:rsidRDefault="00B573FE" w:rsidP="003D74D8">
      <w:pPr>
        <w:pStyle w:val="BodyTextFirstIndent"/>
        <w:spacing w:line="480" w:lineRule="auto"/>
        <w:ind w:left="720" w:right="720" w:firstLine="0"/>
        <w:jc w:val="both"/>
      </w:pPr>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r>
        <w:rPr>
          <w:rStyle w:val="FootnoteReference"/>
        </w:rPr>
        <w:footnoteReference w:id="76"/>
      </w:r>
    </w:p>
    <w:p w14:paraId="2A95E1B8" w14:textId="147426F6" w:rsidR="002914DE" w:rsidRPr="00A9375B" w:rsidRDefault="00143D39" w:rsidP="003D74D8">
      <w:pPr>
        <w:pStyle w:val="BodyTextFirstIndent"/>
        <w:spacing w:line="480" w:lineRule="auto"/>
        <w:jc w:val="both"/>
      </w:pPr>
      <w:r>
        <w:t>Unsurprisingly, with today’s generous pleading standards, modern Deliberative Bodies can circumvent any assessment of their cases’ legal and factual merit and instead focus on efficiently pursuing “settlement through mobilizing the court process.”</w:t>
      </w:r>
      <w:r>
        <w:rPr>
          <w:rStyle w:val="FootnoteReference"/>
        </w:rPr>
        <w:footnoteReference w:id="77"/>
      </w:r>
      <w:r>
        <w:t xml:space="preserve"> When Deliberative Bodies orient themselves around this goal, the trouble follows. In big law firms, the practice of delegating </w:t>
        <w:lastRenderedPageBreak/>
        <w:t>casework to inexperienced associates—who lack the judgment to recognize what matters and the incentive to report bad facts—means decision-making partners often decide a case is ripe for externalization based on information that was never tested to begin with.</w:t>
      </w:r>
      <w:r>
        <w:rPr>
          <w:rStyle w:val="FootnoteReference"/>
        </w:rPr>
        <w:footnoteReference w:id="78"/>
      </w:r>
      <w:r>
        <w:t xml:space="preserve"> This bureaucratic division is further exacerbated by a legal culture in which attorneys specialize in a narrow area of law, whose members experience their shared beliefs as objective fact and attribute bias only to outsider</w:t>
      </w:r>
      <w:r>
        <w:rPr>
          <w:color w:val="000000" w:themeColor="text1"/>
        </w:rPr>
        <w:t>s.</w:t>
      </w:r>
      <w:r>
        <w:rPr>
          <w:rStyle w:val="FootnoteReference"/>
          <w:color w:val="000000" w:themeColor="text1"/>
        </w:rPr>
        <w:footnoteReference w:id="79"/>
      </w:r>
      <w:r>
        <w:rPr>
          <w:color w:val="000000" w:themeColor="text1"/>
        </w:rPr>
        <w:t xml:space="preserve"> </w:t>
      </w:r>
      <w:r>
        <w:t>Within specialized practice groups, most firms experience insufficient employee voice, particularly regarding decisions employees perceive as unwise.</w:t>
      </w:r>
      <w:bookmarkStart w:id="10" w:name="_Ref222258968"/>
      <w:r>
        <w:rPr>
          <w:rStyle w:val="FootnoteReference"/>
        </w:rPr>
        <w:footnoteReference w:id="80"/>
      </w:r>
      <w:bookmarkEnd w:id="10"/>
      <w:r>
        <w:t xml:space="preserve"> Most importantly, unlike accounting or medicine, law firms often lack rigorous peer-review policies, relying instead on highly subjective professional judgment and deference to individual attorneys.</w:t>
      </w:r>
      <w:r>
        <w:rPr>
          <w:rStyle w:val="FootnoteReference"/>
        </w:rPr>
        <w:footnoteReference w:id="81"/>
      </w:r>
      <w:r>
        <w:t xml:space="preserve"> Especially regarding leadership, most leaders neither seek nor receive honest feedback, and most law firms fail to institutionalize assessments from subordinates.</w:t>
      </w:r>
      <w:r>
        <w:rPr>
          <w:rStyle w:val="FootnoteReference"/>
        </w:rPr>
        <w:footnoteReference w:id="82"/>
      </w:r>
      <w:r>
        <w:t xml:space="preserve"> </w:t>
      </w:r>
    </w:p>
    <w:p w14:paraId="6ABFCDDF" w14:textId="77777777" w:rsidR="00435F10" w:rsidRPr="00A9375B" w:rsidRDefault="00435F10" w:rsidP="003D74D8">
      <w:pPr>
        <w:pStyle w:val="BodyTextFirstIndent"/>
        <w:spacing w:line="480" w:lineRule="auto"/>
        <w:jc w:val="both"/>
      </w:pPr>
    </w:p>
    <w:p w14:paraId="3380AB83" w14:textId="3B8098D6" w:rsidR="00C708D7" w:rsidRPr="00A9375B" w:rsidRDefault="00C708D7" w:rsidP="003D74D8">
      <w:pPr>
        <w:pStyle w:val="BodyTextFirstIndent2"/>
        <w:numPr>
          <w:ilvl w:val="0"/>
          <w:numId w:val="35"/>
        </w:numPr>
        <w:spacing w:line="480" w:lineRule="auto"/>
        <w:jc w:val="both"/>
        <w:rPr>
          <w:i/>
          <w:iCs/>
          <w:smallCaps/>
        </w:rPr>
      </w:pPr>
      <w:r>
        <w:rPr>
          <w:i/>
          <w:iCs/>
          <w:smallCaps/>
        </w:rPr>
        <w:lastRenderedPageBreak/>
        <w:t>Third Historical Development – Monetization of Disputes</w:t>
      </w:r>
    </w:p>
    <w:p w14:paraId="3AE1F961" w14:textId="77777777" w:rsidR="00435F10" w:rsidRPr="00A9375B" w:rsidRDefault="00435F10" w:rsidP="003D74D8">
      <w:pPr>
        <w:pStyle w:val="BodyTextFirstIndent2"/>
        <w:spacing w:line="480" w:lineRule="auto"/>
        <w:ind w:left="720" w:firstLine="0"/>
        <w:jc w:val="both"/>
      </w:pPr>
    </w:p>
    <w:p w14:paraId="3F51F8F5" w14:textId="011ED286" w:rsidR="00EB1107" w:rsidRPr="00A9375B" w:rsidRDefault="00B663C8" w:rsidP="003D74D8">
      <w:pPr>
        <w:pStyle w:val="BodyTextFirstIndent"/>
        <w:spacing w:line="480" w:lineRule="auto"/>
        <w:jc w:val="both"/>
      </w:pPr>
      <w:r>
        <w:t>Third, fixed attorney rates dominated much of American legal history. Then “discovery focused lawyers’ efforts on pretrial maneuvering rather than trials,” and “during the 1960s and early 1970s, much of the legal profession switched to hourly billing.”</w:t>
      </w:r>
      <w:r>
        <w:rPr>
          <w:rStyle w:val="FootnoteReference"/>
        </w:rPr>
        <w:footnoteReference w:id="83"/>
      </w:r>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r>
        <w:rPr>
          <w:rStyle w:val="FootnoteReference"/>
        </w:rPr>
        <w:footnoteReference w:id="84"/>
      </w:r>
      <w:r>
        <w:t xml:space="preserve"> By creating an incentive structure where pretrial maneuvering is lucrative regardless of a case’s ultimate success, the hourly model effectively removes the financial penalty for indulging in cognitive biases,</w:t>
      </w:r>
      <w:r>
        <w:rPr>
          <w:rStyle w:val="FootnoteReference"/>
        </w:rPr>
        <w:footnoteReference w:id="85"/>
      </w:r>
      <w:r>
        <w:t xml:space="preserve"> as explained by one scholar:</w:t>
      </w:r>
    </w:p>
    <w:p w14:paraId="0297D412" w14:textId="5D99454D" w:rsidR="00AA189D" w:rsidRPr="00A9375B" w:rsidRDefault="00EB1107" w:rsidP="003D74D8">
      <w:pPr>
        <w:pStyle w:val="BodyTextFirstIndent"/>
        <w:spacing w:line="480" w:lineRule="auto"/>
        <w:ind w:left="720" w:right="720" w:firstLine="0"/>
        <w:jc w:val="both"/>
      </w:pPr>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lastRenderedPageBreak/>
        <w:t>. . . . [L]awyers may engage in wishful thinking: They might believe a certain outcome is probable simply because of a desire to reach it”</w:t>
      </w:r>
      <w:r>
        <w:rPr>
          <w:rStyle w:val="FootnoteReference"/>
          <w:color w:val="000000" w:themeColor="text1"/>
        </w:rPr>
        <w:footnoteReference w:id="86"/>
      </w:r>
    </w:p>
    <w:p w14:paraId="1A93AD5B" w14:textId="55193EE0" w:rsidR="00B06079" w:rsidRPr="00A9375B" w:rsidRDefault="00667707" w:rsidP="003D74D8">
      <w:pPr>
        <w:pStyle w:val="BodyTextFirstIndent"/>
        <w:spacing w:line="480" w:lineRule="auto"/>
        <w:jc w:val="both"/>
      </w:pPr>
      <w:r>
        <w:t>Professor Ian Weinstein concurs, further claiming that, as a result of overconfidence, “[t]oo many lawyers . . . have been sorely tempted to accept an early decision to go to trial. . . . It can be very satisfying to stride into the courtroom and demand an early trial date.”</w:t>
      </w:r>
      <w:r>
        <w:rPr>
          <w:rStyle w:val="FootnoteReference"/>
          <w:color w:val="000000" w:themeColor="text1"/>
        </w:rPr>
        <w:footnoteReference w:id="87"/>
      </w:r>
      <w:r>
        <w:t xml:space="preserve"> This overconfidence leads practitioners to weigh evidence supporting their prior beliefs more heavily than evidence contradicting them—confirmation bias.</w:t>
      </w:r>
      <w:r>
        <w:rPr>
          <w:rStyle w:val="FootnoteReference"/>
          <w:color w:val="000000" w:themeColor="text1"/>
        </w:rPr>
        <w:footnoteReference w:id="88"/>
      </w:r>
      <w:r>
        <w:t xml:space="preserve"> </w:t>
      </w:r>
      <w:del w:id="100292" w:author="Claude" w:date="2026-09-26T12:00:00Z">
        <w:r>
          <w:delText>If</w:delText>
        </w:r>
      </w:del>
      <w:ins w:id="100293" w:author="Claude" w:date="2026-09-26T12:00:00Z">
        <w:r>
          <w:t>When</w:t>
        </w:r>
      </w:ins>
      <w:r>
        <w:t xml:space="preserve"> lawyers </w:t>
      </w:r>
      <w:del w:id="100294" w:author="Claude" w:date="2026-09-26T12:00:00Z">
        <w:r>
          <w:delText>focus</w:delText>
        </w:r>
      </w:del>
      <w:ins w:id="100295" w:author="Claude" w:date="2026-09-26T12:00:00Z">
        <w:r>
          <w:t>do</w:t>
        </w:r>
      </w:ins>
      <w:r>
        <w:t xml:space="preserve"> </w:t>
      </w:r>
      <w:del w:id="100296" w:author="Claude" w:date="2026-09-26T12:00:00Z">
        <w:r>
          <w:delText>exclusively</w:delText>
        </w:r>
      </w:del>
      <w:ins w:id="100297" w:author="Claude" w:date="2026-09-26T12:00:00Z">
        <w:r>
          <w:t>not</w:t>
        </w:r>
      </w:ins>
      <w:r>
        <w:t xml:space="preserve"> </w:t>
      </w:r>
      <w:del w:id="100298" w:author="Claude" w:date="2026-09-26T12:00:00Z">
        <w:r>
          <w:delText>on selecting the optimal external forum rather than scrutinizing</w:delText>
        </w:r>
      </w:del>
      <w:ins w:id="100299" w:author="Claude" w:date="2026-09-26T12:00:00Z">
        <w:r>
          <w:t>test</w:t>
        </w:r>
      </w:ins>
      <w:r>
        <w:t xml:space="preserve"> their claims</w:t>
      </w:r>
      <w:ins w:id="100300" w:author="Claude" w:date="2026-09-26T12:00:00Z">
        <w:r>
          <w:t>, and ask only where to bring them</w:t>
        </w:r>
      </w:ins>
      <w:r>
        <w:t>, “the motivation to achieve a certain case outcome may lead lawyers to discount the assessment of the external party if it does not fit with their preferred belief.”</w:t>
      </w:r>
      <w:r>
        <w:rPr>
          <w:rStyle w:val="FootnoteReference"/>
          <w:color w:val="000000" w:themeColor="text1"/>
        </w:rPr>
        <w:footnoteReference w:id="89"/>
      </w:r>
      <w:r>
        <w:t xml:space="preserve"> Even if an attorney is not rushing into the courtroom, the trouble remains: “to be really good at doing law, one has to have serious blind spots and a stunningly selective sense of curiosity.”</w:t>
      </w:r>
      <w:r>
        <w:rPr>
          <w:rStyle w:val="FootnoteReference"/>
          <w:color w:val="000000" w:themeColor="text1"/>
        </w:rPr>
        <w:footnoteReference w:id="90"/>
      </w:r>
      <w:r>
        <w:t xml:space="preserve"> And some of the most high-profile senior partners excel at “dismissing or reframing adverse precedent that fails to suit the position they want to take.”</w:t>
      </w:r>
      <w:r>
        <w:rPr>
          <w:rStyle w:val="FootnoteReference"/>
          <w:color w:val="000000" w:themeColor="text1"/>
        </w:rPr>
        <w:footnoteReference w:id="91"/>
      </w:r>
      <w:r>
        <w:t xml:space="preserve"> </w:t>
      </w:r>
    </w:p>
    <w:p w14:paraId="18D80D89" w14:textId="448DF081" w:rsidR="00556D4F" w:rsidRPr="00A9375B" w:rsidRDefault="001A6B9B" w:rsidP="003D74D8">
      <w:pPr>
        <w:pStyle w:val="BodyTextFirstIndent"/>
        <w:spacing w:line="480" w:lineRule="auto"/>
        <w:jc w:val="both"/>
      </w:pPr>
      <w:r>
        <w:t>Combined, these three historical circumstances—the profession’s choice of zealous advocacy, the unique American institutional capacity for disputes, and the culture of billable hours—have produced a present in which:</w:t>
      </w:r>
    </w:p>
    <w:p w14:paraId="6EA39F71" w14:textId="55030E39" w:rsidR="00D13E93" w:rsidRPr="00A9375B" w:rsidRDefault="00556D4F" w:rsidP="003D74D8">
      <w:pPr>
        <w:pStyle w:val="BodyTextFirstIndent"/>
        <w:spacing w:line="480" w:lineRule="auto"/>
        <w:ind w:left="720" w:right="720" w:firstLine="0"/>
        <w:jc w:val="both"/>
      </w:pPr>
      <w:r>
        <w:t>“the combat mode of advocacy is far more expensive than effective . . . although earnest, forceful, and devoted representation is both zealous and proper, Rambo and kamikaze lawyers lead themselves and their clients to zealous extinction.”</w:t>
      </w:r>
      <w:r>
        <w:rPr>
          <w:rStyle w:val="FootnoteReference"/>
        </w:rPr>
        <w:footnoteReference w:id="92"/>
      </w:r>
    </w:p>
    <w:p w14:paraId="763DBA5B" w14:textId="215187B3" w:rsidR="008969CF" w:rsidRPr="00FB4F49" w:rsidRDefault="00FB4F49" w:rsidP="003D74D8">
      <w:pPr>
        <w:pStyle w:val="BodyTextFirstIndent"/>
        <w:spacing w:line="480" w:lineRule="auto"/>
        <w:jc w:val="both"/>
      </w:pPr>
      <w:r>
        <w:t xml:space="preserve">Put simply, history </w:t>
      </w:r>
      <w:del w:id="100158" w:author="Claude" w:date="2026-09-26T12:00:00Z">
        <w:r>
          <w:delText>impacts</w:delText>
        </w:r>
      </w:del>
      <w:ins w:id="100159" w:author="Claude" w:date="2026-09-26T12:00:00Z">
        <w:r>
          <w:t>governs</w:t>
        </w:r>
      </w:ins>
      <w:r>
        <w:t xml:space="preserve">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w:t>
      </w:r>
      <w:r>
        <w:t>Yet the modern Quality Control Mechanism proposed in this Note can neutralize these biases: authentic dissent generated by a cognitively diverse team.</w:t>
      </w:r>
      <w:r>
        <w:rPr>
          <w:rStyle w:val="FootnoteReference"/>
          <w:color w:val="000000" w:themeColor="text1"/>
        </w:rPr>
        <w:footnoteReference w:id="93"/>
      </w:r>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r>
        <w:rPr>
          <w:rStyle w:val="FootnoteReference"/>
        </w:rPr>
        <w:footnoteReference w:id="94"/>
      </w:r>
      <w:r>
        <w:t xml:space="preserve"> Unfortunately, a high degree of psychological safety “is the exception in organizations, not the norm.”</w:t>
      </w:r>
      <w:r>
        <w:rPr>
          <w:rStyle w:val="FootnoteReference"/>
        </w:rPr>
        <w:footnoteReference w:id="95"/>
      </w:r>
      <w:r>
        <w: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w:t>
      </w:r>
      <w:del w:id="100160" w:author="Claude" w:date="2026-09-26T12:00:00Z">
        <w:r>
          <w:delText>externalize</w:delText>
        </w:r>
      </w:del>
      <w:ins w:id="100161" w:author="Claude" w:date="2026-09-26T12:00:00Z">
        <w:r>
          <w:t>file</w:t>
        </w:r>
      </w:ins>
      <w:r>
        <w:t xml:space="preserve"> a claim</w:t>
      </w:r>
      <w:ins w:id="100162" w:author="Claude" w:date="2026-09-26T12:00:00Z">
        <w:r>
          <w:t>, and the shape of the claim that is filed</w:t>
        </w:r>
      </w:ins>
      <w:r>
        <w:t>.</w:t>
      </w:r>
      <w:r>
        <w:rPr>
          <w:rStyle w:val="FootnoteReference"/>
          <w:color w:val="000000" w:themeColor="text1"/>
        </w:rPr>
        <w:footnoteReference w:id="96"/>
      </w:r>
      <w:r>
        <w:t xml:space="preserve"> A Deliberative Body serves its own interest by considering my suggestions, as research demonstrates that a team’s output quality improves </w:t>
      </w:r>
      <w:r>
        <w:rPr>
          <w:iCs/>
        </w:rPr>
        <w:t>through the inclusion of authentic dissent.</w:t>
      </w:r>
      <w:r>
        <w:rPr>
          <w:rStyle w:val="FootnoteReference"/>
          <w:iCs/>
        </w:rPr>
        <w:footnoteReference w:id="97"/>
      </w:r>
      <w:r>
        <w:rPr>
          <w:iCs/>
        </w:rPr>
        <w:t xml:space="preserve"> </w:t>
      </w:r>
    </w:p>
    <w:p w14:paraId="307E9CF2" w14:textId="77777777" w:rsidR="00CC4B9B" w:rsidRPr="00A9375B" w:rsidRDefault="00CC4B9B" w:rsidP="003D74D8">
      <w:pPr>
        <w:pStyle w:val="BodyTextFirstIndent"/>
        <w:spacing w:line="480" w:lineRule="auto"/>
        <w:ind w:firstLine="0"/>
        <w:jc w:val="both"/>
      </w:pPr>
    </w:p>
    <w:p w14:paraId="35CCEF55" w14:textId="3F17F672" w:rsidR="00CC4B9B" w:rsidRPr="00A9375B" w:rsidRDefault="00CC4B9B" w:rsidP="003D74D8">
      <w:pPr>
        <w:pStyle w:val="BodyTextFirstIndent"/>
        <w:numPr>
          <w:ilvl w:val="0"/>
          <w:numId w:val="33"/>
        </w:numPr>
        <w:spacing w:line="480" w:lineRule="auto"/>
        <w:jc w:val="both"/>
        <w:rPr>
          <w:i/>
          <w:iCs/>
        </w:rPr>
      </w:pPr>
      <w:r>
        <w:rPr>
          <w:i/>
          <w:iCs/>
        </w:rPr>
        <w:t>Roadmap</w:t>
      </w:r>
    </w:p>
    <w:p w14:paraId="29745895" w14:textId="77777777" w:rsidR="00CC4B9B" w:rsidRPr="00A9375B" w:rsidRDefault="00CC4B9B" w:rsidP="003D74D8">
      <w:pPr>
        <w:pStyle w:val="BodyTextFirstIndent"/>
        <w:spacing w:line="480" w:lineRule="auto"/>
        <w:ind w:left="360" w:firstLine="0"/>
        <w:jc w:val="both"/>
      </w:pPr>
    </w:p>
    <w:p w14:paraId="72E87728" w14:textId="3CF53CEE" w:rsidR="00765972" w:rsidRPr="00A9375B" w:rsidRDefault="00D13E93" w:rsidP="003D74D8">
      <w:pPr>
        <w:pStyle w:val="BodyTextFirstIndent"/>
        <w:spacing w:line="480" w:lineRule="auto"/>
        <w:jc w:val="both"/>
      </w:pPr>
      <w:del w:id="100163" w:author="Claude" w:date="2026-09-26T12:00:00Z">
        <w:r>
          <w:delText xml:space="preserve">This Note proceeds in eight parts, each building toward a reconceptualization of alternative dispute resolution. </w:delText>
        </w:r>
      </w:del>
      <w:ins w:id="100164" w:author="Claude" w:date="2026-09-26T12:00:00Z">
        <w:r>
          <w:t xml:space="preserve">This Note proceeds in eight parts, each building toward a single conclusion about advocacy: that a claim should be tested against dissent before it is filed, and that our legal system, alone among those surveyed here, does almost nothing to require it, and a good deal to discourage it. In other words, throughout history, across cultures and civilizations, advocacy teams looked much more like the NAACP than the ACLU, and, for reasons unique to the history of American law, we have many more teams composed like the ACLU’s than clients deserve or our legal system can tolerate. </w:t>
        </w:r>
      </w:ins>
      <w:r>
        <w:t xml:space="preserve">Section II examines </w:t>
      </w:r>
      <w:r>
        <w:rPr>
          <w:i/>
          <w:iCs/>
        </w:rPr>
        <w:t xml:space="preserve">United States v. </w:t>
      </w:r>
      <w:r>
        <w:rPr>
          <w:i/>
          <w:iCs/>
        </w:rPr>
        <w:t>Skrmetti</w:t>
      </w:r>
      <w:r>
        <w:t xml:space="preserve"> as a paradigmatic failure of insular advocacy, demonstrating how the absence of internal dissent mechanisms led to predictable strategic errors that rigorous </w:t>
      </w:r>
      <w:del w:id="100165" w:author="Claude" w:date="2026-09-26T12:00:00Z">
        <w:r>
          <w:delText>pre-externalization</w:delText>
        </w:r>
      </w:del>
      <w:ins w:id="100166" w:author="Claude" w:date="2026-09-26T12:00:00Z">
        <w:r>
          <w:t>pre-filing</w:t>
        </w:r>
      </w:ins>
      <w:r>
        <w:t xml:space="preserve"> scrutiny could have avoided.</w:t>
      </w:r>
      <w:r>
        <w:rPr>
          <w:rStyle w:val="FootnoteReference"/>
        </w:rPr>
        <w:footnoteReference w:id="98"/>
      </w:r>
      <w:r>
        <w:t xml:space="preserve"> The substance of this case implicates a contested area of law and policy. </w:t>
      </w:r>
      <w:r>
        <w:t xml:space="preserve">The analytical focus is </w:t>
      </w:r>
      <w:r>
        <w:rPr>
          <w:i/>
          <w:iCs/>
        </w:rPr>
        <w:t>not</w:t>
      </w:r>
      <w:r>
        <w:t xml:space="preserve"> on any policies advanced in litigation, but rather on a narrower institutional question: whether the claims would have been </w:t>
      </w:r>
      <w:del w:id="100167" w:author="Claude" w:date="2026-09-26T12:00:00Z">
        <w:r>
          <w:delText>externalized</w:delText>
        </w:r>
      </w:del>
      <w:ins w:id="100168" w:author="Claude" w:date="2026-09-26T12:00:00Z">
        <w:r>
          <w:t>filed in the form they took</w:t>
        </w:r>
      </w:ins>
      <w:r>
        <w:t xml:space="preserve"> had they been subjected to rigorous internal scrutiny. Any criticisms in Section II relate </w:t>
      </w:r>
      <w:r>
        <w:rPr>
          <w:i/>
          <w:iCs/>
        </w:rPr>
        <w:t>solely</w:t>
      </w:r>
      <w:r>
        <w:t xml:space="preserve"> to that narrow institutional focus</w:t>
      </w:r>
      <w:del w:id="100169" w:author="Claude" w:date="2026-09-26T12:00:00Z">
        <w:r>
          <w:delText xml:space="preserve"> and</w:delText>
        </w:r>
      </w:del>
      <w:ins w:id="100170" w:author="Claude" w:date="2026-09-26T12:00:00Z">
        <w:r>
          <w:t>,</w:t>
        </w:r>
      </w:ins>
      <w:r>
        <w:t xml:space="preserve"> and readers should not take them for a critique of the plaintiffs or their cause. </w:t>
      </w:r>
      <w:r>
        <w:t xml:space="preserve">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w:t>
      </w:r>
      <w:ins w:id="100171" w:author="Claude" w:date="2026-09-26T12:00:00Z">
        <w:r>
          <w:t xml:space="preserve">Ironically but quite understandably, the more like-minded a team becomes, the more zealous its advocacy seems to its own members. </w:t>
        </w:r>
      </w:ins>
      <w:r>
        <w:t xml:space="preserve">Section IV analyzes the Constitutional Convention of 1787 as historical evidence that, even when all the preconditions for groupthink are present, deliberate institutional design can successfully prevent it. </w:t>
      </w:r>
      <w:r>
        <w:t>The Convention enacted “rules devised to free the delegates to float new ideas, change their minds, alter course, and flexibly respond to new arguments, evidence, and proposals without fear of recrimination</w:t>
      </w:r>
      <w:ins w:id="100172" w:author="Claude" w:date="2026-09-26T12:00:00Z">
        <w:r>
          <w:t>.</w:t>
        </w:r>
      </w:ins>
      <w:r>
        <w:t>”</w:t>
      </w:r>
      <w:del w:id="100173" w:author="Claude" w:date="2026-09-26T12:00:00Z">
        <w:r>
          <w:delText>.</w:delText>
        </w:r>
      </w:del>
      <w:r>
        <w:rPr>
          <w:rStyle w:val="FootnoteReference"/>
        </w:rPr>
        <w:footnoteReference w:id="99"/>
      </w:r>
      <w:del w:id="100174" w:author="Claude" w:date="2026-09-26T12:00:00Z">
        <w:r>
          <w:delText xml:space="preserve"> Section V traces the 2,500-year history of pre-filing dispute resolution across Ancient Near Eastern, Classical Greek, 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ins w:id="100175" w:author="Claude" w:date="2026-09-26T12:00:00Z">
        <w:r>
          <w:t xml:space="preserve"> Section V traces the 2,500-year history of pre-filing dispute resolution across Ancient Near Eastern, Classical Greek, Roman, Traditional Chinese, Indigenous, and Medieval English societies, most of which attached personal consequences to formal litigation and so compelled would-be litigants to test their claims before filing. Section VI explains why the American advocate stopped doing so. Three historical developments eroded the practice of pre-filing scrutiny: the profession chose the zealous advocate over the objective case assessor; the legal system’s expanding capacity for disputes let lawyers capture the informal forums that had once absorbed weak claims, with “lawyers persist[ing] in appearing at various ADR sessions wearing their adversarial suits”;</w:t>
        </w:r>
      </w:ins>
      <w:r>
        <w:rPr>
          <w:rStyle w:val="FootnoteReference"/>
        </w:rPr>
        <w:footnoteReference w:id="100"/>
      </w:r>
      <w:del w:id="100176" w:author="Claude" w:date="2026-09-26T12:00:00Z">
        <w:r>
          <w:delText xml:space="preserve"> Section VII explores, in psychology and practice, why modern Deliberative Bodies fail to implement QCMs, and details how modern legal teams can return to their historical roots by cultivating authentic dissent. </w:delText>
        </w:r>
      </w:del>
      <w:ins w:id="100177" w:author="Claude" w:date="2026-09-26T12:00:00Z">
        <w:r>
          <w:t xml:space="preserve"> and hourly billing and the American Rule on attorneys’ fees shielded lawyers and clients alike from the cost of pursuing weak claims. Section VII explores, in psychology and practice, why modern Deliberative Bodies fail to implement QCMs, and details how modern legal teams can return to their historical roots by cultivating authentic dissent. It draws on interviews I conducted with some of the country’s top Supreme Court advocates, such as Carter Phillips and Michael Huston, who told me how much of that theory translates into their work. </w:t>
        </w:r>
      </w:ins>
      <w:r>
        <w:t xml:space="preserve">This penultimate section concludes with the Note’s final case study, demonstrating how Theodore Olson and David Boies employed rigorous pre-filing scrutiny and structured deliberations in their successful marriage-equality challenge to California’s Proposition 8. </w:t>
      </w:r>
      <w:del w:id="100178" w:author="Claude" w:date="2026-09-26T12:00:00Z">
        <w:r>
          <w:delText>Finally, Section VIII concludes with thoughts on the future of ADR.</w:delText>
        </w:r>
      </w:del>
      <w:ins w:id="100179" w:author="Claude" w:date="2026-09-26T12:00:00Z">
        <w:r>
          <w:t>Finally, Section VIII concludes with thoughts on the future of advocacy. For most of recorded history, personal consequences forced disputants to test their claims before they went to court. Today, almost nothing does—Rule 11, as Section VI explains, is a post-filing cost and not a pre-filing one—so the discipline must come from advocates themselves. And the very norms of zealous advocacy and hourly billing that dismantled the forge give them reason enough to rebuild it. It is curious, then, that the ACLUs of the world are so much more common than the NAACPs. We did not use to file untested claims, and we should do it no more.</w:t>
        </w:r>
      </w:ins>
    </w:p>
    <w:bookmarkEnd w:id="0"/>
    <w:bookmarkEnd w:id="1"/>
    <w:p w14:paraId="22584AC8" w14:textId="77777777" w:rsidR="00D67340" w:rsidRDefault="00D67340" w:rsidP="003D74D8">
      <w:pPr>
        <w:pStyle w:val="BodyTextFirstIndent"/>
        <w:spacing w:line="480" w:lineRule="auto"/>
        <w:jc w:val="both"/>
      </w:pPr>
    </w:p>
    <w:p w14:paraId="5DE35276" w14:textId="77777777" w:rsidR="001B515B" w:rsidRDefault="001B515B" w:rsidP="003D74D8">
      <w:pPr>
        <w:pStyle w:val="BodyTextFirstIndent"/>
        <w:spacing w:line="480" w:lineRule="auto"/>
        <w:jc w:val="both"/>
      </w:pPr>
    </w:p>
    <w:p w14:paraId="3782EF45" w14:textId="77777777" w:rsidR="001B515B" w:rsidRPr="00A9375B" w:rsidRDefault="001B515B" w:rsidP="003D74D8">
      <w:pPr>
        <w:pStyle w:val="BodyTextFirstIndent"/>
        <w:spacing w:line="480" w:lineRule="auto"/>
        <w:jc w:val="both"/>
      </w:pPr>
    </w:p>
    <w:p w14:paraId="61A8A953" w14:textId="3CA3F21B" w:rsidR="00105CBB" w:rsidRPr="00A9375B" w:rsidRDefault="00EB057E" w:rsidP="003D74D8">
      <w:pPr>
        <w:pStyle w:val="ListParagraph"/>
        <w:numPr>
          <w:ilvl w:val="0"/>
          <w:numId w:val="31"/>
        </w:numPr>
        <w:spacing w:line="480" w:lineRule="auto"/>
        <w:jc w:val="center"/>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w:t>
      </w:r>
    </w:p>
    <w:p w14:paraId="0E9D7308" w14:textId="77777777" w:rsidR="00B41952" w:rsidRPr="00A9375B" w:rsidRDefault="00B41952" w:rsidP="003D74D8">
      <w:pPr>
        <w:spacing w:line="480" w:lineRule="auto"/>
        <w:jc w:val="both"/>
        <w:rPr>
          <w:color w:val="000000" w:themeColor="text1"/>
        </w:rPr>
      </w:pPr>
      <w:ins w:id="100353" w:author="Claude" w:date="2026-09-26T12:00:00Z">
        <w:r>
          <w:t xml:space="preserve">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 This section visits one room of each kind. During their two-decade campaign against school segregation, the NAACP’s lawyers rehearsed their Supreme Court arguments before a packed hall at Howard University, with professors playing the nine Justices, and sent their new legal theories through a committee of cognitively diverse lawyers who spoke several interpretive languages and attacked them before any court could. Seven decades later, the ACLU brought </w:t>
        </w:r>
        <w:r>
          <w:rPr>
            <w:i/>
          </w:rPr>
          <w:t>United States v. Skrmetti</w:t>
        </w:r>
        <w:r>
          <w:t xml:space="preserve"> without testing its claim outside its own ideological echo chamber. Both teams believed in the justice of their clients’ cause. One won </w:t>
        </w:r>
        <w:r>
          <w:rPr>
            <w:i/>
          </w:rPr>
          <w:t>Brown v. Board of Education</w:t>
        </w:r>
        <w:r>
          <w:t>, 9–0. The other lost, 6–3.</w:t>
        </w:r>
        <w:r>
          <w:rPr>
            <w:rStyle w:val="FootnoteReference"/>
          </w:rPr>
          <w:footnoteReference w:id="704"/>
        </w:r>
        <w:r>
          <w:t xml:space="preserve"> I begin with the loss.</w:t>
        </w:r>
      </w:ins>
    </w:p>
    <w:p w14:paraId="38BC76F7" w14:textId="3BD09587" w:rsidR="00B41952" w:rsidRPr="00A9375B" w:rsidRDefault="00EB057E" w:rsidP="003D74D8">
      <w:pPr>
        <w:pStyle w:val="ListParagraph"/>
        <w:numPr>
          <w:ilvl w:val="0"/>
          <w:numId w:val="8"/>
        </w:numPr>
        <w:spacing w:line="480" w:lineRule="auto"/>
        <w:jc w:val="both"/>
        <w:rPr>
          <w:i/>
          <w:iCs/>
          <w:color w:val="000000" w:themeColor="text1"/>
        </w:rPr>
      </w:pPr>
      <w:r>
        <w:rPr>
          <w:i/>
          <w:iCs/>
          <w:color w:val="000000" w:themeColor="text1"/>
        </w:rPr>
        <w:t>The Litigation and Its Predictable Defeat</w:t>
      </w:r>
    </w:p>
    <w:p w14:paraId="648F7DC5" w14:textId="77777777" w:rsidR="00D67340" w:rsidRPr="00A9375B" w:rsidRDefault="00D67340" w:rsidP="003D74D8">
      <w:pPr>
        <w:spacing w:line="480" w:lineRule="auto"/>
        <w:ind w:left="360"/>
        <w:jc w:val="both"/>
        <w:rPr>
          <w:i/>
          <w:iCs/>
          <w:color w:val="000000" w:themeColor="text1"/>
        </w:rPr>
      </w:pPr>
    </w:p>
    <w:p w14:paraId="1D7B58AD" w14:textId="3172E695" w:rsidR="00744906" w:rsidRPr="00A9375B" w:rsidRDefault="00C97DF2" w:rsidP="003D74D8">
      <w:pPr>
        <w:pStyle w:val="BodyTextFirstIndent"/>
        <w:spacing w:line="480" w:lineRule="auto"/>
        <w:jc w:val="both"/>
      </w:pPr>
      <w:bookmarkStart w:id="11" w:name="OLE_LINK5"/>
      <w:bookmarkStart w:id="12" w:name="OLE_LINK6"/>
      <w:bookmarkEnd w:id="11"/>
      <w:bookmarkEnd w:id="12"/>
      <w:bookmarkStart w:id="13" w:name="_Ref214051262"/>
      <w:bookmarkEnd w:id="13"/>
      <w:bookmarkStart w:id="14" w:name="_Ref214051272"/>
      <w:bookmarkEnd w:id="14"/>
      <w:bookmarkStart w:id="15" w:name="_Ref219036269"/>
      <w:bookmarkEnd w:id="15"/>
      <w:bookmarkStart w:id="16" w:name="_Ref214050774"/>
      <w:bookmarkStart w:id="17" w:name="_Ref217233450"/>
      <w:bookmarkEnd w:id="17"/>
      <w:bookmarkEnd w:id="16"/>
      <w:r>
        <w:t xml:space="preserve">The Plaintiffs’ case in </w:t>
      </w:r>
      <w:r>
        <w:rPr>
          <w:i/>
          <w:iCs/>
        </w:rPr>
        <w:t>United States v.</w:t>
      </w:r>
      <w:r>
        <w:t xml:space="preserve"> </w:t>
      </w:r>
      <w:r>
        <w:rPr>
          <w:i/>
          <w:iCs/>
        </w:rPr>
        <w:t>Skrmetti</w:t>
      </w:r>
      <w:r>
        <w:t xml:space="preserve"> was a predictable loss.</w:t>
      </w:r>
      <w:r>
        <w:rPr>
          <w:rStyle w:val="FootnoteReference"/>
          <w:color w:val="000000" w:themeColor="text1"/>
        </w:rPr>
        <w:footnoteReference w:id="101"/>
      </w:r>
      <w:r>
        <w:t xml:space="preserve"> The case did not solely involve a conservative Court voting against progressive interests.</w:t>
      </w:r>
      <w:r>
        <w:rPr>
          <w:rStyle w:val="FootnoteReference"/>
          <w:color w:val="000000" w:themeColor="text1"/>
        </w:rPr>
        <w:footnoteReference w:id="102"/>
      </w:r>
      <w:r>
        <w:t xml:space="preserve"> Skrmetti arose from a decade</w:t>
      </w:r>
      <w:r>
        <w:rPr>
          <w:i/>
          <w:iCs/>
        </w:rPr>
        <w:t xml:space="preserve"> of </w:t>
      </w:r>
      <w:del w:id="100354" w:author="Claude" w:date="2026-09-26T12:00:00Z">
        <w:r>
          <w:rPr>
            <w:i/>
            <w:iCs/>
          </w:rPr>
          <w:delText>rapid</w:delText>
        </w:r>
      </w:del>
      <w:ins w:id="100355" w:author="Claude" w:date="2026-09-26T12:00:00Z">
        <w:r>
          <w:rPr>
            <w:i/>
          </w:rPr>
          <w:t>unrehearsed</w:t>
        </w:r>
      </w:ins>
      <w:r>
        <w:rPr>
          <w:i/>
          <w:iCs/>
        </w:rPr>
        <w:t xml:space="preserve"> legal and cultural change.</w:t>
      </w:r>
      <w:r>
        <w:rPr>
          <w:rStyle w:val="FootnoteReference"/>
          <w:color w:val="000000" w:themeColor="text1"/>
        </w:rPr>
        <w:footnoteReference w:id="103"/>
      </w:r>
      <w:r>
        <w:t xml:space="preserve"> Unlike in the corporate sphere, where a jeans advertisement can mobilize social media activists who pressure the alleged infringer to capitulate,</w:t>
      </w:r>
      <w:r>
        <w:rPr>
          <w:rStyle w:val="FootnoteReference"/>
          <w:color w:val="000000" w:themeColor="text1"/>
        </w:rPr>
        <w:t xml:space="preserve"> </w:t>
      </w:r>
      <w:r>
        <w:rPr>
          <w:rStyle w:val="FootnoteReference"/>
          <w:color w:val="000000" w:themeColor="text1"/>
        </w:rPr>
        <w:footnoteReference w:id="104"/>
      </w:r>
      <w:r>
        <w:t>courts are, by design and in practice, insulated from such campaigns.</w:t>
      </w:r>
      <w:r>
        <w:rPr>
          <w:rStyle w:val="FootnoteReference"/>
          <w:color w:val="000000" w:themeColor="text1"/>
        </w:rPr>
        <w:footnoteReference w:id="105"/>
      </w:r>
      <w:r>
        <w:t xml:space="preserve"> The Skrmetti Plaintiffs’ lead advocate, Chase Strangio of the ACLU, brought this culture’s habits into the legal sphere, as he “was a big part of that online world that was so incredibly vicious…in trying to suppress the speech of people who disagree[d]” on the trans rights movement.</w:t>
      </w:r>
      <w:r>
        <w:rPr>
          <w:rStyle w:val="FootnoteReference"/>
          <w:color w:val="000000" w:themeColor="text1"/>
        </w:rPr>
        <w:footnoteReference w:id="106"/>
      </w:r>
      <w:r>
        <w:t xml:space="preserve"> Strangio, who had “a reputation that did not tolerate dissent,” allowed the ACLU’s </w:t>
      </w:r>
      <w:r>
        <w:rPr>
          <w:i/>
          <w:iCs/>
        </w:rPr>
        <w:t xml:space="preserve">Skrmetti </w:t>
      </w:r>
      <w:r>
        <w:t>strategy to become an echo chamber suffused with internal strife.</w:t>
      </w:r>
      <w:r>
        <w:rPr>
          <w:rStyle w:val="FootnoteReference"/>
          <w:color w:val="000000" w:themeColor="text1"/>
        </w:rPr>
        <w:footnoteReference w:id="107"/>
      </w:r>
      <w:r>
        <w:t xml:space="preserve">  One ACLU lawyer observed that “a dogmatism descends sometimes” and that “you hesitate before you question a belief that is ascendant among your peer group.”</w:t>
      </w:r>
      <w:r>
        <w:rPr>
          <w:rStyle w:val="FootnoteReference"/>
        </w:rPr>
        <w:footnoteReference w:id="108"/>
      </w:r>
      <w:r>
        <w:rPr>
          <w:rStyle w:val="FootnoteReference"/>
          <w:color w:val="000000" w:themeColor="text1"/>
        </w:rPr>
        <w:t xml:space="preserve"> </w:t>
      </w:r>
    </w:p>
    <w:p w14:paraId="3C3BA6AB" w14:textId="0B3A276B" w:rsidR="00C97DF2" w:rsidRPr="00A9375B" w:rsidRDefault="00744906" w:rsidP="003D74D8">
      <w:pPr>
        <w:pStyle w:val="BodyText"/>
        <w:spacing w:after="0" w:line="480" w:lineRule="auto"/>
        <w:ind w:firstLine="360"/>
        <w:jc w:val="both"/>
      </w:pPr>
      <w:bookmarkStart w:id="18" w:name="OLE_LINK1"/>
      <w:bookmarkStart w:id="19" w:name="OLE_LINK2"/>
      <w:bookmarkEnd w:id="18"/>
      <w:bookmarkEnd w:id="19"/>
      <w:r>
        <w:t xml:space="preserve">This culture yielded three flaws in the </w:t>
      </w:r>
      <w:r>
        <w:rPr>
          <w:i/>
          <w:iCs/>
        </w:rPr>
        <w:t xml:space="preserve">Skrmetti </w:t>
      </w:r>
      <w:r>
        <w:t>advocacy that an outsider could have exposed had the ACLU welcomed dissent.</w:t>
      </w:r>
      <w:del w:id="100180" w:author="Claude" w:date="2026-09-26T12:00:00Z">
        <w:r>
          <w:rPr>
            <w:rStyle w:val="FootnoteReference"/>
            <w:color w:val="000000" w:themeColor="text1"/>
          </w:rPr>
          <w:delText xml:space="preserve"> </w:delText>
        </w:r>
      </w:del>
      <w:r>
        <w:rPr>
          <w:rStyle w:val="FootnoteReference"/>
          <w:color w:val="000000" w:themeColor="text1"/>
        </w:rPr>
        <w:footnoteReference w:id="109"/>
      </w:r>
      <w:r>
        <w:t xml:space="preserve"> First, the ACLU rejected incrementalism.</w:t>
      </w:r>
      <w:r>
        <w:rPr>
          <w:rStyle w:val="FootnoteReference"/>
          <w:color w:val="000000" w:themeColor="text1"/>
        </w:rPr>
        <w:footnoteReference w:id="110"/>
      </w:r>
      <w:r>
        <w:t xml:space="preserve"> Second, it relied heavily on unproven “science.”</w:t>
      </w:r>
      <w:r>
        <w:rPr>
          <w:rStyle w:val="FootnoteReference"/>
          <w:color w:val="000000" w:themeColor="text1"/>
        </w:rPr>
        <w:footnoteReference w:id="111"/>
      </w:r>
      <w:r>
        <w:t xml:space="preserve"> Third, the actual legal theories proved unpersuasive.</w:t>
      </w:r>
      <w:r>
        <w:rPr>
          <w:rStyle w:val="FootnoteReference"/>
          <w:color w:val="000000" w:themeColor="text1"/>
        </w:rPr>
        <w:footnoteReference w:id="112"/>
      </w:r>
      <w:r>
        <w:t xml:space="preserve"> The Supreme Court rejected the sex-classification theory and upheld S.B. 1 under rational-basis review, expressly declining to resolve the scientific dispute.</w:t>
      </w:r>
      <w:r>
        <w:rPr>
          <w:rStyle w:val="FootnoteReference"/>
          <w:color w:val="000000" w:themeColor="text1"/>
        </w:rPr>
        <w:footnoteReference w:id="113"/>
      </w:r>
      <w:del w:id="100181" w:author="Claude" w:date="2026-09-26T12:00:00Z">
        <w:r>
          <w:delText xml:space="preserve"> </w:delText>
        </w:r>
        <w:r>
          <w:rPr>
            <w:i/>
            <w:iCs/>
          </w:rPr>
          <w:delText>Skrmetti</w:delText>
        </w:r>
        <w:r>
          <w:delText xml:space="preserve"> is a recent, but by no means the only, example of how groupthink wrecks legal strategy, invites predictable defeat, depletes judicial resources, and undermines clients’ causes.</w:delText>
        </w:r>
      </w:del>
      <w:ins w:id="100182" w:author="Claude" w:date="2026-09-26T12:00:00Z">
        <w:r>
          <w:t xml:space="preserve"> The first and 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w:t>
        </w:r>
        <w:r>
          <w:rPr>
            <w:rStyle w:val="FootnoteReference"/>
            <w:color w:val="000000" w:themeColor="text1"/>
          </w:rPr>
          <w:footnoteReference w:id="714"/>
        </w:r>
        <w:r>
          <w:t xml:space="preserve"> It is less that capable advocates decide their claims need no testing than that groupthink decides it for them. </w:t>
        </w:r>
        <w:r>
          <w:rPr>
            <w:i/>
          </w:rPr>
          <w:t>Skrmetti</w:t>
        </w:r>
        <w:r>
          <w:t xml:space="preserve"> is a recent, but by no means the only, example of how groupthink wrecks legal strategy, invites predictable defeat, depletes judicial resources, and undermines clients’ causes.</w:t>
        </w:r>
      </w:ins>
      <w:r>
        <w:rPr>
          <w:rStyle w:val="FootnoteReference"/>
          <w:color w:val="000000" w:themeColor="text1"/>
        </w:rPr>
        <w:footnoteReference w:id="114"/>
      </w:r>
      <w:r>
        <w:t xml:space="preserve"> The Strangio-led trans rights movement “didn’t just lose on some of the key issues . . . but lost an enormous amount of background goodwill.”</w:t>
      </w:r>
      <w:r>
        <w:rPr>
          <w:rStyle w:val="FootnoteReference"/>
          <w:color w:val="000000" w:themeColor="text1"/>
        </w:rPr>
        <w:footnoteReference w:id="115"/>
      </w:r>
      <w:r>
        <w:t xml:space="preserve"> In a post-</w:t>
      </w:r>
      <w:r>
        <w:rPr>
          <w:i/>
          <w:iCs/>
        </w:rPr>
        <w:t>Skrmetti</w:t>
      </w:r>
      <w:r>
        <w:t xml:space="preserve"> interview, Strangio acknowledged these shortcomings, showed himself a litigator willing to learn, and made </w:t>
      </w:r>
      <w:r>
        <w:rPr>
          <w:i/>
          <w:iCs/>
        </w:rPr>
        <w:t>Skrmetti</w:t>
      </w:r>
      <w:r>
        <w:t xml:space="preserve"> a case study in how pervasive groupthink is.</w:t>
      </w:r>
      <w:r>
        <w:rPr>
          <w:rStyle w:val="FootnoteReference"/>
          <w:color w:val="000000" w:themeColor="text1"/>
        </w:rPr>
        <w:footnoteReference w:id="116"/>
      </w:r>
      <w:del w:id="100183" w:author="Claude" w:date="2026-09-26T12:00:00Z">
        <w:r>
          <w:delText xml:space="preserve"> Why would Strangio—and why would our modern system of post-claim dispute resolution, divested of the QCMs that once compelled such testing—neglect internal dissent? </w:delText>
        </w:r>
      </w:del>
      <w:ins w:id="100184" w:author="Claude" w:date="2026-09-26T12:00:00Z">
        <w:r>
          <w:t xml:space="preserve"> Surely this is a sad commentary: groupthink led a team like Strangio’s to neglect internal dissent. Even sadder, however, is the fact that our modern legal system, stripped of the mechanisms that once compelled advocates to test their claims, does so little to demand it. </w:t>
        </w:r>
      </w:ins>
    </w:p>
    <w:p w14:paraId="39EF3F72" w14:textId="64EBCD7D" w:rsidR="00C97DF2" w:rsidRPr="00A9375B" w:rsidRDefault="00C97DF2" w:rsidP="003D74D8">
      <w:pPr>
        <w:pStyle w:val="BodyTextFirstIndent"/>
        <w:spacing w:line="480" w:lineRule="auto"/>
        <w:jc w:val="both"/>
      </w:pPr>
      <w:r>
        <w:t>In March 2023, Tennessee enacted S.B. 1, prohibiting healthcare providers from prescribing puberty blockers or hormones or performing surgeries to help minors transition to a gender different from their biological sex.</w:t>
      </w:r>
      <w:r>
        <w:rPr>
          <w:rStyle w:val="FootnoteReference"/>
          <w:color w:val="000000" w:themeColor="text1"/>
        </w:rPr>
        <w:footnoteReference w:id="117"/>
      </w:r>
      <w:r>
        <w:t xml:space="preserve"> The law’s preamble recited detailed legislative findings on health risks, evidentiary gaps, and irreversible harm associated with such treatments.</w:t>
      </w:r>
      <w:r>
        <w:rPr>
          <w:rStyle w:val="FootnoteReference"/>
          <w:color w:val="000000" w:themeColor="text1"/>
        </w:rPr>
        <w:footnoteReference w:id="118"/>
      </w:r>
      <w:r>
        <w:t xml:space="preserve"> S.B. 1 joined roughly a dozen similar state laws then in force, including Alabama’s, which had been challenged by the same LGBTQ legal organizations and the United States that later appeared in Skrmetti.</w:t>
      </w:r>
      <w:r>
        <w:rPr>
          <w:rStyle w:val="FootnoteReference"/>
          <w:color w:val="000000" w:themeColor="text1"/>
        </w:rPr>
        <w:footnoteReference w:id="119"/>
      </w:r>
      <w:r>
        <w:t xml:space="preserve"> The Plaintiffs in </w:t>
      </w:r>
      <w:r>
        <w:rPr>
          <w:i/>
          <w:iCs/>
        </w:rPr>
        <w:t>Eknes-Tucker v. Marshall</w:t>
      </w:r>
      <w:r>
        <w:t xml:space="preserve"> ultimately dismissed their own case after court-ordered discovery revealed documents that one New York Times commentator said “would shock you.”</w:t>
      </w:r>
      <w:r>
        <w:rPr>
          <w:rStyle w:val="FootnoteReference"/>
          <w:color w:val="000000" w:themeColor="text1"/>
        </w:rPr>
        <w:footnoteReference w:id="120"/>
      </w:r>
      <w:del w:id="100356" w:author="Claude" w:date="2026-09-26T12:00:00Z">
        <w:r>
          <w:delText xml:space="preserve">  </w:delText>
        </w:r>
      </w:del>
      <w:ins w:id="100357" w:author="Claude" w:date="2026-09-26T12:00:00Z">
        <w:r>
          <w:t xml:space="preserve"> Indeed.  </w:t>
        </w:r>
      </w:ins>
    </w:p>
    <w:p w14:paraId="242E3F84" w14:textId="45371511" w:rsidR="001D4FB2" w:rsidRPr="00A9375B" w:rsidRDefault="00113623" w:rsidP="003D74D8">
      <w:pPr>
        <w:pStyle w:val="BodyTextFirstIndent"/>
        <w:spacing w:line="480" w:lineRule="auto"/>
        <w:jc w:val="both"/>
      </w:pPr>
      <w:r>
        <w:t xml:space="preserve">The documents unearthed in </w:t>
      </w:r>
      <w:r>
        <w:rPr>
          <w:i/>
          <w:iCs/>
        </w:rPr>
        <w:t xml:space="preserve">Marshall </w:t>
      </w:r>
      <w:r>
        <w:t>involved the World Professional Association for Transgender Health (WPATH), the organization whose standards of care the advocates in the Alabama litigation invoked as an expert consensus, and whose SOC-8 the Skrmetti Plaintiffs later urged courts to credit.</w:t>
      </w:r>
      <w:r>
        <w:rPr>
          <w:rStyle w:val="FootnoteReference"/>
          <w:color w:val="000000" w:themeColor="text1"/>
        </w:rPr>
        <w:footnoteReference w:id="121"/>
      </w:r>
      <w:r>
        <w:t xml:space="preserve"> These SOCs specified the available treatment types and varied by the </w:t>
        <w:lastRenderedPageBreak/>
        <w:t>patient’s developmental stage.</w:t>
      </w:r>
      <w:r>
        <w:rPr>
          <w:rStyle w:val="FootnoteReference"/>
          <w:color w:val="000000" w:themeColor="text1"/>
        </w:rPr>
        <w:footnoteReference w:id="122"/>
      </w:r>
      <w:r>
        <w: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r>
        <w:rPr>
          <w:rStyle w:val="FootnoteReference"/>
          <w:color w:val="000000" w:themeColor="text1"/>
        </w:rPr>
        <w:footnoteReference w:id="123"/>
      </w:r>
      <w:r>
        <w:t xml:space="preserve"> Yet WPATH’s own members undermined these claims: their internal communications revealed that the standards arose from “an ideological activist-driven process and not a scientific-driven process.”</w:t>
      </w:r>
      <w:r>
        <w:rPr>
          <w:rStyle w:val="FootnoteReference"/>
          <w:color w:val="000000" w:themeColor="text1"/>
        </w:rPr>
        <w:footnoteReference w:id="124"/>
      </w:r>
    </w:p>
    <w:p w14:paraId="479B8493" w14:textId="5A2C5FF9" w:rsidR="002161F5" w:rsidRPr="00A9375B" w:rsidRDefault="00527ADC" w:rsidP="003D74D8">
      <w:pPr>
        <w:pStyle w:val="BodyTextFirstIndent"/>
        <w:spacing w:line="480" w:lineRule="auto"/>
        <w:jc w:val="both"/>
      </w:pPr>
      <w:r>
        <w:t>The composition and process behind SOC-8 were not scientific.</w:t>
      </w:r>
      <w:bookmarkStart w:id="20" w:name="_Ref214050853"/>
      <w:r>
        <w:t xml:space="preserve"> One hundred nineteen current WPATH members authored the guidelines. Dr. Marci Bowers testified that it was “important” for each author to be an advocate for transitioning treatments before the guidelines were created.</w:t>
      </w:r>
      <w:r>
        <w:rPr>
          <w:rStyle w:val="FootnoteReference"/>
          <w:color w:val="000000" w:themeColor="text1"/>
        </w:rPr>
        <w:footnoteReference w:id="125"/>
      </w:r>
      <w:bookmarkEnd w:id="20"/>
      <w:r>
        <w:t xml:space="preserve"> Many of these authors regularly served as expert witnesses, advocating in court for the procedures those standards endorsed.</w:t>
      </w:r>
      <w:bookmarkStart w:id="21" w:name="_Ref214050720"/>
      <w:r>
        <w:rPr>
          <w:rStyle w:val="FootnoteReference"/>
          <w:color w:val="000000" w:themeColor="text1"/>
        </w:rPr>
        <w:footnoteReference w:id="126"/>
      </w:r>
      <w:bookmarkEnd w:id="21"/>
      <w:r>
        <w:t xml:space="preserve"> Dr. Eli Coleman, the chair of WPATH’s SOC-8 guideline committee, </w:t>
        <w:lastRenderedPageBreak/>
        <w:t>testified that he thought it was “ethically justifiable” for the authors to “advocate for language changes [in SOC-8] to strengthen [their] position in court.”</w:t>
      </w:r>
      <w:r>
        <w:rPr>
          <w:rStyle w:val="FootnoteReference"/>
          <w:color w:val="000000" w:themeColor="text1"/>
        </w:rPr>
        <w:footnoteReference w:id="127"/>
      </w:r>
      <w:r>
        <w:t xml:space="preserve"> Another team member wrote, “[m]y hope with these SoC is that they land in such a way as to have serious effect in the law and policy settings.”</w:t>
      </w:r>
      <w:r>
        <w:rPr>
          <w:rStyle w:val="FootnoteReference"/>
          <w:color w:val="000000" w:themeColor="text1"/>
        </w:rPr>
        <w:footnoteReference w:id="128"/>
      </w:r>
      <w:r>
        <w:t xml:space="preserve"> </w:t>
      </w:r>
    </w:p>
    <w:p w14:paraId="404D54EA" w14:textId="62C174FA" w:rsidR="00C0099B" w:rsidRPr="00A9375B" w:rsidRDefault="00105CBB" w:rsidP="003D74D8">
      <w:pPr>
        <w:pStyle w:val="BodyTextFirstIndent"/>
        <w:spacing w:line="480" w:lineRule="auto"/>
        <w:jc w:val="both"/>
      </w:pPr>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r>
        <w:rPr>
          <w:rStyle w:val="FootnoteReference"/>
          <w:color w:val="000000" w:themeColor="text1"/>
        </w:rPr>
        <w:footnoteReference w:id="129"/>
      </w:r>
      <w:r>
        <w:t xml:space="preserve"> The Biden Administration’s Assistant Secretary for Health met regularly with WPATH’s leaders during the drafting and received an embargoed copy of the completed draft.</w:t>
      </w:r>
      <w:r>
        <w:rPr>
          <w:rStyle w:val="FootnoteReference"/>
          <w:color w:val="000000" w:themeColor="text1"/>
        </w:rPr>
        <w:footnoteReference w:id="130"/>
      </w:r>
      <w:r>
        <w:t xml:space="preserve"> Under political pressure from her and others, WPATH acquiesced and removed the age minimums from SOC-8.</w:t>
      </w:r>
      <w:r>
        <w:rPr>
          <w:rStyle w:val="FootnoteReference"/>
          <w:color w:val="000000" w:themeColor="text1"/>
        </w:rPr>
        <w:footnoteReference w:id="131"/>
      </w:r>
      <w:r>
        <w:t xml:space="preserve"> </w:t>
      </w:r>
    </w:p>
    <w:p w14:paraId="2C155791" w14:textId="79910250" w:rsidR="007E3419" w:rsidRPr="00A9375B" w:rsidRDefault="00A168B3" w:rsidP="003D74D8">
      <w:pPr>
        <w:pStyle w:val="BodyTextFirstIndent"/>
        <w:spacing w:line="480" w:lineRule="auto"/>
        <w:jc w:val="both"/>
      </w:pPr>
      <w:bookmarkStart w:id="22" w:name="_Ref214051247"/>
      <w:bookmarkEnd w:id="22"/>
      <w:r>
        <w:t xml:space="preserve">During discovery in </w:t>
      </w:r>
      <w:r>
        <w:rPr>
          <w:i/>
          <w:iCs/>
        </w:rPr>
        <w:t>Marshall</w:t>
      </w:r>
      <w:r>
        <w:t>, a legal team led by the ACLU and Lambda Legal initiated Skrmetti by challenging S.B. 1 in federal court.</w:t>
      </w:r>
      <w:r>
        <w:rPr>
          <w:rStyle w:val="FootnoteReference"/>
          <w:color w:val="000000" w:themeColor="text1"/>
        </w:rPr>
        <w:footnoteReference w:id="132"/>
      </w:r>
      <w:r>
        <w:t xml:space="preserve"> The </w:t>
      </w:r>
      <w:r>
        <w:rPr>
          <w:i/>
          <w:iCs/>
        </w:rPr>
        <w:t>Skrmetti</w:t>
      </w:r>
      <w:r>
        <w:t xml:space="preserve"> Plaintiffs obtained a preliminary injunction, which the Sixth Circuit reversed on appeal.</w:t>
      </w:r>
      <w:r>
        <w:rPr>
          <w:rStyle w:val="FootnoteReference"/>
          <w:color w:val="000000" w:themeColor="text1"/>
        </w:rPr>
        <w:footnoteReference w:id="133"/>
      </w:r>
      <w:r>
        <w: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t>
      </w:r>
      <w:r>
        <w:rPr>
          <w:rStyle w:val="FootnoteReference"/>
          <w:color w:val="000000" w:themeColor="text1"/>
        </w:rPr>
        <w:footnoteReference w:id="134"/>
      </w:r>
      <w:r>
        <w:t xml:space="preserve"> Nevertheless, he did not find sex discrimination because “the laws regulate sex-transition treatments for all minors, regardless of sex.”</w:t>
      </w:r>
      <w:r>
        <w:rPr>
          <w:rStyle w:val="FootnoteReference"/>
          <w:color w:val="000000" w:themeColor="text1"/>
        </w:rPr>
        <w:footnoteReference w:id="135"/>
      </w:r>
      <w:r>
        <w:t xml:space="preserve"> The United States petitioned for certiorari, and the Court granted review.</w:t>
      </w:r>
      <w:r>
        <w:rPr>
          <w:rStyle w:val="FootnoteReference"/>
          <w:color w:val="000000" w:themeColor="text1"/>
        </w:rPr>
        <w:footnoteReference w:id="136"/>
      </w:r>
      <w:r>
        <w:t xml:space="preserve"> Despite the damaging disclosures from </w:t>
      </w:r>
      <w:r>
        <w:rPr>
          <w:i/>
          <w:iCs/>
        </w:rPr>
        <w:t>Marshall</w:t>
      </w:r>
      <w:r>
        <w:t>, the United States continued to assert in its Supreme Court briefing that gender-affirming care remained supported by “the Nation’s major medical organizations,” and dismissed them as “out-of-context excerpts from the unadjudicated summary-judgment record in a different case.”</w:t>
      </w:r>
      <w:r>
        <w:rPr>
          <w:rStyle w:val="FootnoteReference"/>
          <w:color w:val="000000" w:themeColor="text1"/>
        </w:rPr>
        <w:footnoteReference w:id="137"/>
      </w:r>
      <w:ins w:id="100358" w:author="Claude" w:date="2026-09-26T12:00:00Z">
        <w:r>
          <w:t xml:space="preserve"> (The case was different; the standards were the same.)</w:t>
        </w:r>
      </w:ins>
    </w:p>
    <w:p w14:paraId="1B966ABE" w14:textId="6D2310BD" w:rsidR="00F5008C" w:rsidRPr="00A9375B" w:rsidRDefault="006B2A16" w:rsidP="003D74D8">
      <w:pPr>
        <w:pStyle w:val="BodyTextFirstIndent"/>
        <w:spacing w:line="480" w:lineRule="auto"/>
        <w:jc w:val="both"/>
      </w:pPr>
      <w:r>
        <w:t xml:space="preserve">Beyond these evidentiary deficiencies, the legal theories in </w:t>
      </w:r>
      <w:r>
        <w:rPr>
          <w:i/>
          <w:iCs/>
        </w:rPr>
        <w:t>Skrmetti</w:t>
      </w:r>
      <w:r>
        <w:t xml:space="preserve"> were unpersuasive. </w:t>
      </w:r>
      <w:r>
        <w:t xml:space="preserve">Even before the Supreme Court heard oral arguments, commentators across the ideological spectrum </w:t>
      </w:r>
      <w:del w:id="100359" w:author="Claude" w:date="2026-09-26T12:00:00Z">
        <w:r>
          <w:delText>(</w:delText>
        </w:r>
      </w:del>
      <w:ins w:id="100360" w:author="Claude" w:date="2026-09-26T12:00:00Z">
        <w:r>
          <w:t>—</w:t>
        </w:r>
      </w:ins>
      <w:r>
        <w:t>especially</w:t>
      </w:r>
      <w:ins w:id="100361" w:author="Claude" w:date="2026-09-26T12:00:00Z">
        <w:r>
          <w:t>, believe it or not,</w:t>
        </w:r>
      </w:ins>
      <w:r>
        <w:t xml:space="preserve"> liberal </w:t>
      </w:r>
      <w:del w:id="100362" w:author="Claude" w:date="2026-09-26T12:00:00Z">
        <w:r>
          <w:delText>ones whom</w:delText>
        </w:r>
      </w:del>
      <w:ins w:id="100363" w:author="Claude" w:date="2026-09-26T12:00:00Z">
        <w:r>
          <w:t>commentators</w:t>
        </w:r>
      </w:ins>
      <w:r>
        <w:t xml:space="preserve"> one would expect</w:t>
      </w:r>
      <w:ins w:id="100364" w:author="Claude" w:date="2026-09-26T12:00:00Z">
        <w:r>
          <w:t xml:space="preserve"> to find</w:t>
        </w:r>
      </w:ins>
      <w:r>
        <w:t xml:space="preserve"> in the Plaintiffs’ camp</w:t>
      </w:r>
      <w:del w:id="100365" w:author="Claude" w:date="2026-09-26T12:00:00Z">
        <w:r>
          <w:delText>)</w:delText>
        </w:r>
      </w:del>
      <w:ins w:id="100366" w:author="Claude" w:date="2026-09-26T12:00:00Z">
        <w:r>
          <w:t>—</w:t>
        </w:r>
      </w:ins>
      <w:r>
        <w:t xml:space="preserve"> questioned why anyone would have appealed the Sixth Circuit’s ruling.</w:t>
      </w:r>
      <w:r>
        <w:rPr>
          <w:rStyle w:val="FootnoteReference"/>
          <w:color w:val="000000" w:themeColor="text1"/>
        </w:rPr>
        <w:footnoteReference w:id="138"/>
      </w:r>
      <w:r>
        <w:t xml:space="preserve"> The Plaintiffs’ counsel wrote the </w:t>
      </w:r>
      <w:r>
        <w:rPr>
          <w:i/>
          <w:iCs/>
        </w:rPr>
        <w:t>Skrmetti</w:t>
      </w:r>
      <w:r>
        <w:t xml:space="preserve"> briefs hoping the Court would extend the reasoning of </w:t>
      </w:r>
      <w:r>
        <w:rPr>
          <w:i/>
          <w:iCs/>
        </w:rPr>
        <w:t>Bostock v. Clayton County</w:t>
      </w:r>
      <w:r>
        <w:t xml:space="preserve"> to this case.</w:t>
      </w:r>
      <w:r>
        <w:rPr>
          <w:rStyle w:val="FootnoteReference"/>
          <w:color w:val="000000" w:themeColor="text1"/>
        </w:rPr>
        <w:footnoteReference w:id="139"/>
      </w:r>
      <w:r>
        <w:t xml:space="preserve"> The Justices pressed counsel on whether Bostock’s Title VII reasoning could be carried into the equal-protection context at all.</w:t>
      </w:r>
      <w:r>
        <w:rPr>
          <w:rStyle w:val="FootnoteReference"/>
          <w:color w:val="000000" w:themeColor="text1"/>
        </w:rPr>
        <w:footnoteReference w:id="140"/>
      </w:r>
      <w:r>
        <w:t xml:space="preserve"> </w:t>
      </w:r>
    </w:p>
    <w:p w14:paraId="1967451A" w14:textId="3685DC39" w:rsidR="00EF33CF" w:rsidRPr="00A9375B" w:rsidRDefault="00105CBB" w:rsidP="003D74D8">
      <w:pPr>
        <w:pStyle w:val="BodyTextFirstIndent"/>
        <w:spacing w:line="480" w:lineRule="auto"/>
        <w:jc w:val="both"/>
      </w:pPr>
      <w:r>
        <w:rPr>
          <w:i/>
          <w:iCs/>
        </w:rPr>
        <w:t>Bostock</w:t>
      </w:r>
      <w:r>
        <w:t xml:space="preserve"> had</w:t>
      </w:r>
      <w:r>
        <w:rPr>
          <w:i/>
          <w:iCs/>
        </w:rPr>
        <w:t xml:space="preserve"> </w:t>
      </w:r>
      <w:r>
        <w:t>involved workplace discrimination claims by transgender and gay employees under Title VII, which prohibits adverse employment actions “because of” sex.</w:t>
      </w:r>
      <w:r>
        <w:rPr>
          <w:rStyle w:val="FootnoteReference"/>
          <w:color w:val="000000" w:themeColor="text1"/>
        </w:rPr>
        <w:footnoteReference w:id="141"/>
      </w:r>
      <w:r>
        <w: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t>
      </w:r>
      <w:r>
        <w:rPr>
          <w:rStyle w:val="FootnoteReference"/>
          <w:color w:val="000000" w:themeColor="text1"/>
        </w:rPr>
        <w:footnoteReference w:id="142"/>
      </w:r>
      <w:r>
        <w:t xml:space="preserve"> During oral argument, they continued this approach by urging the Court to “read the words of the statute.”</w:t>
      </w:r>
      <w:r>
        <w:rPr>
          <w:rStyle w:val="FootnoteReference"/>
          <w:color w:val="000000" w:themeColor="text1"/>
        </w:rPr>
        <w:footnoteReference w:id="143"/>
      </w:r>
      <w:r>
        <w: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t>
      </w:r>
      <w:bookmarkStart w:id="23" w:name="_Ref214131455"/>
      <w:r>
        <w:rPr>
          <w:rStyle w:val="FootnoteReference"/>
          <w:color w:val="000000" w:themeColor="text1"/>
        </w:rPr>
        <w:footnoteReference w:id="144"/>
      </w:r>
      <w:bookmarkEnd w:id="23"/>
    </w:p>
    <w:p w14:paraId="35E7E4DB" w14:textId="647E8574" w:rsidR="00E2020C" w:rsidRPr="00A9375B" w:rsidRDefault="00DB2DCD" w:rsidP="003D74D8">
      <w:pPr>
        <w:pStyle w:val="BodyTextFirstIndent"/>
        <w:spacing w:line="480" w:lineRule="auto"/>
        <w:jc w:val="both"/>
      </w:pPr>
      <w:r>
        <w:lastRenderedPageBreak/>
        <w: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r>
        <w:rPr>
          <w:rStyle w:val="FootnoteReference"/>
          <w:color w:val="000000" w:themeColor="text1"/>
        </w:rPr>
        <w:footnoteReference w:id="145"/>
      </w:r>
      <w:r>
        <w:t xml:space="preserve"> During oral argument, the Solicitor General suggested “this is an even easier sex classification than maybe the one the Court confronted in Bostock.”</w:t>
      </w:r>
      <w:bookmarkStart w:id="24" w:name="_Ref214051285"/>
      <w:r>
        <w:rPr>
          <w:rStyle w:val="FootnoteReference"/>
          <w:color w:val="000000" w:themeColor="text1"/>
        </w:rPr>
        <w:footnoteReference w:id="146"/>
      </w:r>
      <w:bookmarkEnd w:id="24"/>
      <w:r>
        <w:t xml:space="preserve"> The Plaintiffs had also pressed a parental-rights theory, but the Court granted only the United States’ petition, which raised equal protection alone, leaving it a single claim.</w:t>
      </w:r>
      <w:r>
        <w:rPr>
          <w:rStyle w:val="FootnoteReference"/>
          <w:color w:val="000000" w:themeColor="text1"/>
        </w:rPr>
        <w:footnoteReference w:id="147"/>
      </w:r>
      <w:r>
        <w:t xml:space="preserve"> Chief Justice Roberts, writing for the Court, rejected this argument:</w:t>
      </w:r>
    </w:p>
    <w:p w14:paraId="5466416E" w14:textId="50B264B8" w:rsidR="00E2020C" w:rsidRPr="00A9375B" w:rsidRDefault="00CE67E5" w:rsidP="003D74D8">
      <w:pPr>
        <w:pStyle w:val="BodyTextFirstIndent2"/>
        <w:spacing w:line="480" w:lineRule="auto"/>
        <w:ind w:left="720" w:right="720" w:firstLine="0"/>
        <w:jc w:val="both"/>
      </w:pPr>
      <w:r>
        <w:t xml:space="preserve">“[u]nlike the homosexual male employee [in </w:t>
      </w:r>
      <w:r>
        <w:rPr>
          <w:i/>
          <w:iCs/>
        </w:rPr>
        <w:t>Bostock</w:t>
      </w:r>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r>
        <w:rPr>
          <w:i/>
          <w:iCs/>
        </w:rPr>
        <w:t>Bostock,</w:t>
      </w:r>
      <w:r>
        <w:t xml:space="preserve"> then, sex is simply not a but-for cause of SB1’s operation.”</w:t>
      </w:r>
      <w:r>
        <w:rPr>
          <w:rStyle w:val="FootnoteReference"/>
          <w:color w:val="000000" w:themeColor="text1"/>
        </w:rPr>
        <w:footnoteReference w:id="148"/>
      </w:r>
      <w:r>
        <w:t xml:space="preserve"> </w:t>
      </w:r>
    </w:p>
    <w:p w14:paraId="697BEF34" w14:textId="5E8D9503" w:rsidR="00B41952" w:rsidRPr="00A9375B" w:rsidRDefault="00E170D6" w:rsidP="003D74D8">
      <w:pPr>
        <w:pStyle w:val="BodyTextFirstIndent"/>
        <w:spacing w:line="480" w:lineRule="auto"/>
        <w:jc w:val="both"/>
      </w:pPr>
      <w:bookmarkStart w:id="25" w:name="OLE_LINK3"/>
      <w:bookmarkStart w:id="26" w:name="OLE_LINK4"/>
      <w:bookmarkEnd w:id="25"/>
      <w:bookmarkEnd w:id="26"/>
      <w:r>
        <w:t>The Court rejected the equal-protection claim and devoted the rest of the opinion to rational-basis review.</w:t>
      </w:r>
      <w:r>
        <w:rPr>
          <w:rStyle w:val="FootnoteReference"/>
          <w:color w:val="000000" w:themeColor="text1"/>
        </w:rPr>
        <w:footnoteReference w:id="149"/>
      </w:r>
      <w:r>
        <w:t xml:space="preserve"> In sum, the flawed </w:t>
      </w:r>
      <w:r>
        <w:rPr>
          <w:i/>
          <w:iCs/>
        </w:rPr>
        <w:t>Bostock</w:t>
      </w:r>
      <w:r>
        <w:t xml:space="preserve"> analogy and ideologically compromised science predictably foundered before the Court.</w:t>
      </w:r>
      <w:r>
        <w:rPr>
          <w:rStyle w:val="FootnoteReference"/>
          <w:color w:val="000000" w:themeColor="text1"/>
        </w:rPr>
        <w:footnoteReference w:id="150"/>
      </w:r>
      <w:r>
        <w:t xml:space="preserve"> But beyond the strategic challenges, </w:t>
      </w:r>
      <w:r>
        <w:rPr>
          <w:i/>
          <w:iCs/>
        </w:rPr>
        <w:t>Skrmetti</w:t>
      </w:r>
      <w:r>
        <w:t xml:space="preserve"> also illustrates how groupthink can pervade even well-resourced legal organizations when the cognitive biases of a cohesive team go uncontested. </w:t>
      </w:r>
      <w:r>
        <w:t xml:space="preserve">I concede that ideological diversity within the ACLU’s team might not have altered the outcome, </w:t>
      </w:r>
      <w:ins w:id="100185" w:author="Claude" w:date="2026-09-26T12:00:00Z">
        <w:r>
          <w:t xml:space="preserve">but </w:t>
        </w:r>
      </w:ins>
      <w:r>
        <w:t xml:space="preserve">the case demonstrates why welcoming dissenting perspectives advances clients’ best interests. </w:t>
      </w:r>
      <w:r>
        <w:t xml:space="preserve">The error was not in litigating but in failing to break the echo chamber in which the strategy was developed. Transgender individuals facing discrimination are entitled to their day in court, and the ACLU was entirely right to litigate on behalf of its clients. </w:t>
      </w:r>
      <w:del w:id="100186" w:author="Claude" w:date="2026-09-26T12:00:00Z">
        <w:r>
          <w:delText xml:space="preserve">No informal forum could have provided the </w:delText>
        </w:r>
        <w:r>
          <w:rPr>
            <w:i/>
            <w:iCs/>
          </w:rPr>
          <w:delText>Skrmetti</w:delText>
        </w:r>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ins w:id="100187" w:author="Claude" w:date="2026-09-26T12:00:00Z">
        <w:r>
          <w:t>To test a claim is to predict a tribunal, and that is not a passive art. “To be successful in any situation,” Anthony Kronman writes, “an advocate must understand the concerns of the person he is addressing and modify his arguments accordingly. It follows that a lawyer arguing before a judge who is responsible for maintaining the well-being of the law must himself become a master of analysis from the judicial point of view, for otherwise he will not know what to say to advance his client’s cause.”</w:t>
        </w:r>
        <w:r>
          <w:rPr>
            <w:rStyle w:val="FootnoteReference"/>
            <w:color w:val="000000" w:themeColor="text1"/>
          </w:rPr>
          <w:footnoteReference w:id="716"/>
        </w:r>
        <w:r>
          <w:t xml:space="preserve"> The best Supreme Court advocates, Richard Lazarus reports, “completely rethink a case from the way that it was litigated and argued below,” because cases can be “pitched in multiple ways.”</w:t>
        </w:r>
        <w:r>
          <w:rPr>
            <w:rStyle w:val="FootnoteReference"/>
            <w:color w:val="000000" w:themeColor="text1"/>
          </w:rPr>
          <w:footnoteReference w:id="719"/>
        </w:r>
        <w:r>
          <w:t xml:space="preserve"> A team that speaks one idiom cannot do that, and it will not notice that it cannot, for “consensus on a forecast is not necessarily an indication of its validity: a shared deficiency of reasoning will also yield consensus.”</w:t>
        </w:r>
        <w:r>
          <w:rPr>
            <w:rStyle w:val="FootnoteReference"/>
            <w:color w:val="000000" w:themeColor="text1"/>
          </w:rPr>
          <w:footnoteReference w:id="715"/>
        </w:r>
        <w:r>
          <w:t xml:space="preserve"> No informal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ins>
      <w:r>
        <w:rPr>
          <w:rStyle w:val="FootnoteReference"/>
          <w:color w:val="000000" w:themeColor="text1"/>
        </w:rPr>
        <w:footnoteReference w:id="151"/>
      </w:r>
      <w:r>
        <w:t xml:space="preserve"> 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t>
      </w:r>
      <w:r>
        <w:rPr>
          <w:rStyle w:val="FootnoteReference"/>
          <w:color w:val="000000" w:themeColor="text1"/>
        </w:rPr>
        <w:footnoteReference w:id="152"/>
      </w:r>
    </w:p>
    <w:p w14:paraId="24F1C9F9" w14:textId="77777777" w:rsidR="00A726E0" w:rsidRPr="00A9375B" w:rsidRDefault="00A726E0" w:rsidP="003D74D8">
      <w:pPr>
        <w:pStyle w:val="BodyTextFirstIndent"/>
        <w:spacing w:line="480" w:lineRule="auto"/>
        <w:jc w:val="both"/>
      </w:pPr>
    </w:p>
    <w:p w14:paraId="2987BBA5" w14:textId="789A84EE" w:rsidR="00B41952" w:rsidRPr="00A9375B" w:rsidRDefault="005A4EE5" w:rsidP="003D74D8">
      <w:pPr>
        <w:pStyle w:val="ListParagraph"/>
        <w:numPr>
          <w:ilvl w:val="0"/>
          <w:numId w:val="8"/>
        </w:numPr>
        <w:spacing w:line="480" w:lineRule="auto"/>
        <w:jc w:val="both"/>
        <w:rPr>
          <w:color w:val="000000" w:themeColor="text1"/>
        </w:rPr>
      </w:pPr>
      <w:r>
        <w:rPr>
          <w:i/>
          <w:iCs/>
          <w:color w:val="000000" w:themeColor="text1"/>
        </w:rPr>
        <w:t xml:space="preserve">Contrasting Case Study: NAACP Legal Defense Fund </w:t>
      </w:r>
    </w:p>
    <w:p w14:paraId="3EC80DA4" w14:textId="77777777" w:rsidR="005A4EE5" w:rsidRPr="00A9375B" w:rsidRDefault="005A4EE5" w:rsidP="003D74D8">
      <w:pPr>
        <w:pStyle w:val="ListParagraph"/>
        <w:spacing w:line="480" w:lineRule="auto"/>
        <w:jc w:val="both"/>
        <w:rPr>
          <w:color w:val="000000" w:themeColor="text1"/>
        </w:rPr>
      </w:pPr>
    </w:p>
    <w:p w14:paraId="4E0CA421" w14:textId="51626B46" w:rsidR="00A726E0" w:rsidRPr="00A9375B" w:rsidRDefault="00A726E0" w:rsidP="003D74D8">
      <w:pPr>
        <w:pStyle w:val="BodyTextFirstIndent"/>
        <w:spacing w:line="480" w:lineRule="auto"/>
        <w:jc w:val="both"/>
        <w:rPr>
          <w:lang w:bidi="en-US"/>
        </w:rPr>
      </w:pPr>
      <w:r>
        <w:t>The LDF institutionalized adversarial self-testing during its two-decade campaign against school segregation. Charles Hamilton Houston, for example, established a tradition at Howard University Law School of presenting his facts and legal arguments to students and professors before every Supreme Court argument, and the professors assumed the roles of the nine Justices.</w:t>
      </w:r>
      <w:r>
        <w:rPr>
          <w:rStyle w:val="FootnoteReference"/>
          <w:color w:val="000000" w:themeColor="text1"/>
        </w:rPr>
        <w:footnoteReference w:id="153"/>
      </w:r>
      <w:r>
        <w:t xml:space="preserve"> These sessions fostered cognitive diversity by filling Howard’s largest meeting hall, closed to the public but open to every member of the faculty, the student body, and any friendly lawyer in Washington.</w:t>
      </w:r>
      <w:r>
        <w:rPr>
          <w:rStyle w:val="FootnoteReference"/>
          <w:color w:val="000000" w:themeColor="text1"/>
        </w:rPr>
        <w:footnoteReference w:id="154"/>
      </w:r>
      <w:r>
        <w:t xml:space="preserve"> Jack Greenberg recalled the result: “[N]either I nor any LDF lawyer was ever asked a question in actual argument that had not first been asked at the dry run—until Warren Burger became chief justice.”</w:t>
      </w:r>
      <w:r>
        <w:rPr>
          <w:rStyle w:val="FootnoteReference"/>
          <w:color w:val="000000" w:themeColor="text1"/>
        </w:rPr>
        <w:footnoteReference w:id="155"/>
      </w:r>
      <w:del w:id="100367" w:author="Claude" w:date="2026-09-26T12:00:00Z">
        <w:r>
          <w:delText xml:space="preserve"> The NAACP convened pre-filing committees where a diverse board of lawyers stress-tested the proposed approach whenever the organization sought to make new law, as Marshall’s legal assistant Robert L. Carter put it:</w:delText>
        </w:r>
      </w:del>
      <w:ins w:id="100368" w:author="Claude" w:date="2026-09-26T12:00:00Z">
        <w:r>
          <w:t xml:space="preserve"> The testing began long before argument. Mark Tushnet’s study of the campaign records that the national office reviewed “all steps before they are taken” and passed on “proposed pleadings,”</w:t>
        </w:r>
        <w:r>
          <w:rPr>
            <w:rStyle w:val="FootnoteReference"/>
            <w:color w:val="000000" w:themeColor="text1"/>
          </w:rPr>
          <w:footnoteReference w:id="739"/>
        </w:r>
        <w:r>
          <w:t xml:space="preserve"> and that where it could not control “enthusiastic local attorneys,” “the naacp lost every graduate school lawsuit that it handled.”</w:t>
        </w:r>
        <w:r>
          <w:rPr>
            <w:rStyle w:val="FootnoteReference"/>
            <w:color w:val="000000" w:themeColor="text1"/>
          </w:rPr>
          <w:footnoteReference w:id="738"/>
        </w:r>
        <w:r>
          <w:t xml:space="preserve"> Marshall’s own rule was blunter: “you don’t run into court with a legal case overnight.”</w:t>
        </w:r>
        <w:r>
          <w:rPr>
            <w:rStyle w:val="FootnoteReference"/>
            <w:color w:val="000000" w:themeColor="text1"/>
          </w:rPr>
          <w:footnoteReference w:id="737"/>
        </w:r>
        <w:r>
          <w:t xml:space="preserve"> Unlike the ACLU, whenever the NAACP sought to launch a new legal attack it convened a pre-filing committee in which a cognitively diverse group of lawyers stress-tested the proposed approach. Nathan Margold’s 1931 report, which set the campaign’s course, had already called for “differences of opinion which should be thrashed out in conference,”</w:t>
        </w:r>
        <w:r>
          <w:rPr>
            <w:rStyle w:val="FootnoteReference"/>
            <w:color w:val="000000" w:themeColor="text1"/>
          </w:rPr>
          <w:footnoteReference w:id="720"/>
        </w:r>
        <w:r>
          <w:t xml:space="preserve"> and the conference at Howard at which the direct attack on segregation was debated was convened so that its advocates could “make their case and counter the opposing sentiment.”</w:t>
        </w:r>
        <w:r>
          <w:rPr>
            <w:rStyle w:val="FootnoteReference"/>
            <w:color w:val="000000" w:themeColor="text1"/>
          </w:rPr>
          <w:footnoteReference w:id="706"/>
        </w:r>
        <w:r>
          <w:t xml:space="preserve"> As Thurgood Marshall’s legal assistant, Robert L. Carter, explained:</w:t>
        </w:r>
      </w:ins>
    </w:p>
    <w:p w14:paraId="560170AF" w14:textId="7DEE7F04" w:rsidR="00A726E0" w:rsidRPr="00A9375B" w:rsidRDefault="00A726E0" w:rsidP="003D74D8">
      <w:pPr>
        <w:pStyle w:val="BodyTextFirstIndent2"/>
        <w:spacing w:line="480" w:lineRule="auto"/>
        <w:ind w:left="720" w:right="720" w:firstLine="0"/>
        <w:jc w:val="both"/>
      </w:pPr>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t>
        <w:lastRenderedPageBreak/>
        <w:t>and often to withering attack. If the proposition could not be successfully defended against attack by the committee, it was felt, it could not survive court testing.”</w:t>
      </w:r>
      <w:r>
        <w:rPr>
          <w:rStyle w:val="FootnoteReference"/>
        </w:rPr>
        <w:footnoteReference w:id="156"/>
      </w:r>
    </w:p>
    <w:p w14:paraId="104CDC98" w14:textId="6C93EE22" w:rsidR="00A726E0" w:rsidRPr="00A9375B" w:rsidRDefault="00A726E0" w:rsidP="003D74D8">
      <w:pPr>
        <w:pStyle w:val="BodyTextFirstIndent"/>
        <w:spacing w:line="480" w:lineRule="auto"/>
        <w:jc w:val="both"/>
      </w:pPr>
      <w:r>
        <w:t>One observer who watched Marshall argue a year after Sweatt v. Painter described him as “like a chess grandmaster playing against Frankfurter, a good club player”; “[h]aving faced the hardest questions at the practice rounds, Marshall was poised for the justices.”</w:t>
      </w:r>
      <w:r>
        <w:rPr>
          <w:rStyle w:val="FootnoteReference"/>
          <w:color w:val="000000" w:themeColor="text1"/>
        </w:rPr>
        <w:footnoteReference w:id="157"/>
      </w:r>
      <w:ins w:id="100369" w:author="Claude" w:date="2026-09-26T12:00:00Z">
        <w:r>
          <w:t xml:space="preserve"> The NAACP also resisted dogma, a virtue not only admirable but also rare, particularly in advocacy circles.</w:t>
        </w:r>
      </w:ins>
      <w:r>
        <w:t xml:space="preserve"> When historical research for the </w:t>
      </w:r>
      <w:r>
        <w:rPr>
          <w:i/>
          <w:iCs/>
        </w:rPr>
        <w:t>Brown</w:t>
      </w:r>
      <w:r>
        <w:t xml:space="preserve"> reargument produced ambiguous findings on the Fourteenth Amendment’s framers, Marshall convened his inner circle with two outside historians for a four-day intensive re-examination of the evidence. </w:t>
      </w:r>
      <w:r>
        <w:t>As Alfred H. Kelly put it, “the role I was expected to play was that of devil’s advocate, of a foil to prepare them all for the main event.”</w:t>
      </w:r>
      <w:r>
        <w:rPr>
          <w:rStyle w:val="FootnoteReference"/>
          <w:color w:val="000000" w:themeColor="text1"/>
        </w:rPr>
        <w:footnoteReference w:id="158"/>
      </w:r>
      <w:r>
        <w: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t>
      </w:r>
      <w:r>
        <w:rPr>
          <w:rStyle w:val="FootnoteReference"/>
          <w:color w:val="000000" w:themeColor="text1"/>
        </w:rPr>
        <w:footnoteReference w:id="159"/>
      </w:r>
      <w:r>
        <w:t xml:space="preserve"> David Krech, a social psychologist who worked with the LDF in Charleston, described Marshall in action during a trial-preparation session:</w:t>
      </w:r>
    </w:p>
    <w:p w14:paraId="6FB75FB9" w14:textId="2081C9E9" w:rsidR="00A726E0" w:rsidRPr="00A9375B" w:rsidRDefault="00A726E0" w:rsidP="003D74D8">
      <w:pPr>
        <w:pStyle w:val="BodyTextFirstIndent2"/>
        <w:spacing w:line="480" w:lineRule="auto"/>
        <w:ind w:left="720" w:right="720" w:firstLine="0"/>
        <w:jc w:val="both"/>
      </w:pPr>
      <w:r>
        <w: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t>
        <w:lastRenderedPageBreak/>
        <w:t>thought, the staff member’s answer. The staff would then offer a rebuttal, Marshall would rebut the rebuttal, and this went on and on—between beer and sandwiches and coffee—to Marshall’s seemingly huge amusement.”</w:t>
      </w:r>
      <w:r>
        <w:rPr>
          <w:rStyle w:val="FootnoteReference"/>
          <w:color w:val="000000" w:themeColor="text1"/>
        </w:rPr>
        <w:footnoteReference w:id="160"/>
      </w:r>
    </w:p>
    <w:p w14:paraId="165CD7FB" w14:textId="0F3745E4" w:rsidR="00CC616A" w:rsidRPr="00A9375B" w:rsidRDefault="00A726E0" w:rsidP="003D74D8">
      <w:pPr>
        <w:pStyle w:val="BodyTextFirstIndent"/>
        <w:spacing w:line="480" w:lineRule="auto"/>
        <w:jc w:val="both"/>
      </w:pPr>
      <w:r>
        <w:t>Marshall’s genius lay in gathering brilliant minds, letting them debate freely, and extracting the best ideas while discarding the rest.</w:t>
      </w:r>
      <w:r>
        <w:rPr>
          <w:rStyle w:val="FootnoteReference"/>
          <w:color w:val="000000" w:themeColor="text1"/>
        </w:rPr>
        <w:footnoteReference w:id="161"/>
      </w:r>
      <w:r>
        <w:t xml:space="preserve"> When the committee’s most influential members attacked a staff proposal, it survived on its merits: as Carter recalled of the fight over social-science testimony, “Since they had nothing better to offer, I won the initial skirmish.”</w:t>
      </w:r>
      <w:r>
        <w:rPr>
          <w:rStyle w:val="FootnoteReference"/>
          <w:color w:val="000000" w:themeColor="text1"/>
        </w:rPr>
        <w:footnoteReference w:id="162"/>
      </w:r>
      <w:del w:id="100370" w:author="Claude" w:date="2026-09-26T12:00:00Z">
        <w:r>
          <w:delText xml:space="preserve"> Participants absorbed Marshall’s culture and did not take attacks on their positions personally; as Carter recalled, Marshall “could be counted on to support whatever concept I proposed as long as I stood up to any attack leveled against it by our legal group.”</w:delText>
        </w:r>
      </w:del>
      <w:ins w:id="100371" w:author="Claude" w:date="2026-09-26T12:00:00Z">
        <w:r>
          <w:t xml:space="preserve"> Now that is an adversarial room. Whereas in many modern firms challenging the lead partner’s theory may spell trouble or ostracism, at the NAACP participants absorbed a culture of authentic dissent, and no litigator was above anyone else. As Carter recalled, Marshall “could be counted on to support whatever concept I proposed as long as I stood up to any attack leveled against it by our legal group.”</w:t>
        </w:r>
      </w:ins>
      <w:r>
        <w:rPr>
          <w:rStyle w:val="FootnoteReference"/>
          <w:color w:val="000000" w:themeColor="text1"/>
        </w:rPr>
        <w:footnoteReference w:id="163"/>
      </w:r>
      <w:r>
        <w:t xml:space="preserve"> </w:t>
      </w:r>
    </w:p>
    <w:p w14:paraId="4AF6274A" w14:textId="6EE20D97" w:rsidR="000210BA" w:rsidRPr="00A9375B" w:rsidRDefault="00CC616A" w:rsidP="003D74D8">
      <w:pPr>
        <w:pStyle w:val="BodyTextFirstIndent"/>
        <w:spacing w:line="480" w:lineRule="auto"/>
        <w:jc w:val="both"/>
      </w:pPr>
      <w:r>
        <w:t xml:space="preserve">The NAACP’s campaign against school segregation </w:t>
      </w:r>
      <w:del w:id="100188" w:author="Claude" w:date="2026-09-26T12:00:00Z">
        <w:r>
          <w:delText>was</w:delText>
        </w:r>
      </w:del>
      <w:ins w:id="100189" w:author="Claude" w:date="2026-09-26T12:00:00Z">
        <w:r>
          <w:t>is</w:t>
        </w:r>
      </w:ins>
      <w:r>
        <w:t xml:space="preserve"> </w:t>
      </w:r>
      <w:del w:id="100190" w:author="Claude" w:date="2026-09-26T12:00:00Z">
        <w:r>
          <w:delText>successful,</w:delText>
        </w:r>
      </w:del>
      <w:ins w:id="100191" w:author="Claude" w:date="2026-09-26T12:00:00Z">
        <w:r>
          <w:t>one</w:t>
        </w:r>
      </w:ins>
      <w:r>
        <w:t xml:space="preserve"> </w:t>
      </w:r>
      <w:del w:id="100192" w:author="Claude" w:date="2026-09-26T12:00:00Z">
        <w:r>
          <w:delText>but</w:delText>
        </w:r>
      </w:del>
      <w:ins w:id="100193" w:author="Claude" w:date="2026-09-26T12:00:00Z">
        <w:r>
          <w:t>of</w:t>
        </w:r>
      </w:ins>
      <w:r>
        <w:t xml:space="preserve"> </w:t>
      </w:r>
      <w:del w:id="100194" w:author="Claude" w:date="2026-09-26T12:00:00Z">
        <w:r>
          <w:delText>the</w:delText>
        </w:r>
      </w:del>
      <w:ins w:id="100195" w:author="Claude" w:date="2026-09-26T12:00:00Z">
        <w:r>
          <w:t>many</w:t>
        </w:r>
      </w:ins>
      <w:r>
        <w:t xml:space="preserve"> </w:t>
      </w:r>
      <w:del w:id="100196" w:author="Claude" w:date="2026-09-26T12:00:00Z">
        <w:r>
          <w:delText>story</w:delText>
        </w:r>
      </w:del>
      <w:ins w:id="100197" w:author="Claude" w:date="2026-09-26T12:00:00Z">
        <w:r>
          <w:t>examples</w:t>
        </w:r>
      </w:ins>
      <w:r>
        <w:t xml:space="preserve"> </w:t>
      </w:r>
      <w:del w:id="100198" w:author="Claude" w:date="2026-09-26T12:00:00Z">
        <w:r>
          <w:delText>illustrates</w:delText>
        </w:r>
      </w:del>
      <w:ins w:id="100199" w:author="Claude" w:date="2026-09-26T12:00:00Z">
        <w:r>
          <w:t>this Note will discuss which demonstrate</w:t>
        </w:r>
      </w:ins>
      <w:r>
        <w:t xml:space="preserve"> that dedicating time, energy, and resources to scrutinizing one’s claim before filing is a prerequisite for strong litigation</w:t>
      </w:r>
      <w:del w:id="100200" w:author="Claude" w:date="2026-09-26T12:00:00Z">
        <w:r>
          <w:delText>,</w:delText>
        </w:r>
      </w:del>
      <w:ins w:id="100201" w:author="Claude" w:date="2026-09-26T12:00:00Z">
        <w:r>
          <w:t>.</w:t>
        </w:r>
      </w:ins>
      <w:r>
        <w:t xml:space="preserve"> </w:t>
      </w:r>
      <w:del w:id="100202" w:author="Claude" w:date="2026-09-26T12:00:00Z">
        <w:r>
          <w:delText>because</w:delText>
        </w:r>
      </w:del>
      <w:ins w:id="100203" w:author="Claude" w:date="2026-09-26T12:00:00Z">
        <w:r>
          <w:t>Such scrutiny is the cure for groupthink:</w:t>
        </w:r>
      </w:ins>
      <w:r>
        <w:t xml:space="preserve"> it counteracts the cognitive biases that any cohesive team, however talented, will develop when united by a shared objective of </w:t>
      </w:r>
      <w:del w:id="100204" w:author="Claude" w:date="2026-09-26T12:00:00Z">
        <w:r>
          <w:delText>rushing</w:delText>
        </w:r>
      </w:del>
      <w:ins w:id="100205" w:author="Claude" w:date="2026-09-26T12:00:00Z">
        <w:r>
          <w:t>zealous</w:t>
        </w:r>
      </w:ins>
      <w:r>
        <w:t xml:space="preserve"> </w:t>
      </w:r>
      <w:del w:id="100206" w:author="Claude" w:date="2026-09-26T12:00:00Z">
        <w:r>
          <w:delText>an</w:delText>
        </w:r>
      </w:del>
      <w:ins w:id="100207" w:author="Claude" w:date="2026-09-26T12:00:00Z">
        <w:r>
          <w:t>advocacy</w:t>
        </w:r>
      </w:ins>
      <w:r>
        <w:t xml:space="preserve"> </w:t>
      </w:r>
      <w:del w:id="100208" w:author="Claude" w:date="2026-09-26T12:00:00Z">
        <w:r>
          <w:delText>untested</w:delText>
        </w:r>
      </w:del>
      <w:ins w:id="100209" w:author="Claude" w:date="2026-09-26T12:00:00Z">
        <w:r>
          <w:t>for</w:t>
        </w:r>
      </w:ins>
      <w:r>
        <w:t xml:space="preserve"> </w:t>
      </w:r>
      <w:del w:id="100210" w:author="Claude" w:date="2026-09-26T12:00:00Z">
        <w:r>
          <w:delText>dispute</w:delText>
        </w:r>
      </w:del>
      <w:ins w:id="100211" w:author="Claude" w:date="2026-09-26T12:00:00Z">
        <w:r>
          <w:t>its</w:t>
        </w:r>
      </w:ins>
      <w:r>
        <w:t xml:space="preserve"> </w:t>
      </w:r>
      <w:del w:id="100212" w:author="Claude" w:date="2026-09-26T12:00:00Z">
        <w:r>
          <w:delText>out the door</w:delText>
        </w:r>
      </w:del>
      <w:ins w:id="100213" w:author="Claude" w:date="2026-09-26T12:00:00Z">
        <w:r>
          <w:t>client</w:t>
        </w:r>
      </w:ins>
      <w:r>
        <w:t>.</w:t>
      </w:r>
      <w:r>
        <w:rPr>
          <w:rStyle w:val="FootnoteReference"/>
        </w:rPr>
        <w:footnoteReference w:id="164"/>
      </w:r>
      <w:ins w:id="100214" w:author="Claude" w:date="2026-09-26T12:00:00Z">
        <w:r>
          <w:t xml:space="preserve"> Compare the NAACP’s team, whose members spoke a range of interpretive languages, with the Strangio-led ACLU.</w:t>
        </w:r>
      </w:ins>
      <w:r>
        <w:t xml:space="preserve"> Commentators who, like me, wish the ACLU had presented stronger arguments for their clients observe that “the ACLU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rPr>
        <w:footnoteReference w:id="165"/>
      </w:r>
      <w:del w:id="100215" w:author="Claude" w:date="2026-09-26T12:00:00Z">
        <w:r>
          <w:delText xml:space="preserve"> A deliberative body set on the fuller relief of formal adjudication need not forsake that path, but it owes its clients the rigor of first confirming that its theory can withstand adversarial scrutiny.</w:delText>
        </w:r>
      </w:del>
      <w:ins w:id="100216" w:author="Claude" w:date="2026-09-26T12:00:00Z">
        <w:r>
          <w:t xml:space="preserve"> This is not to say that the </w:t>
        </w:r>
        <w:r>
          <w:rPr>
            <w:i/>
          </w:rPr>
          <w:t>Skrmetti</w:t>
        </w:r>
        <w:r>
          <w:t xml:space="preserve"> advocates should have forsaken the complete relief that only formal adjudication offers. It is to say that they owed their clients the rigor of first confirming that their theory could withstand adversarial scrutiny.</w:t>
        </w:r>
      </w:ins>
      <w:r>
        <w:rPr>
          <w:rStyle w:val="FootnoteReference"/>
          <w:color w:val="000000" w:themeColor="text1"/>
        </w:rPr>
        <w:footnoteReference w:id="166"/>
      </w:r>
      <w:del w:id="100217" w:author="Claude" w:date="2026-09-26T12:00:00Z">
        <w:r>
          <w:delText xml:space="preserve"> In the next section, I will explain that when Deliberative Bodies are homogeneous and share a goal of externalizing a dispute without first testing it, and without any independent informal forum to absorb the claims that testing would have filtered out, their unchecked cohesion causes groupthink—the organizational pathology in which cohesion around an untested litigation strategy forecloses the internal dissent that would have exposed its deficiencies before the adversarial arena did.</w:delText>
        </w:r>
      </w:del>
      <w:ins w:id="100218" w:author="Claude" w:date="2026-09-26T12:00:00Z">
        <w:r>
          <w:t xml:space="preserve"> They should have followed the playbook of the NAACP, which “avoid[ed] litigating until they had an ‘air-tight case’ [because] the issues were ‘so big that we cannot afford to omit any detail of preparation in a hasty attempt at grandstand play.’”</w:t>
        </w:r>
        <w:r>
          <w:rPr>
            <w:rStyle w:val="FootnoteReference"/>
          </w:rPr>
          <w:footnoteReference w:id="740"/>
        </w:r>
        <w:r>
          <w:t xml:space="preserve"> The ACLU itself once kept a gate of its own. In the years of its Women’s Rights Project, Fred Strebeigh records, “the ACLU had an ironclad rule. Although ACLU affiliates could bring cases independently, ACLU rules forbade bringing a case to the Supreme Court without first checking with the national office.”</w:t>
        </w:r>
        <w:r>
          <w:rPr>
            <w:rStyle w:val="FootnoteReference"/>
          </w:rPr>
          <w:footnoteReference w:id="735"/>
        </w:r>
        <w:r>
          <w:t xml:space="preserve"> Same organization, fifty years apart, with the forge and without it. In the next section, I will explain that when Deliberative Bodies are homogeneous and share a goal of Externalizing a dispute without first testing it, their unchecked cohesion causes groupthink—the organizational pathology in which cohesion around an untested litigation strategy forecloses the internal dissent that would have exposed its deficiencies before the adversarial arena did.</w:t>
        </w:r>
      </w:ins>
      <w:r>
        <w:rPr>
          <w:rStyle w:val="FootnoteReference"/>
          <w:color w:val="000000" w:themeColor="text1"/>
        </w:rPr>
        <w:footnoteReference w:id="167"/>
      </w:r>
      <w:del w:id="100219" w:author="Claude" w:date="2026-09-26T12:00:00Z">
        <w:r>
          <w:delText xml:space="preserve"> </w:delText>
        </w:r>
      </w:del>
      <w:ins w:id="100220" w:author="Claude" w:date="2026-09-26T12:00:00Z">
        <w:r>
          <w:t xml:space="preserve"> That no independent informal forum remains to absorb the claims testing would have filtered out only makes matters worse. </w:t>
        </w:r>
      </w:ins>
    </w:p>
    <w:p w14:paraId="63AE8852" w14:textId="77777777" w:rsidR="007531F5" w:rsidRPr="00A9375B" w:rsidRDefault="007531F5" w:rsidP="003D74D8">
      <w:pPr>
        <w:pStyle w:val="BodyTextFirstIndent"/>
        <w:spacing w:line="480" w:lineRule="auto"/>
        <w:ind w:firstLine="0"/>
        <w:jc w:val="both"/>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bookmarkStart w:id="27" w:name="_Ref214111358"/>
      <w:bookmarkEnd w:id="27"/>
      <w:r>
        <w:t xml:space="preserve">When Deliberative Bodies orient all strategic development toward externalizing claims without pre-filing case scrutiny, their cognitive biases operate freely—biases that formal courts, as a cost of entry, once counteracted by compelling the disputant to check them. </w:t>
      </w:r>
      <w:del w:id="100372" w:author="Claude" w:date="2026-09-26T12:00:00Z">
        <w:r>
          <w:delText>Psychologist Irving Janis coined “Groupthink” (the primary cause of deficient litigation strategy) in 1972 to denote a degradation of collective judgment in which the drive for agreement within a cohesive group supplants the realistic appraisal of alternative courses of action.</w:delText>
        </w:r>
      </w:del>
      <w:ins w:id="100373" w:author="Claude" w:date="2026-09-26T12:00:00Z">
        <w:r>
          <w:t>Cardozo saw it half a century before Janis. “The spirit of the age, as it is revealed to each of us,” he wrote in 1921, “is too often only the spirit of the group in which the accidents of birth or education or occupation or fellowship have given us a place.”</w:t>
        </w:r>
        <w:r>
          <w:rPr>
            <w:rStyle w:val="FootnoteReference"/>
            <w:color w:val="000000" w:themeColor="text1"/>
          </w:rPr>
          <w:footnoteReference w:id="705"/>
        </w:r>
        <w:r>
          <w:t xml:space="preserve">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ins>
      <w:r>
        <w:rPr>
          <w:rStyle w:val="FootnoteReference"/>
          <w:color w:val="000000" w:themeColor="text1"/>
        </w:rPr>
        <w:footnoteReference w:id="168"/>
      </w:r>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VII explains, Deliberative Bodies must impose that discipline themselves.</w:t>
      </w:r>
      <w:r>
        <w:rPr>
          <w:rStyle w:val="FootnoteReference"/>
          <w:color w:val="000000"/>
        </w:rPr>
        <w:footnoteReference w:id="188"/>
      </w:r>
      <w:r>
        <w:t xml:space="preserve"> The next subsection explains why, in the absence of pre-filing scrutiny, all levels </w:t>
        <w:lastRenderedPageBreak/>
        <w:t>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bookmarkStart w:id="49" w:name="_Ref222260093"/>
      <w:bookmarkEnd w:id="49"/>
      <w:r>
        <w:t>The framers’ deliberative process turned diverse and conflicting initial positions into a durable constitutional framework. The</w:t>
      </w:r>
      <w:r>
        <w:rPr>
          <w:i/>
          <w:iCs/>
        </w:rPr>
        <w:t xml:space="preserve"> how and when of group deliberation was the</w:t>
      </w:r>
      <w:r>
        <w:t xml:space="preserve"> antidote to the antecedent conditions of groupthink and to the biases those conditions leave unchecked.</w:t>
      </w:r>
      <w:r>
        <w:rPr>
          <w:rStyle w:val="FootnoteReference"/>
          <w:color w:val="000000" w:themeColor="text1"/>
        </w:rPr>
        <w:footnoteReference w:id="279"/>
      </w:r>
      <w:r>
        <w:t xml:space="preserve"> Consider the Convention in the abstract. </w:t>
      </w:r>
      <w:r>
        <w:t xml:space="preserve">The Convention </w:t>
      </w:r>
      <w:del w:id="100221" w:author="Claude" w:date="2026-09-26T12:00:00Z">
        <w:r>
          <w:delText>wastested</w:delText>
        </w:r>
      </w:del>
      <w:ins w:id="100222" w:author="Claude" w:date="2026-09-26T12:00:00Z">
        <w:r>
          <w:t>tested</w:t>
        </w:r>
      </w:ins>
      <w:r>
        <w:t xml:space="preserve"> its own claim (we need a new Constitution) for months </w:t>
      </w:r>
      <w:r>
        <w:rPr>
          <w:i/>
          <w:iCs/>
        </w:rPr>
        <w:t>before</w:t>
      </w:r>
      <w:r>
        <w:t xml:space="preserve"> presenting it to the public. </w:t>
      </w:r>
      <w:r>
        <w:t>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r>
        <w:rPr>
          <w:rStyle w:val="FootnoteReference"/>
          <w:color w:val="000000" w:themeColor="text1"/>
        </w:rPr>
        <w:footnoteReference w:id="280"/>
      </w:r>
      <w:r>
        <w:t xml:space="preserve"> Randolph shows how deliberately the delegates made their case defensible before </w:t>
      </w:r>
      <w:del w:id="100223" w:author="Claude" w:date="2026-09-26T12:00:00Z">
        <w:r>
          <w:delText>externalizing</w:delText>
        </w:r>
      </w:del>
      <w:ins w:id="100224" w:author="Claude" w:date="2026-09-26T12:00:00Z">
        <w:r>
          <w:t>Externalizing</w:t>
        </w:r>
      </w:ins>
      <w:r>
        <w:t xml:space="preserve">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t xml:space="preserve">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w:t>
      </w:r>
      <w:del w:id="100225" w:author="Claude" w:date="2026-09-26T12:00:00Z">
        <w:r>
          <w:delText xml:space="preserve">By contrast, modern ADR has neither smith nor forge, and sends untempered claims out into the world. </w:delText>
        </w:r>
      </w:del>
      <w:ins w:id="100226" w:author="Claude" w:date="2026-09-26T12:00:00Z">
        <w:r>
          <w:t xml:space="preserve">By contrast, the modern American advocate is handed neither smith nor forge, and unless he builds his own he sends untempered claims out into the world. </w:t>
        </w:r>
      </w:ins>
      <w:r>
        <w:t>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mixed panels, offering disputants a choice of where to bring their dispute after testing it.</w:t>
      </w:r>
      <w:r>
        <w:rPr>
          <w:rStyle w:val="FootnoteReference"/>
          <w:color w:val="000000" w:themeColor="text1"/>
        </w:rPr>
        <w:footnoteReference w:id="290"/>
      </w:r>
      <w:del w:id="100227" w:author="Claude" w:date="2026-09-26T12:00:00Z">
        <w:r>
          <w:delText xml:space="preserve"> What is remarkable about these societies’ earliest experiments in dispute resolution is how effectively they sorted strong claims to the formal system and weak claims to the informal system. </w:delText>
        </w:r>
      </w:del>
      <w:ins w:id="100228" w:author="Claude" w:date="2026-09-26T12:00:00Z">
        <w:r>
          <w:t xml:space="preserve"> What is curious about these societies’ earliest experiments in dispute resolution is not primarily where the claims went. It is that a claim almost invariably went to court only after its owner had tested it. </w:t>
        </w:r>
      </w:ins>
      <w:r>
        <w:t xml:space="preserve">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w:t>
      </w:r>
      <w:ins w:id="100229" w:author="Claude" w:date="2026-09-26T12:00:00Z">
        <w:r>
          <w:t xml:space="preserve">Only then did the sorting that the modern field admires take place, strong claims proceeding to the formal system and weak ones to the informal, and it took place because the testing had. </w:t>
        </w:r>
      </w:ins>
      <w:r>
        <w:t xml:space="preserve">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bookmarkStart w:id="51" w:name="_Ref214118354"/>
      <w:bookmarkEnd w:id="51"/>
      <w:r>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r>
        <w:t xml:space="preserve"> The oath</w:t>
      </w:r>
      <w:ins w:id="100301" w:author="Claude" w:date="2026-09-26T12:00:00Z">
        <w:r>
          <w:t xml:space="preserve"> made a man weigh his claim before he swore to it, and so</w:t>
        </w:r>
      </w:ins>
      <w:r>
        <w:t xml:space="preserve"> separated the two parallel forums</w:t>
      </w:r>
      <w:ins w:id="100302" w:author="Claude" w:date="2026-09-26T12:00:00Z">
        <w:r>
          <w:t>;</w:t>
        </w:r>
      </w:ins>
      <w:r>
        <w:t xml:space="preserve"> </w:t>
      </w:r>
      <w:del w:id="100303" w:author="Claude" w:date="2026-09-26T12:00:00Z">
        <w:r>
          <w:delText>and</w:delText>
        </w:r>
      </w:del>
      <w:ins w:id="100304" w:author="Claude" w:date="2026-09-26T12:00:00Z">
        <w:r>
          <w:t>it</w:t>
        </w:r>
      </w:ins>
      <w:r>
        <w:t xml:space="preserve"> was so feared that the mere prospect of swearing it was sometimes enough to induce the parties to reach a compromise.</w:t>
      </w:r>
      <w:r>
        <w:rPr>
          <w:rStyle w:val="FootnoteReference"/>
          <w:color w:val="000000" w:themeColor="text1"/>
        </w:rPr>
        <w:footnoteReference w:id="292"/>
      </w:r>
      <w:r>
        <w:t xml:space="preserve"> In testing the 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del w:id="100230" w:author="Claude" w:date="2026-09-26T12:00:00Z">
        <w:r>
          <w:delText xml:space="preserve"> The oath and the disputes centered on it show how formal forums, QCMs, and informal forums operated in tandem. </w:delText>
        </w:r>
      </w:del>
      <w:ins w:id="100231" w:author="Claude" w:date="2026-09-26T12:00:00Z">
        <w:r>
          <w:t xml:space="preserve"> The oath and the disputes centered on it show how a QCM worked: it made a man test his claim before he swore to it, and the formal and informal forums arranged themselves around that test. </w:t>
        </w:r>
      </w:ins>
      <w:r>
        <w:t>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This story complements the one I told in the introduction, where Phrynion, “in the face of a realisation that his claims that she was his slave were weak, . .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del w:id="100374" w:author="Claude" w:date="2026-09-26T12:00:00Z">
        <w:r>
          <w:delTex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delText>
        </w:r>
      </w:del>
      <w:ins w:id="100375" w:author="Claude" w:date="2026-09-26T12:00:00Z">
        <w:r>
          <w:t xml:space="preserve"> Cicero described the exercise before anyone thought to give it a name. He would hear the client alone and “argue his opponent’s case to him, so that he may argue his own,” and then, “when he has departed, in my own person and with perfect impartiality I play three characters, myself, my opponent and the arbitrator.”</w:t>
        </w:r>
        <w:r>
          <w:rPr>
            <w:rStyle w:val="FootnoteReference"/>
            <w:color w:val="000000" w:themeColor="text1"/>
          </w:rPr>
          <w:footnoteReference w:id="707"/>
        </w:r>
        <w:r>
          <w: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ins>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bookmarkStart w:id="55" w:name="_Ref214120043"/>
      <w:bookmarkEnd w:id="55"/>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del w:id="100305" w:author="Claude" w:date="2026-09-26T12:00:00Z">
        <w:r>
          <w:delText xml:space="preserve"> Yet the growth of a complex society, coupled with cultural attitudes toward the Externalization of claims, can deter disputants from wasting the formal system’s time and resources with baseless, untested claims. </w:delText>
        </w:r>
      </w:del>
      <w:ins w:id="100306" w:author="Claude" w:date="2026-09-26T12:00:00Z">
        <w:r>
          <w:t xml:space="preserve"> Yet the growth of a complex society, coupled with cultural attitudes toward the Externalization of claims, can compel disputants to test their claims before bringing them, and so spare the formal system the baseless claims it would otherwise have to hear. </w:t>
        </w:r>
      </w:ins>
      <w:r>
        <w:t>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r>
        <w:rPr>
          <w:rStyle w:val="FootnoteReference"/>
          <w:color w:val="000000" w:themeColor="text1"/>
        </w:rPr>
        <w:footnoteReference w:id="334"/>
      </w:r>
      <w:r>
        <w:t xml:space="preserve"> The decision to bring a claim to the 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del w:id="100376" w:author="Claude" w:date="2026-09-26T12:00:00Z">
        <w:r>
          <w:delText xml:space="preserve"> I have represented Traditional Chinese ADR in the following timeline:</w:delText>
        </w:r>
      </w:del>
      <w:ins w:id="100377" w:author="Claude" w:date="2026-09-26T12:00:00Z">
        <w:r>
          <w:t xml:space="preserve"> The rabbis went further than anyone. The Mishnah and Maimonides record a court that took the junior judge’s opinion first, lest the rest defer to their elders; that forbade a judge simply to adopt a colleague’s view; that counted the student who kept silent as a transgressor; and that acquitted the defendant whom every judge had voted to convict, on the reasoning that a court in which no one had argued for acquittal had not deliberated at all.</w:t>
        </w:r>
        <w:r>
          <w:rPr>
            <w:rStyle w:val="FootnoteReference"/>
            <w:color w:val="000000" w:themeColor="text1"/>
          </w:rPr>
          <w:footnoteReference w:id="731"/>
        </w:r>
        <w:r>
          <w:t xml:space="preserve"> I have represented Traditional Chinese ADR in the following timeline:</w:t>
        </w:r>
      </w:ins>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w:t>
      </w:r>
      <w:ins w:id="100307" w:author="Claude" w:date="2026-09-26T12:00:00Z">
        <w:r>
          <w:t>a disputant made once he had tested his claim—</w:t>
        </w:r>
      </w:ins>
      <w:r>
        <w:t xml:space="preserve">between formal forums, where disputants brought strong claims and were willing to take on personal costs, and the informal system, where disputants brought weak claims and were focused on obtaining </w:t>
      </w:r>
      <w:r>
        <w:rPr>
          <w:i/>
          <w:iCs/>
        </w:rPr>
        <w:t>some</w:t>
      </w:r>
      <w:r>
        <w:t xml:space="preserve"> form of relief</w:t>
      </w:r>
      <w:del w:id="100308" w:author="Claude" w:date="2026-09-26T12:00:00Z">
        <w:r>
          <w:delText xml:space="preserve">, </w:delText>
        </w:r>
      </w:del>
      <w:ins w:id="100309" w:author="Claude" w:date="2026-09-26T12:00:00Z">
        <w:r>
          <w:t>—</w:t>
        </w:r>
      </w:ins>
      <w:r>
        <w:t>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del w:id="100310" w:author="Claude" w:date="2026-09-26T12:00:00Z">
        <w:r>
          <w:delText xml:space="preserve"> I have represented Medieval English ADR in the following timeline:</w:delText>
        </w:r>
      </w:del>
      <w:ins w:id="100311" w:author="Claude" w:date="2026-09-26T12:00:00Z">
        <w:r>
          <w:t xml:space="preserve"> The English bar did not leave the test to conscience. It built it into the exercises of the Inns of Court. A description of the Middle Temple’s customs from about 1539 records that when a reader expounded a statute, the utter barristers “by all ways of learning and reason that can be invented do impugn his opinion . . . and at last the reader doth confute all their sayings and confirmeth his opinion,”</w:t>
        </w:r>
        <w:r>
          <w:rPr>
            <w:rStyle w:val="FootnoteReference"/>
            <w:color w:val="000000" w:themeColor="text1"/>
          </w:rPr>
          <w:footnoteReference w:id="733"/>
        </w:r>
        <w:r>
          <w:t xml:space="preserve"> and a 1540 report on the Inns adds that “in all their open disputations the youngest of continuance argueth first.”</w:t>
        </w:r>
        <w:r>
          <w:rPr>
            <w:rStyle w:val="FootnoteReference"/>
            <w:color w:val="000000" w:themeColor="text1"/>
          </w:rPr>
          <w:footnoteReference w:id="732"/>
        </w:r>
        <w:r>
          <w:t xml:space="preserve"> The benchers, J.H. Baker observes, could “argue against their own minds for the sake of argument.”</w:t>
        </w:r>
        <w:r>
          <w:rPr>
            <w:rStyle w:val="FootnoteReference"/>
            <w:color w:val="000000" w:themeColor="text1"/>
          </w:rPr>
          <w:footnoteReference w:id="702"/>
        </w:r>
        <w:r>
          <w:t xml:space="preserve"> A junior lawyer learned his law by attacking his elders’ positions in public, and the elders answered last. I have represented Medieval English ADR in the following timeline:</w:t>
        </w:r>
      </w:ins>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del w:id="100232" w:author="Claude" w:date="2026-09-26T12:00:00Z">
        <w:r>
          <w:rPr>
            <w:smallCaps/>
          </w:rPr>
          <w:delText>These Historical Practices were not Early Iterations of Modern ADR</w:delText>
        </w:r>
      </w:del>
      <w:ins w:id="100233" w:author="Claude" w:date="2026-09-26T12:00:00Z">
        <w:r>
          <w:rPr>
            <w:smallCaps/>
          </w:rPr>
          <w:t>How the American Advocate Lost the Forge</w:t>
        </w:r>
      </w:ins>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bookmarkStart w:id="61" w:name="_Ref218967994"/>
      <w:bookmarkEnd w:id="61"/>
      <w:ins w:id="100234" w:author="Claude" w:date="2026-09-26T12:00:00Z">
        <w:r>
          <w:t xml:space="preserve">The American advocate did not lose the forge by outgrowing it. </w:t>
        </w:r>
      </w:ins>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r>
        <w:rPr>
          <w:rStyle w:val="FootnoteReference"/>
        </w:rPr>
        <w:footnoteReference w:id="382"/>
      </w:r>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w:t>
      </w:r>
      <w:del w:id="100235" w:author="Claude" w:date="2026-09-26T12:00:00Z">
        <w:r>
          <w:delText>This insistence functioned, whether by design or by fortunate accident, as both an administrative filter against weak claims and an institutional safeguard against groupthink.</w:delText>
        </w:r>
      </w:del>
      <w:ins w:id="100236" w:author="Claude" w:date="2026-09-26T12:00:00Z">
        <w:r>
          <w:t>This insistence functioned, whether by design or by fortunate accident, as an institutional safeguard against groupthink and, as has long been understood, as an administrative filter against weak claims.</w:t>
        </w:r>
      </w:ins>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what sacred oath-taking had once provided—a mechanism that </w:t>
      </w:r>
      <w:del w:id="100312" w:author="Claude" w:date="2026-09-26T12:00:00Z">
        <w:r>
          <w:delText xml:space="preserve">disciplined frivolous claims and </w:delText>
        </w:r>
      </w:del>
      <w:r>
        <w:t>compelled claimants to confront the gravity of Externalization</w:t>
      </w:r>
      <w:ins w:id="100313" w:author="Claude" w:date="2026-09-26T12:00:00Z">
        <w:r>
          <w:t xml:space="preserve"> and, in doing so, disciplined frivolous claims</w:t>
        </w:r>
      </w:ins>
      <w:r>
        <w:t xml:space="preserve">. </w:t>
      </w:r>
      <w:r>
        <w:t>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del w:id="100237" w:author="Claude" w:date="2026-09-26T12:00:00Z">
        <w:r>
          <w:delTex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delText>
        </w:r>
      </w:del>
      <w:ins w:id="100238" w:author="Claude" w:date="2026-09-26T12:00:00Z">
        <w:r>
          <w:t xml:space="preserve">The developments eliminated the ‘cost’ of entering formal court with a bad claim, and so people stopped ‘paying’ for entry with pre-filing scrutiny—most people, in any event. That is the loss that matters for my thesis. A second loss came with it: with no viable informal forums left, every claim went to the formal ones, and dockets overflowed at an unprecedented rate. </w:t>
        </w:r>
      </w:ins>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w:t>
      </w:r>
      <w:ins w:id="100239" w:author="Claude" w:date="2026-09-26T12:00:00Z">
        <w:r>
          <w:t xml:space="preserve">QCMs and </w:t>
        </w:r>
      </w:ins>
      <w:r>
        <w:t>informal forums</w:t>
      </w:r>
      <w:del w:id="100240" w:author="Claude" w:date="2026-09-26T12:00:00Z">
        <w:r>
          <w:delText xml:space="preserve"> and QCMs</w:delText>
        </w:r>
      </w:del>
      <w:r>
        <w:t xml:space="preserve"> a product of the nation’s growth? </w:t>
      </w:r>
      <w:r>
        <w:t xml:space="preserve">Not exactly. </w:t>
      </w:r>
    </w:p>
    <w:p w14:paraId="3DFF2247" w14:textId="7B2F3EDA" w:rsidR="00453149" w:rsidRPr="00A9375B" w:rsidRDefault="00453149" w:rsidP="003D74D8">
      <w:pPr>
        <w:pStyle w:val="BodyTextFirstIndent"/>
        <w:spacing w:line="480" w:lineRule="auto"/>
        <w:jc w:val="both"/>
      </w:pPr>
      <w:r>
        <w:rPr>
          <w:color w:val="000000" w:themeColor="text1"/>
        </w:rPr>
        <w:t xml:space="preserve">Strong arguments exist on both sides regarding the impact of the nation’s growth on </w:t>
      </w:r>
      <w:ins w:id="100241" w:author="Claude" w:date="2026-09-26T12:00:00Z">
        <w:r>
          <w:rPr>
            <w:rFonts w:eastAsiaTheme="majorEastAsia"/>
          </w:rPr>
          <w:t xml:space="preserve">QCMs and </w:t>
        </w:r>
      </w:ins>
      <w:r>
        <w:rPr>
          <w:color w:val="000000" w:themeColor="text1"/>
        </w:rPr>
        <w:t>informal forums</w:t>
      </w:r>
      <w:del w:id="100242" w:author="Claude" w:date="2026-09-26T12:00:00Z">
        <w:r>
          <w:rPr>
            <w:color w:val="000000" w:themeColor="text1"/>
          </w:rPr>
          <w:delText xml:space="preserve"> and QCMs</w:delText>
        </w:r>
      </w:del>
      <w:r>
        <w:rPr>
          <w:color w:val="000000" w:themeColor="text1"/>
        </w:rPr>
        <w:t xml:space="preserve">. </w:t>
      </w:r>
      <w:r>
        <w:rPr>
          <w:color w:val="000000" w:themeColor="text1"/>
        </w:rPr>
        <w:t>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w:t>
      </w:r>
      <w:ins w:id="100314" w:author="Claude" w:date="2026-09-26T12:00:00Z">
        <w:r>
          <w:t xml:space="preserve">QCMs and </w:t>
        </w:r>
      </w:ins>
      <w:r>
        <w:t>informal forums</w:t>
      </w:r>
      <w:del w:id="100315" w:author="Claude" w:date="2026-09-26T12:00:00Z">
        <w:r>
          <w:delText xml:space="preserve"> and QCMs</w:delText>
        </w:r>
      </w:del>
      <w:r>
        <w:t xml:space="preserve"> is beyond this Note’s scope. </w:t>
      </w:r>
      <w:r>
        <w:t>But I can say with confidence that the early American attitude toward disputes was one in which “[disputes] were complacently accepted phenomena” because “America was a rich country, full of adventure and could afford a considerable volume of disputes at a high 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By the turbulent mid-nineteenth century, the American legal profession stood between two irreconcilable visions of the lawyer’s purpose. On one side stood the fading ideal of the “republican 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w:t>
      </w:r>
      <w:del w:id="100316" w:author="Claude" w:date="2026-09-26T12:00:00Z">
        <w:r>
          <w:delText>a</w:delText>
        </w:r>
      </w:del>
      <w:ins w:id="100317" w:author="Claude" w:date="2026-09-26T12:00:00Z">
        <w:r>
          <w:t>an</w:t>
        </w:r>
      </w:ins>
      <w:r>
        <w:t xml:space="preserve"> </w:t>
      </w:r>
      <w:del w:id="100318" w:author="Claude" w:date="2026-09-26T12:00:00Z">
        <w:r>
          <w:delText>filter</w:delText>
        </w:r>
      </w:del>
      <w:ins w:id="100319" w:author="Claude" w:date="2026-09-26T12:00:00Z">
        <w:r>
          <w:t>assessor</w:t>
        </w:r>
      </w:ins>
      <w:r>
        <w:t xml:space="preserve"> </w:t>
      </w:r>
      <w:del w:id="100320" w:author="Claude" w:date="2026-09-26T12:00:00Z">
        <w:r>
          <w:delText>for</w:delText>
        </w:r>
      </w:del>
      <w:ins w:id="100321" w:author="Claude" w:date="2026-09-26T12:00:00Z">
        <w:r>
          <w:t>of</w:t>
        </w:r>
      </w:ins>
      <w:r>
        <w:t xml:space="preserve"> </w:t>
      </w:r>
      <w:del w:id="100322" w:author="Claude" w:date="2026-09-26T12:00:00Z">
        <w:r>
          <w:delText>the</w:delText>
        </w:r>
      </w:del>
      <w:ins w:id="100323" w:author="Claude" w:date="2026-09-26T12:00:00Z">
        <w:r>
          <w:t>his</w:t>
        </w:r>
      </w:ins>
      <w:r>
        <w:t xml:space="preserve"> </w:t>
      </w:r>
      <w:del w:id="100324" w:author="Claude" w:date="2026-09-26T12:00:00Z">
        <w:r>
          <w:delText>courts</w:delText>
        </w:r>
      </w:del>
      <w:ins w:id="100325" w:author="Claude" w:date="2026-09-26T12:00:00Z">
        <w:r>
          <w:t>own client’s cause</w:t>
        </w:r>
      </w:ins>
      <w:r>
        <w:t xml:space="preserve"> to a mere mercenary weapon for the client. </w:t>
      </w:r>
      <w:r>
        <w:t xml:space="preserve">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t>
      </w:r>
      <w:del w:id="100326" w:author="Claude" w:date="2026-09-26T12:00:00Z">
        <w:r>
          <w:delText>whether</w:delText>
        </w:r>
      </w:del>
      <w:ins w:id="100327" w:author="Claude" w:date="2026-09-26T12:00:00Z">
        <w:r>
          <w:t>the strength of</w:t>
        </w:r>
      </w:ins>
      <w:r>
        <w:t xml:space="preserve"> a </w:t>
      </w:r>
      <w:del w:id="100328" w:author="Claude" w:date="2026-09-26T12:00:00Z">
        <w:r>
          <w:delText>dispute</w:delText>
        </w:r>
      </w:del>
      <w:ins w:id="100329" w:author="Claude" w:date="2026-09-26T12:00:00Z">
        <w:r>
          <w:t>claim</w:t>
        </w:r>
      </w:ins>
      <w:r>
        <w:t xml:space="preserve"> </w:t>
      </w:r>
      <w:del w:id="100330" w:author="Claude" w:date="2026-09-26T12:00:00Z">
        <w:r>
          <w:delText>belonged</w:delText>
        </w:r>
      </w:del>
      <w:ins w:id="100331" w:author="Claude" w:date="2026-09-26T12:00:00Z">
        <w:r>
          <w:t>before</w:t>
        </w:r>
      </w:ins>
      <w:r>
        <w:t xml:space="preserve"> </w:t>
      </w:r>
      <w:del w:id="100332" w:author="Claude" w:date="2026-09-26T12:00:00Z">
        <w:r>
          <w:delText>in</w:delText>
        </w:r>
      </w:del>
      <w:ins w:id="100333" w:author="Claude" w:date="2026-09-26T12:00:00Z">
        <w:r>
          <w:t>it went to</w:t>
        </w:r>
      </w:ins>
      <w:r>
        <w:t xml:space="preserve"> court</w:t>
      </w:r>
      <w:del w:id="100334" w:author="Claude" w:date="2026-09-26T12:00:00Z">
        <w:r>
          <w:delText xml:space="preserve"> or could be resolved without it</w:delText>
        </w:r>
      </w:del>
      <w:r>
        <w:t>.</w:t>
      </w:r>
      <w:r>
        <w:rPr>
          <w:rStyle w:val="FootnoteReference"/>
          <w:color w:val="000000" w:themeColor="text1"/>
        </w:rPr>
        <w:footnoteReference w:id="448"/>
      </w:r>
      <w:r>
        <w:t xml:space="preserve"> </w:t>
      </w:r>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734F9788" w14:textId="3A1B6657" w:rsidR="007503B6" w:rsidRPr="000519F8" w:rsidRDefault="000519F8" w:rsidP="003D74D8">
      <w:pPr>
        <w:pStyle w:val="BodyTextFirstIndent"/>
        <w:spacing w:line="480" w:lineRule="auto"/>
        <w:jc w:val="both"/>
      </w:pPr>
      <w:bookmarkStart w:id="78" w:name="_Ref218970961"/>
      <w:bookmarkEnd w:id="78"/>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sources.</w:t>
      </w:r>
      <w:r>
        <w:rPr>
          <w:rStyle w:val="FootnoteReference"/>
        </w:rPr>
        <w:footnoteReference w:id="485"/>
      </w:r>
      <w:r>
        <w:t xml:space="preserve"> The American legal profession’s particular infrastructure, such as the American Bar Association itself, dismantled those conditions.</w:t>
      </w:r>
      <w:r>
        <w:rPr>
          <w:rStyle w:val="FootnoteReference"/>
        </w:rPr>
        <w:footnoteReference w:id="486"/>
      </w:r>
      <w:del w:id="100243" w:author="Claude" w:date="2026-09-26T12:00:00Z">
        <w:r>
          <w:delText xml:space="preserve"> But infrastructure alone is an insufficient scapegoat for the changing culture of ADR. </w:delText>
        </w:r>
      </w:del>
      <w:ins w:id="100244" w:author="Claude" w:date="2026-09-26T12:00:00Z">
        <w:r>
          <w:t xml:space="preserve"> And with the forums went the discipline that had surrounded them. Once lawyers sat in the informal forums as well as the courts, the question whether a claim deserved a forum passed from the advocate, who had once had to answer it before filing, to the system, which answers it after filing if it answers it at all. But infrastructure alone is an insufficient scapegoat for the changing culture of ADR. </w:t>
        </w:r>
      </w:ins>
      <w:r>
        <w:t xml:space="preserve">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bookmarkStart w:id="79" w:name="_Ref218973253"/>
      <w:bookmarkEnd w:id="79"/>
      <w:bookmarkStart w:id="80" w:name="_Ref214127688"/>
      <w:bookmarkEnd w:id="80"/>
      <w:r>
        <w:rPr>
          <w:color w:val="000000" w:themeColor="text1"/>
        </w:rPr>
        <w:t>Armed with Sharswood’s demand of “immovable fidelity” to every cause undertaken—and supported by its institutional capacity for capture—the profession needed only a financial engine to convert that adversarial posture into a self-sustaining industry. The monetization of disputes 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w:t>
      </w:r>
      <w:del w:id="100336" w:author="Claude" w:date="2026-09-26T12:00:00Z">
        <w:r>
          <w:rPr>
            <w:color w:val="000000" w:themeColor="text1"/>
          </w:rPr>
          <w:delText>did</w:delText>
        </w:r>
      </w:del>
      <w:ins w:id="100337" w:author="Claude" w:date="2026-09-26T12:00:00Z">
        <w:r>
          <w:rPr>
            <w:color w:val="000000" w:themeColor="text1"/>
          </w:rPr>
          <w:t>passed</w:t>
        </w:r>
      </w:ins>
      <w:r>
        <w:rPr>
          <w:color w:val="000000" w:themeColor="text1"/>
        </w:rPr>
        <w:t xml:space="preserve"> </w:t>
      </w:r>
      <w:del w:id="100338" w:author="Claude" w:date="2026-09-26T12:00:00Z">
        <w:r>
          <w:rPr>
            <w:color w:val="000000" w:themeColor="text1"/>
          </w:rPr>
          <w:delText>exist as</w:delText>
        </w:r>
      </w:del>
      <w:ins w:id="100339" w:author="Claude" w:date="2026-09-26T12:00:00Z">
        <w:r>
          <w:rPr>
            <w:color w:val="000000" w:themeColor="text1"/>
          </w:rPr>
          <w:t>for</w:t>
        </w:r>
      </w:ins>
      <w:r>
        <w:rPr>
          <w:color w:val="000000" w:themeColor="text1"/>
        </w:rPr>
        <w:t xml:space="preserve">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“established categories,” deciding “which [parts] to include” while “screening out” whatever did not conform to legal conventions.</w:t>
      </w:r>
      <w:r>
        <w:rPr>
          <w:rStyle w:val="FootnoteReference"/>
        </w:rPr>
        <w:footnoteReference w:id="494"/>
      </w:r>
      <w:r>
        <w:t xml:space="preserve"> </w:t>
      </w:r>
      <w:r>
        <w:rPr>
          <w:color w:val="000000" w:themeColor="text1"/>
        </w:rPr>
        <w:t>Legal education at the time offered few ADR courses, so lawyers introduced to this model adopted the culture that it was yet another opportunity to win and bill.</w:t>
      </w:r>
      <w:r>
        <w:rPr>
          <w:rStyle w:val="FootnoteReference"/>
          <w:color w:val="000000" w:themeColor="text1"/>
        </w:rPr>
        <w:footnoteReference w:id="495"/>
      </w:r>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ins w:id="100378" w:author="Claude" w:date="2026-09-26T12:00:00Z">
        <w:r>
          <w:rPr>
            <w:color w:val="000000"/>
          </w:rPr>
          <w:t xml:space="preserve"> The English got there first. In 1778, Baker records, the Inner Temple’s “age-old obligation to moot was commuted to a cash payment,” and what remained were “perfunctory ceremonies of no educational significance.”</w:t>
        </w:r>
        <w:r>
          <w:rPr>
            <w:rStyle w:val="FootnoteReference"/>
            <w:color w:val="000000"/>
          </w:rPr>
          <w:footnoteReference w:id="703"/>
        </w:r>
      </w:ins>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w:t>
      </w:r>
      <w:ins w:id="100340" w:author="Claude" w:date="2026-09-26T12:00:00Z">
        <w:r>
          <w:t>. Rule 11 is the obvious objection to my thesis</w:t>
        </w:r>
      </w:ins>
      <w:r>
        <w:t xml:space="preserve">, </w:t>
      </w:r>
      <w:del w:id="100341" w:author="Claude" w:date="2026-09-26T12:00:00Z">
        <w:r>
          <w:delText>yet</w:delText>
        </w:r>
      </w:del>
      <w:ins w:id="100342" w:author="Claude" w:date="2026-09-26T12:00:00Z">
        <w:r>
          <w:t>and</w:t>
        </w:r>
      </w:ins>
      <w:r>
        <w:t xml:space="preserve"> </w:t>
      </w:r>
      <w:del w:id="100343" w:author="Claude" w:date="2026-09-26T12:00:00Z">
        <w:r>
          <w:delText>even</w:delText>
        </w:r>
      </w:del>
      <w:ins w:id="100344" w:author="Claude" w:date="2026-09-26T12:00:00Z">
        <w:r>
          <w:t>I must respond to it here. Even</w:t>
        </w:r>
      </w:ins>
      <w:r>
        <w:t xml:space="preserve"> after the 1983 amendments strengthened the rule, the 1993 revisions introduced a safe harbor provision that Justice Scalia correctly predicted would render it ineffective.</w:t>
      </w:r>
      <w:r>
        <w:rPr>
          <w:rStyle w:val="FootnoteReference"/>
        </w:rPr>
        <w:footnoteReference w:id="521"/>
      </w:r>
      <w:del w:id="100345" w:author="Claude" w:date="2026-09-26T12:00:00Z">
        <w:r>
          <w:rPr>
            <w:color w:val="000000" w:themeColor="text1"/>
          </w:rPr>
          <w:delText xml:space="preserve"> </w:delText>
        </w:r>
        <w:r>
          <w:delText>Part of this has been due to a reluctance to impose sanctions and the subjectivity required to interpret the rule, yet it is hard to imagine an American system where Rule 11 would ever lead to pre-filing scrutiny.</w:delText>
        </w:r>
      </w:del>
      <w:ins w:id="100346" w:author="Claude" w:date="2026-09-26T12:00:00Z">
        <w:r>
          <w:t xml:space="preserve"> Courts have been reluctant to impose its sanctions, and its application is a subjective business. The most that can be said for it is what Judge Schwarzer said: that it “has raised the consciousness of lawyers to the need for a careful prefiling investigation of the facts and inquiry into the law.” Well, certainly. But a raised consciousness of a need is one thing, and a compulsion to meet it is something else; it is hard to imagine an American system where Rule 11 would ever lead to pre-filing scrutiny.</w:t>
        </w:r>
      </w:ins>
      <w:r>
        <w:rPr>
          <w:rStyle w:val="FootnoteReference"/>
        </w:rPr>
        <w:footnoteReference w:id="522"/>
      </w:r>
      <w:del w:id="100347" w:author="Claude" w:date="2026-09-26T12:00:00Z">
        <w:r>
          <w:delText xml:space="preserve"> Because Rule 11 is a post-filing cost and not, as in the other societies examined in this Note, a pre-filing one, disputants Externalize grievances without ever confronting how their own cases fare under pre-filing scrutiny.</w:delText>
        </w:r>
      </w:del>
      <w:ins w:id="100348" w:author="Claude" w:date="2026-09-26T12:00:00Z">
        <w:r>
          <w:t xml:space="preserve"> What is most damning about Rule 11, however, is that it is a post-filing cost and not, as in the other societies examined in this Note, a pre-filing one. That is not, I think, a small difference. It is, the psychologists tell us, the difference between before and after. Accountability, Philip Tetlock found, is “much more effective in preventing than in reversing the biased assimilation process”;</w:t>
        </w:r>
        <w:r>
          <w:rPr>
            <w:rStyle w:val="FootnoteReference"/>
          </w:rPr>
          <w:footnoteReference w:id="736"/>
        </w:r>
        <w:r>
          <w:t xml:space="preserve"> a judgment already formed is defended, not examined. Whatever inquiry the rule asks of an advocate, nothing happens to him for skipping it until after he has filed, and not much then. So disputants Externalize grievances without ever confronting how their own cases fare under pre-filing scrutiny.</w:t>
        </w:r>
      </w:ins>
      <w:r>
        <w:rPr>
          <w:rStyle w:val="FootnoteReference"/>
        </w:rPr>
        <w:footnoteReference w:id="523"/>
      </w:r>
      <w:del w:id="100349" w:author="Claude" w:date="2026-09-26T12:00:00Z">
        <w:r>
          <w:delText xml:space="preserve"> </w:delText>
        </w:r>
      </w:del>
      <w:ins w:id="100350" w:author="Claude" w:date="2026-09-26T12:00:00Z">
        <w:r>
          <w:t xml:space="preserve"> Where the old price is still exacted, the old test survives; and it survives, quite naturally, where the advocate must face the same tribunal again and again. Rex Lee, as Solicitor General, declined “five out of every six” agency requests to seek the Court’s review,</w:t>
        </w:r>
        <w:r>
          <w:rPr>
            <w:rStyle w:val="FootnoteReference"/>
          </w:rPr>
          <w:footnoteReference w:id="717"/>
        </w:r>
        <w:r>
          <w:t xml:space="preserve"> and the Supreme Court bar, Lazarus suggests, “may be serving a useful screening function,” its members advising “clients against filing petitions, although that eliminates a business opportunity.”</w:t>
        </w:r>
        <w:r>
          <w:rPr>
            <w:rStyle w:val="FootnoteReference"/>
          </w:rPr>
          <w:footnoteReference w:id="718"/>
        </w:r>
        <w:r>
          <w:t xml:space="preserve"> One Washington lawyer, a veteran of the Solicitor General’s office, put the point to Kevin McGuire less delicately: “Fifty percent of the cert petitions filed have no chance of being granted. Anybody who read them before they were filed could have told the petitioner that.”</w:t>
        </w:r>
        <w:r>
          <w:rPr>
            <w:rStyle w:val="FootnoteReference"/>
          </w:rPr>
          <w:footnoteReference w:id="724"/>
        </w:r>
        <w:r>
          <w:t xml:space="preserve"> McGuire draws the conclusion that “in a sense, their cases are also ‘prescreened,’” and the reason is the repeat player’s reason: “The professional fortunes of these lawyers are not tied to any one case.”</w:t>
        </w:r>
        <w:r>
          <w:rPr>
            <w:rStyle w:val="FootnoteReference"/>
          </w:rPr>
          <w:footnoteReference w:id="725"/>
        </w:r>
        <w:r>
          <w:t xml:space="preserve"> The incentive runs the other way as well, as Carter Phillips explained to me. The bar before the Court is exclusive, and the chance to argue there is rare—arguing there is, in a phrase McGuire quotes, “a temptation few seem to be able to resist”</w:t>
        </w:r>
        <w:r>
          <w:rPr>
            <w:rStyle w:val="FootnoteReference"/>
          </w:rPr>
          <w:footnoteReference w:id="722"/>
        </w:r>
        <w:r>
          <w:t>—so the lawyer who has carried a case that far has every reason to keep it rather than surrender it to someone who has been there before. There is, Phillips said, a “feeding frenzy” to write the petition for certiorari even when the case has little chance on the merits; and so the Court is sometimes handed an issue it ought to decide in a case that is the wrong vehicle for deciding it.</w:t>
        </w:r>
        <w:r>
          <w:rPr>
            <w:rStyle w:val="FootnoteReference"/>
          </w:rPr>
          <w:footnoteReference w:id="728"/>
        </w:r>
        <w:r>
          <w:t xml:space="preserve"> McGuire records what happens when the advocate will not let go. In one of the Court’s punitive-damages cases, a Los Angeles corporate lawyer sat through “[s]everal moot courts on the West Coast and one in Washington,” one of which “apparently included a memorable scolding of Beckman by [Erwin] Griswold,” and which together “left the corporate bar wishing Beckman would surrender the argument” to a veteran of the Court. He “wouldn’t relinquish the case,” and “the corporate nightmare came true.”</w:t>
        </w:r>
        <w:r>
          <w:rPr>
            <w:rStyle w:val="FootnoteReference"/>
          </w:rPr>
          <w:footnoteReference w:id="723"/>
        </w:r>
        <w:r>
          <w:t xml:space="preserve"> Now the moot court had told him precisely what the Court would tell him. Nothing required him to listen, and he did not. That is the exception, and it serves only to confirm the rule: the advocate heeds the test when something happens to him if he does not. </w:t>
        </w:r>
      </w:ins>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bookmarkStart w:id="81" w:name="_Ref217243451"/>
      <w:bookmarkEnd w:id="81"/>
      <w:ins w:id="100245" w:author="Claude" w:date="2026-09-26T12:00:00Z">
        <w:r>
          <w:rPr>
            <w:color w:val="000000" w:themeColor="text1"/>
          </w:rPr>
          <w:t xml:space="preserve">The Pound Conference is where the profession stopped asking whether a claim was ready to be filed and settled on asking where to file it instead. It did not get there in one step. </w:t>
        </w:r>
      </w:ins>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r>
        <w:rPr>
          <w:rStyle w:val="FootnoteReference"/>
          <w:color w:val="000000" w:themeColor="text1"/>
        </w:rPr>
        <w:footnoteReference w:id="527"/>
      </w:r>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bookmarkStart w:id="86" w:name="_Ref217242774"/>
      <w:bookmarkEnd w:id="86"/>
      <w:bookmarkStart w:id="87" w:name="_Ref218976427"/>
      <w:bookmarkEnd w:id="87"/>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presuming that disputes already exist as fully formed claims, requiring only efficient sorting among external forums to protect courts from excessive caseloads.</w:t>
      </w:r>
      <w:r>
        <w:rPr>
          <w:rStyle w:val="FootnoteReference"/>
          <w:color w:val="000000" w:themeColor="text1"/>
        </w:rPr>
        <w:footnoteReference w:id="543"/>
      </w:r>
      <w:del w:id="100246" w:author="Claude" w:date="2026-09-26T12:00:00Z">
        <w:r>
          <w:delTex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delText>
        </w:r>
      </w:del>
      <w:ins w:id="100247" w:author="Claude" w:date="2026-09-26T12:00:00Z">
        <w:r>
          <w:t xml:space="preserve"> The screening the conference contemplated was Sander’s clerk in the courthouse lobby, not the advocate in his office before the complaint was drafted; whether a weak claim should be filed at all was left to be asked, if at all, after it had been. Following the conference, a Task Force recommended piloting these revolving-door systems, which the Justice Department first sponsored in Atlanta, Kansas City, and Los Angeles.</w:t>
        </w:r>
      </w:ins>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 in administrative efficiency.</w:t>
      </w:r>
      <w:r>
        <w:rPr>
          <w:rStyle w:val="FootnoteReference"/>
          <w:color w:val="000000" w:themeColor="text1"/>
        </w:rPr>
        <w:footnoteReference w:id="545"/>
      </w:r>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w:t>
      </w:r>
      <w:del w:id="100248" w:author="Claude" w:date="2026-09-26T12:00:00Z">
        <w:r>
          <w:delText xml:space="preserve">gatekeeping </w:delText>
        </w:r>
      </w:del>
      <w:r>
        <w:t xml:space="preserve">mechanisms </w:t>
      </w:r>
      <w:del w:id="100249" w:author="Claude" w:date="2026-09-26T12:00:00Z">
        <w:r>
          <w:delText>designed</w:delText>
        </w:r>
      </w:del>
      <w:ins w:id="100250" w:author="Claude" w:date="2026-09-26T12:00:00Z">
        <w:r>
          <w:t>that</w:t>
        </w:r>
      </w:ins>
      <w:r>
        <w:t xml:space="preserve"> </w:t>
      </w:r>
      <w:del w:id="100251" w:author="Claude" w:date="2026-09-26T12:00:00Z">
        <w:r>
          <w:delText>to preserve</w:delText>
        </w:r>
      </w:del>
      <w:ins w:id="100252" w:author="Claude" w:date="2026-09-26T12:00:00Z">
        <w:r>
          <w:t>made</w:t>
        </w:r>
      </w:ins>
      <w:r>
        <w:t xml:space="preserve"> the </w:t>
      </w:r>
      <w:del w:id="100253" w:author="Claude" w:date="2026-09-26T12:00:00Z">
        <w:r>
          <w:delText>formal</w:delText>
        </w:r>
      </w:del>
      <w:ins w:id="100254" w:author="Claude" w:date="2026-09-26T12:00:00Z">
        <w:r>
          <w:t>disputant</w:t>
        </w:r>
      </w:ins>
      <w:r>
        <w:t xml:space="preserve"> </w:t>
      </w:r>
      <w:del w:id="100255" w:author="Claude" w:date="2026-09-26T12:00:00Z">
        <w:r>
          <w:delText>system</w:delText>
        </w:r>
      </w:del>
      <w:ins w:id="100256" w:author="Claude" w:date="2026-09-26T12:00:00Z">
        <w:r>
          <w:t>test</w:t>
        </w:r>
      </w:ins>
      <w:r>
        <w:t xml:space="preserve"> </w:t>
      </w:r>
      <w:del w:id="100257" w:author="Claude" w:date="2026-09-26T12:00:00Z">
        <w:r>
          <w:delText>for</w:delText>
        </w:r>
      </w:del>
      <w:ins w:id="100258" w:author="Claude" w:date="2026-09-26T12:00:00Z">
        <w:r>
          <w:t>his</w:t>
        </w:r>
      </w:ins>
      <w:r>
        <w:t xml:space="preserve"> </w:t>
      </w:r>
      <w:del w:id="100259" w:author="Claude" w:date="2026-09-26T12:00:00Z">
        <w:r>
          <w:delText>claims</w:delText>
        </w:r>
      </w:del>
      <w:ins w:id="100260" w:author="Claude" w:date="2026-09-26T12:00:00Z">
        <w:r>
          <w:t>claim</w:t>
        </w:r>
      </w:ins>
      <w:r>
        <w:t xml:space="preserve"> </w:t>
      </w:r>
      <w:del w:id="100261" w:author="Claude" w:date="2026-09-26T12:00:00Z">
        <w:r>
          <w:delText>of</w:delText>
        </w:r>
      </w:del>
      <w:ins w:id="100262" w:author="Claude" w:date="2026-09-26T12:00:00Z">
        <w:r>
          <w:t>before</w:t>
        </w:r>
      </w:ins>
      <w:r>
        <w:t xml:space="preserve"> </w:t>
      </w:r>
      <w:del w:id="100263" w:author="Claude" w:date="2026-09-26T12:00:00Z">
        <w:r>
          <w:delText>merit</w:delText>
        </w:r>
      </w:del>
      <w:ins w:id="100264" w:author="Claude" w:date="2026-09-26T12:00:00Z">
        <w:r>
          <w:t>he chose either</w:t>
        </w:r>
      </w:ins>
      <w:r>
        <w:t xml:space="preserve">. </w:t>
      </w:r>
      <w:r>
        <w:t>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w:t>
      </w:r>
      <w:del w:id="100265" w:author="Claude" w:date="2026-09-26T12:00:00Z">
        <w:r>
          <w:delText>ADR</w:delText>
        </w:r>
      </w:del>
      <w:ins w:id="100266" w:author="Claude" w:date="2026-09-26T12:00:00Z">
        <w:r>
          <w:t>advocacy</w:t>
        </w:r>
      </w:ins>
      <w:r>
        <w:t>.</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del w:id="100267" w:author="Claude" w:date="2026-09-26T12:00:00Z">
        <w:r>
          <w:rPr>
            <w:iCs/>
          </w:rPr>
          <w:delTex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delText>
        </w:r>
        <w:r>
          <w:delText>history continues to govern the present w</w:delText>
        </w:r>
        <w:r>
          <w:rPr>
            <w:iCs/>
          </w:rPr>
          <w:delText>here the choice of what to do with a case is “what is the best forum?” rather than “should this claim be externalized at all?”</w:delText>
        </w:r>
        <w:r>
          <w:delText xml:space="preserve"> As a result, a slew of cognitive biases operating at both the individual and group level have been left free to compromise legal strategy. </w:delText>
        </w:r>
      </w:del>
      <w:ins w:id="100268" w:author="Claude" w:date="2026-09-26T12:00:00Z">
        <w:r>
          <w:t xml:space="preserve">America abandoned the forge of pre-filing scrutiny. The ‘costs’ of disputing disappeared, and with them the occasion on which an advocate had to test his claim. In their place came a process that treats disputing as nothing more than a selection among forums; the two disputing tracks collapsed into one (which I have represented visually in the figures throughout this Note). And no wonder: no one resisted this model, which the 1976 Pound Conference embedded in the profession, and so history governs the present still: the question a legal team ordinarily asks of a case is “what is the best forum?” rather than “has this claim been tested, and should it be filed at all?” Thus a host of cognitive biases, operating at both the individual and group level, have been left free to compromise legal strategy. </w:t>
        </w:r>
      </w:ins>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del w:id="100269" w:author="Claude" w:date="2026-09-26T12:00:00Z">
        <w:r>
          <w:delText>Due</w:delText>
        </w:r>
      </w:del>
      <w:ins w:id="100270" w:author="Claude" w:date="2026-09-26T12:00:00Z">
        <w:r>
          <w:t>Because</w:t>
        </w:r>
      </w:ins>
      <w:r>
        <w:t xml:space="preserve"> </w:t>
      </w:r>
      <w:del w:id="100271" w:author="Claude" w:date="2026-09-26T12:00:00Z">
        <w:r>
          <w:delText>to</w:delText>
        </w:r>
      </w:del>
      <w:ins w:id="100272" w:author="Claude" w:date="2026-09-26T12:00:00Z">
        <w:r>
          <w:t>disputes</w:t>
        </w:r>
      </w:ins>
      <w:r>
        <w:t xml:space="preserve"> </w:t>
      </w:r>
      <w:del w:id="100273" w:author="Claude" w:date="2026-09-26T12:00:00Z">
        <w:r>
          <w:delText>the</w:delText>
        </w:r>
      </w:del>
      <w:ins w:id="100274" w:author="Claude" w:date="2026-09-26T12:00:00Z">
        <w:r>
          <w:t>have</w:t>
        </w:r>
      </w:ins>
      <w:r>
        <w:t xml:space="preserve"> </w:t>
      </w:r>
      <w:del w:id="100275" w:author="Claude" w:date="2026-09-26T12:00:00Z">
        <w:r>
          <w:delText>monetization</w:delText>
        </w:r>
      </w:del>
      <w:ins w:id="100276" w:author="Claude" w:date="2026-09-26T12:00:00Z">
        <w:r>
          <w:t>been</w:t>
        </w:r>
      </w:ins>
      <w:r>
        <w:t xml:space="preserve"> </w:t>
      </w:r>
      <w:del w:id="100277" w:author="Claude" w:date="2026-09-26T12:00:00Z">
        <w:r>
          <w:delText>of the picking amongst forums model</w:delText>
        </w:r>
      </w:del>
      <w:ins w:id="100278" w:author="Claude" w:date="2026-09-26T12:00:00Z">
        <w:r>
          <w:t>monetized</w:t>
        </w:r>
      </w:ins>
      <w:r>
        <w:t>, “lawyers gain utility from processing evidence with a myside bias (because it pays off to be a zealous advocate), which leaves 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w:t>
      </w:r>
      <w:del w:id="100279" w:author="Claude" w:date="2026-09-26T12:00:00Z">
        <w:r>
          <w:rPr>
            <w:iCs/>
          </w:rPr>
          <w:delText xml:space="preserve">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w:delText>
        </w:r>
      </w:del>
      <w:ins w:id="100280" w:author="Claude" w:date="2026-09-26T12:00:00Z">
        <w:r>
          <w:t xml:space="preserve">What this means for the modern Deliberative Body is this: it can restore the discipline that filing once required by cultivating authentic dissent—dissent that asks how strong the case is before it is filed, and whether it needs to be Externalized at all. Do that, and the cognitive biases that have compounded unchecked since the QCMs disappeared will meet some resistance. </w:t>
        </w:r>
      </w:ins>
      <w:r>
        <w:rPr>
          <w:iCs/>
        </w:rPr>
        <w:t>Research supports the feasibility, effectiveness, and efficiency of implementing my QCM without compromising a Deliberative Body’s zealous advocacy for its clients, profit capabilities, or pro bono/social justice 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del w:id="100379" w:author="Claude" w:date="2026-09-26T12:00:00Z">
        <w:r>
          <w:rPr>
            <w:color w:val="FF0000"/>
          </w:rPr>
          <w:delText xml:space="preserve"> Directing</w:delText>
        </w:r>
        <w:r>
          <w:delText xml:space="preserve"> one person to produce a dissenting viewpoint artificially assumes that person has the freethinking personality type needed to challenge the team’s assumptions truly.</w:delText>
        </w:r>
      </w:del>
      <w:ins w:id="100380" w:author="Claude" w:date="2026-09-26T12:00:00Z">
        <w:r>
          <w:t xml:space="preserve"> Mill made the point, and he made it by pointing at Cicero. The objections must come, he wrote, from “persons who actually believe them; who defend them in earnest, and do their very utmost for them,” for “the weakest part of what everybody says in defence of his opinion, is what he intends as a reply to antagonists.”</w:t>
        </w:r>
        <w:r>
          <w:rPr>
            <w:rStyle w:val="FootnoteReference"/>
          </w:rPr>
          <w:footnoteReference w:id="727"/>
        </w:r>
        <w:r>
          <w:t xml:space="preserve"> Stanley Fish asks the question that ends the matter: “Just how does one distance oneself from oneself? With what part of oneself can one be tentative about oneself?”</w:t>
        </w:r>
        <w:r>
          <w:rPr>
            <w:rStyle w:val="FootnoteReference"/>
          </w:rPr>
          <w:footnoteReference w:id="711"/>
        </w:r>
        <w:r>
          <w:t xml:space="preserve"> Directing one person to produce a dissenting viewpoint artificially assumes that person has the freethinking personality type needed to challenge the team’s assumptions truly.</w:t>
        </w:r>
      </w:ins>
      <w:r>
        <w:rPr>
          <w:rStyle w:val="FootnoteReference"/>
        </w:rPr>
        <w:footnoteReference w:id="570"/>
      </w:r>
      <w:r>
        <w:t xml:space="preserve"> In contrast, when dissent is natural, benefits from dissenting opinions arise regardless of whether the dissenter is correct 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IV’s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IV noted. 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del w:id="100381" w:author="Claude" w:date="2026-09-26T12:00:00Z">
        <w:r>
          <w:delText xml:space="preserve"> </w:delText>
        </w:r>
      </w:del>
      <w:ins w:id="100382" w:author="Claude" w:date="2026-09-26T12:00:00Z">
        <w:r>
          <w:t xml:space="preserve"> The delegates were also, in our terms, interpretively multilingual. Justice Story complained that in the founding generation “the rules of interpretation have often been shifted to suit the emergency,”</w:t>
        </w:r>
        <w:r>
          <w:rPr>
            <w:rStyle w:val="FootnoteReference"/>
          </w:rPr>
          <w:footnoteReference w:id="734"/>
        </w:r>
        <w:r>
          <w:t xml:space="preserve"> and a recent study of the period concludes that the era “was distinguished by its interpretive pluralism, not interpretive consensus.”</w:t>
        </w:r>
        <w:r>
          <w:rPr>
            <w:rStyle w:val="FootnoteReference"/>
          </w:rPr>
          <w:footnoteReference w:id="708"/>
        </w:r>
        <w:r>
          <w:t xml:space="preserve"> </w:t>
        </w:r>
      </w:ins>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bookmarkStart w:id="88" w:name="_Ref217224132"/>
      <w:bookmarkEnd w:id="88"/>
      <w:r>
        <w:t xml:space="preserve">Without psychological safety, lawyers will continue to calculate the perceived risk of dissent against the minimal gains of challenging the </w:t>
      </w:r>
      <w:del w:id="100281" w:author="Claude" w:date="2026-09-26T12:00:00Z">
        <w:r>
          <w:delText>choice</w:delText>
        </w:r>
      </w:del>
      <w:ins w:id="100282" w:author="Claude" w:date="2026-09-26T12:00:00Z">
        <w:r>
          <w:t>decision</w:t>
        </w:r>
      </w:ins>
      <w:r>
        <w:t xml:space="preserve"> to </w:t>
      </w:r>
      <w:del w:id="100283" w:author="Claude" w:date="2026-09-26T12:00:00Z">
        <w:r>
          <w:delText>Externalize</w:delText>
        </w:r>
      </w:del>
      <w:ins w:id="100284" w:author="Claude" w:date="2026-09-26T12:00:00Z">
        <w:r>
          <w:t>file an untested claim</w:t>
        </w:r>
      </w:ins>
      <w:r>
        <w:t>.</w:t>
      </w:r>
      <w:r>
        <w:rPr>
          <w:rStyle w:val="FootnoteReference"/>
          <w:color w:val="000000" w:themeColor="text1"/>
        </w:rPr>
        <w:footnoteReference w:id="606"/>
      </w:r>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del w:id="100383" w:author="Claude" w:date="2026-09-26T12:00:00Z">
        <w:r>
          <w:delText xml:space="preserve"> And as Professor Richard Lazarus observed, “[s]ome of the.</w:delText>
        </w:r>
      </w:del>
      <w:ins w:id="100384" w:author="Claude" w:date="2026-09-26T12:00:00Z">
        <w:r>
          <w:t xml:space="preserve"> The practice is an old one in the Washington bar. McGuire found that its experienced members “evaluate one another’s oral preparations, criticize their briefs, and school less experienced counsel on what questions to expect from the justices,” and that one lawyer, fresh from his first argument, “admitted that his appearance at the moot court had actually been more stressful.”</w:t>
        </w:r>
        <w:r>
          <w:rPr>
            <w:rStyle w:val="FootnoteReference"/>
          </w:rPr>
          <w:footnoteReference w:id="721"/>
        </w:r>
        <w:r>
          <w:t xml:space="preserve"> Carter Phillips, one of the most experienced Supreme Court advocates in the country, told me the same thing from the other end of a career. For his first twenty years, he said, the roundtables were “incredibly helpful”; now, because of his reputation, “people won’t challenge me,” and he has stopped holding them. “I don’t need to be complimented,” he told me. “I want criticism of my case so I can win.”</w:t>
        </w:r>
        <w:r>
          <w:rPr>
            <w:rStyle w:val="FootnoteReference"/>
          </w:rPr>
          <w:footnoteReference w:id="730"/>
        </w:r>
        <w:r>
          <w:t xml:space="preserve"> And the echo chamber is not the ACLU’s alone. Phillips has sat on the moots of civil-rights organizations and found himself “the only non-believer” in the room, and his critique was not welcomed; whether the team is a civil-rights group or a law firm, the reflex is the same: “we have this group of litigators, we know how to handle it.”</w:t>
        </w:r>
        <w:r>
          <w:rPr>
            <w:rStyle w:val="FootnoteReference"/>
          </w:rPr>
          <w:footnoteReference w:id="729"/>
        </w:r>
        <w:r>
          <w:t xml:space="preserve"> And as Professor Richard Lazarus observed, “[s]ome of the.</w:t>
        </w:r>
      </w:ins>
      <w:r>
        <w:t>..best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del w:id="100285" w:author="Claude" w:date="2026-09-26T12:00:00Z">
        <w:r>
          <w:rPr>
            <w:color w:val="000000" w:themeColor="text1"/>
          </w:rPr>
          <w:delTex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delText>
        </w:r>
      </w:del>
      <w:ins w:id="100286" w:author="Claude" w:date="2026-09-26T12:00:00Z">
        <w:r>
          <w:rPr>
            <w:color w:val="000000" w:themeColor="text1"/>
          </w:rPr>
          <w:t>What does the history of dispute resolution teach about how modern legal teams deliberate? Something quite simple. For most of recorded history, the advocate tested his claim before he brought it. He did so because it cost him something not to. Today it costs him almost nothing, and so, by and large, he does not. A sensible man tests the ice before he puts his weight on it; the modern advocate puts his weight on it first and learns its thickness from the splash. I have argued that this is principally a loss to advocacy, and that recovering the discipline is not an exercise in nostalgia but a condition of doing the job well. An additional point concerns words. The modern definition of “ADR” makes “alternative” a modifier that sets mediation, arbitration, and negotiation apart from trial, and makes “disputes” something that occurs only after Externalization. For the greater arc of recorded history the words meant something else entirely. A “dispute” was a grievance still being tested in the forge of a Deliberative Body, and the true “alternative” was whether to carry that grievance into the adversarial arena at all. The vocabulary has grown impoverished through neglect, and the words are worth recovering, for “what we think and say today will mingle with and shape the thoughts of men in the years to come.”</w:t>
        </w:r>
      </w:ins>
      <w:r>
        <w:rPr>
          <w:rStyle w:val="FootnoteReference"/>
          <w:color w:val="000000" w:themeColor="text1"/>
        </w:rPr>
        <w:footnoteReference w:id="701"/>
      </w:r>
      <w:del w:id="100287" w:author="Claude" w:date="2026-09-26T12:00:00Z">
        <w:r>
          <w:rPr>
            <w:color w:val="000000" w:themeColor="text1"/>
          </w:rPr>
          <w:delText xml:space="preserve"> The modern definition of “ADR” defines “alternative” as a modifier distinguishing mediation, arbitration, and negotiation from trial, and “disputes” as something occurring in a post-Externalization timeline.</w:delText>
        </w:r>
        <w:r>
          <w:delText xml:space="preserve"> </w:delText>
        </w:r>
        <w:r>
          <w:rPr>
            <w:color w:val="000000" w:themeColor="text1"/>
          </w:rPr>
          <w:delText xml:space="preserve">But that usage is repugnant to the one adopted throughout the greater arc of recorded human history, where a “dispute” was a grievance still being tested in the forge of a Deliberative Body, and the true “alternative” referred to the question of whether to advance that grievance into the adversarial arena at all. </w:delText>
        </w:r>
      </w:del>
      <w:ins w:id="100288" w:author="Claude" w:date="2026-09-26T12:00:00Z">
        <w:r>
          <w:rPr>
            <w:color w:val="000000" w:themeColor="text1"/>
          </w:rPr>
          <w:t xml:space="preserve"> But the vocabulary is only a manifestation. Advocates did not stop testing their claims because the words changed; the words changed because advocates stopped testing their claims. The more fundamental ill is that the system no longer makes anyone test the claim before he files it. </w:t>
        </w:r>
      </w:ins>
    </w:p>
    <w:p w14:paraId="5ACECDF5" w14:textId="5CB7FB34" w:rsidR="005F2743" w:rsidRPr="00A9375B" w:rsidRDefault="005F2743" w:rsidP="003D74D8">
      <w:pPr>
        <w:spacing w:line="480" w:lineRule="auto"/>
        <w:ind w:firstLine="360"/>
        <w:jc w:val="both"/>
        <w:rPr>
          <w:color w:val="000000" w:themeColor="text1"/>
        </w:rPr>
      </w:pPr>
      <w:del w:id="100289" w:author="Claude" w:date="2026-09-26T12:00:00Z">
        <w:r>
          <w:rPr>
            <w:color w:val="000000" w:themeColor="text1"/>
          </w:rPr>
          <w:delTex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w:delText>
        </w:r>
      </w:del>
      <w:ins w:id="100290" w:author="Claude" w:date="2026-09-26T12:00:00Z">
        <w:r>
          <w:rPr>
            <w:color w:val="000000" w:themeColor="text1"/>
          </w:rPr>
          <w:t xml:space="preserve">Without the forge, legal teams in the United States produce bad strategy, because nothing stops their biases from infecting the way they judge a case; and the collapse of the two tracks into one, which turned legal teams’ gaze outward to the forums and away from the strength of their own claims, has made matters worse. </w:t>
        </w:r>
      </w:ins>
      <w:r>
        <w:rPr>
          <w:color w:val="000000" w:themeColor="text1"/>
        </w:rPr>
        <w:t xml:space="preserve">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w:t>
      </w:r>
      <w:r>
        <w:rPr>
          <w:color w:val="000000" w:themeColor="text1"/>
        </w:rPr>
        <w:t>In the United States, there is no real ‘cost’ for entering court with a bad claim (it is certainly not Rule 11</w:t>
      </w:r>
      <w:ins w:id="100291" w:author="Claude" w:date="2026-09-26T12:00:00Z">
        <w:r>
          <w:rPr>
            <w:color w:val="000000" w:themeColor="text1"/>
          </w:rPr>
          <w:t>, which imposes its cost after filing, and rarely</w:t>
        </w:r>
      </w:ins>
      <w:r>
        <w:rPr>
          <w:color w:val="000000" w:themeColor="text1"/>
        </w:rPr>
        <w:t xml:space="preserve">). </w:t>
      </w:r>
      <w:r>
        <w:rPr>
          <w:color w:val="000000" w:themeColor="text1"/>
        </w:rPr>
        <w:t xml:space="preserve">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II.A.</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Section VI.</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IV.B.</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I.B.1.</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Section III.</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Section V.</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Sections II, V.</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02">
    <w:p>
      <w:pPr>
        <w:pStyle w:val="FootnoteText"/>
        <w:spacing w:line="480" w:lineRule="auto"/>
        <w:rPr>
          <w:ins w:id="100001" w:author="Claude" w:date="2026-09-26T12:00:00Z"/>
        </w:rPr>
      </w:pPr>
      <w:ins w:id="100002" w:author="Claude" w:date="2026-09-26T12:00:00Z">
        <w:r>
          <w:rPr>
            <w:rStyle w:val="FootnoteReference"/>
          </w:rPr>
          <w:footnoteRef/>
        </w:r>
        <w:r>
          <w:t xml:space="preserve"> </w:t>
        </w:r>
        <w:r>
          <w:t xml:space="preserve">J.H. Baker, </w:t>
        </w:r>
        <w:r>
          <w:rPr>
            <w:i/>
          </w:rPr>
          <w:t>Introduction</w:t>
        </w:r>
        <w:r>
          <w:t xml:space="preserve">, </w:t>
        </w:r>
        <w:r>
          <w:rPr>
            <w:i/>
          </w:rPr>
          <w:t>in</w:t>
        </w:r>
        <w:r>
          <w:t xml:space="preserve"> 2 </w:t>
        </w:r>
        <w:r>
          <w:rPr>
            <w:smallCaps/>
          </w:rPr>
          <w:t>Readings and Moots at the Inns of Court in the Fifteenth Century</w:t>
        </w:r>
        <w:r>
          <w:t xml:space="preserve">, </w:t>
        </w:r>
        <w:r>
          <w:rPr>
            <w:i/>
          </w:rPr>
          <w:t>supra</w:t>
        </w:r>
        <w:r>
          <w:t>, at lxxii–lxxiii.</w:t>
        </w:r>
      </w:ins>
    </w:p>
  </w:footnote>
  <w:footnote w:id="703">
    <w:p>
      <w:pPr>
        <w:pStyle w:val="FootnoteText"/>
        <w:spacing w:line="480" w:lineRule="auto"/>
        <w:rPr>
          <w:ins w:id="100003" w:author="Claude" w:date="2026-09-26T12:00:00Z"/>
        </w:rPr>
      </w:pPr>
      <w:ins w:id="100004" w:author="Claude" w:date="2026-09-26T12:00:00Z">
        <w:r>
          <w:rPr>
            <w:rStyle w:val="FootnoteReference"/>
          </w:rPr>
          <w:footnoteRef/>
        </w:r>
        <w:r>
          <w:t xml:space="preserve"> </w:t>
        </w:r>
        <w:r>
          <w:t xml:space="preserve">Baker, </w:t>
        </w:r>
        <w:r>
          <w:rPr>
            <w:i/>
          </w:rPr>
          <w:t>supra</w:t>
        </w:r>
        <w:r>
          <w:t>, at lxxv–lxxvi.</w:t>
        </w:r>
      </w:ins>
    </w:p>
  </w:footnote>
  <w:footnote w:id="704">
    <w:p>
      <w:pPr>
        <w:pStyle w:val="FootnoteText"/>
        <w:spacing w:line="480" w:lineRule="auto"/>
        <w:rPr>
          <w:ins w:id="100005" w:author="Claude" w:date="2026-09-26T12:00:00Z"/>
        </w:rPr>
      </w:pPr>
      <w:ins w:id="100006" w:author="Claude" w:date="2026-09-26T12:00:00Z">
        <w:r>
          <w:rPr>
            <w:rStyle w:val="FootnoteReference"/>
          </w:rPr>
          <w:footnoteRef/>
        </w:r>
        <w:r>
          <w:t xml:space="preserve"> </w:t>
        </w:r>
        <w:r>
          <w:t>Brown v. Bd. of Educ., 347 U.S. 483 (1954); United States v. Skrmetti, 145 S. Ct. 1816 (2025).</w:t>
        </w:r>
      </w:ins>
    </w:p>
  </w:footnote>
  <w:footnote w:id="705">
    <w:p>
      <w:pPr>
        <w:pStyle w:val="FootnoteText"/>
        <w:spacing w:line="480" w:lineRule="auto"/>
        <w:rPr>
          <w:ins w:id="100007" w:author="Claude" w:date="2026-09-26T12:00:00Z"/>
        </w:rPr>
      </w:pPr>
      <w:ins w:id="100008" w:author="Claude" w:date="2026-09-26T12:00:00Z">
        <w:r>
          <w:rPr>
            <w:rStyle w:val="FootnoteReference"/>
          </w:rPr>
          <w:footnoteRef/>
        </w:r>
        <w:r>
          <w:t xml:space="preserve"> </w:t>
        </w:r>
        <w:r>
          <w:rPr>
            <w:smallCaps/>
          </w:rPr>
          <w:t>Benjamin N. Cardozo, The Nature of the Judicial Process</w:t>
        </w:r>
        <w:r>
          <w:t xml:space="preserve"> 174–75 (1921).</w:t>
        </w:r>
      </w:ins>
    </w:p>
  </w:footnote>
  <w:footnote w:id="706">
    <w:p>
      <w:pPr>
        <w:pStyle w:val="FootnoteText"/>
        <w:spacing w:line="480" w:lineRule="auto"/>
        <w:rPr>
          <w:ins w:id="100009" w:author="Claude" w:date="2026-09-26T12:00:00Z"/>
        </w:rPr>
      </w:pPr>
      <w:ins w:id="100010" w:author="Claude" w:date="2026-09-26T12:00:00Z">
        <w:r>
          <w:rPr>
            <w:rStyle w:val="FootnoteReference"/>
          </w:rPr>
          <w:footnoteRef/>
        </w:r>
        <w:r>
          <w:t xml:space="preserve"> </w:t>
        </w:r>
        <w:r>
          <w:t xml:space="preserve">Robert L. Carter, </w:t>
        </w:r>
        <w:r>
          <w:rPr>
            <w:i/>
          </w:rPr>
          <w:t>The NAACP’s Legal Strategy Against Segregated Education</w:t>
        </w:r>
        <w:r>
          <w:t xml:space="preserve">, 86 </w:t>
        </w:r>
        <w:r>
          <w:rPr>
            <w:smallCaps/>
          </w:rPr>
          <w:t>Mich. L. Rev.</w:t>
        </w:r>
        <w:r>
          <w:t xml:space="preserve"> 1083, 1089 (1988) (book review).</w:t>
        </w:r>
      </w:ins>
    </w:p>
  </w:footnote>
  <w:footnote w:id="707">
    <w:p>
      <w:pPr>
        <w:pStyle w:val="FootnoteText"/>
        <w:spacing w:line="480" w:lineRule="auto"/>
        <w:rPr>
          <w:ins w:id="100011" w:author="Claude" w:date="2026-09-26T12:00:00Z"/>
        </w:rPr>
      </w:pPr>
      <w:ins w:id="100012" w:author="Claude" w:date="2026-09-26T12:00:00Z">
        <w:r>
          <w:rPr>
            <w:rStyle w:val="FootnoteReference"/>
          </w:rPr>
          <w:footnoteRef/>
        </w:r>
        <w:r>
          <w:t xml:space="preserve"> </w:t>
        </w:r>
        <w:r>
          <w:rPr>
            <w:smallCaps/>
          </w:rPr>
          <w:t>Cicero, De Oratore</w:t>
        </w:r>
        <w:r>
          <w:t xml:space="preserve"> II.102–03, at 275 (E.W. Sutton &amp; H. Rackham trans., Loeb Classical Library 1942); </w:t>
        </w:r>
        <w:r>
          <w:rPr>
            <w:i/>
          </w:rPr>
          <w:t>see also</w:t>
        </w:r>
        <w:r>
          <w:t xml:space="preserve"> </w:t>
        </w:r>
        <w:r>
          <w:rPr>
            <w:smallCaps/>
          </w:rPr>
          <w:t>Cicero, De Officiis</w:t>
        </w:r>
        <w:r>
          <w:t xml:space="preserve"> II.7–8, at 175 (Walter Miller trans., Loeb Classical Library 1913) (the Academic argues both sides because “we could not get a clear view of what is ‘probable,’ unless a comparative estimate were made of all the arguments on both sides”).</w:t>
        </w:r>
      </w:ins>
    </w:p>
  </w:footnote>
  <w:footnote w:id="708">
    <w:p>
      <w:pPr>
        <w:pStyle w:val="FootnoteText"/>
        <w:spacing w:line="480" w:lineRule="auto"/>
        <w:rPr>
          <w:ins w:id="100013" w:author="Claude" w:date="2026-09-26T12:00:00Z"/>
        </w:rPr>
      </w:pPr>
      <w:ins w:id="100014" w:author="Claude" w:date="2026-09-26T12:00:00Z">
        <w:r>
          <w:rPr>
            <w:rStyle w:val="FootnoteReference"/>
          </w:rPr>
          <w:footnoteRef/>
        </w:r>
        <w:r>
          <w:t xml:space="preserve"> </w:t>
        </w:r>
        <w:r>
          <w:t xml:space="preserve">Saul Cornell, </w:t>
        </w:r>
        <w:r>
          <w:rPr>
            <w:i/>
          </w:rPr>
          <w:t>Learning to Read Like an Eighteenth-Century Lawyer</w:t>
        </w:r>
        <w:r>
          <w:t xml:space="preserve">, 33 </w:t>
        </w:r>
        <w:r>
          <w:rPr>
            <w:smallCaps/>
          </w:rPr>
          <w:t>Wm. &amp; Mary Bill Rts. J.</w:t>
        </w:r>
        <w:r>
          <w:t xml:space="preserve"> 439, 456–57 (2024); </w:t>
        </w:r>
        <w:r>
          <w:rPr>
            <w:i/>
          </w:rPr>
          <w:t>see also</w:t>
        </w:r>
        <w:r>
          <w:t xml:space="preserve"> </w:t>
        </w:r>
        <w:r>
          <w:rPr>
            <w:smallCaps/>
          </w:rPr>
          <w:t>Jonathan Gienapp, The Second Creation: Fixing the American Constitution in the Founding Era</w:t>
        </w:r>
        <w:r>
          <w:t xml:space="preserve"> 115, 123 (2018).</w:t>
        </w:r>
      </w:ins>
    </w:p>
  </w:footnote>
  <w:footnote w:id="709">
    <w:p>
      <w:pPr>
        <w:pStyle w:val="FootnoteText"/>
        <w:spacing w:line="480" w:lineRule="auto"/>
        <w:rPr>
          <w:ins w:id="100015" w:author="Claude" w:date="2026-09-26T12:00:00Z"/>
        </w:rPr>
      </w:pPr>
      <w:ins w:id="100016" w:author="Claude" w:date="2026-09-26T12:00:00Z">
        <w:r>
          <w:rPr>
            <w:rStyle w:val="FootnoteReference"/>
          </w:rPr>
          <w:footnoteRef/>
        </w:r>
        <w:r>
          <w:t xml:space="preserve"> </w:t>
        </w:r>
        <w:r>
          <w:t xml:space="preserve">John Dewey, </w:t>
        </w:r>
        <w:r>
          <w:rPr>
            <w:i/>
          </w:rPr>
          <w:t>Logical Method and Law</w:t>
        </w:r>
        <w:r>
          <w:t xml:space="preserve">, 10 </w:t>
        </w:r>
        <w:r>
          <w:rPr>
            <w:smallCaps/>
          </w:rPr>
          <w:t>Cornell L.Q.</w:t>
        </w:r>
        <w:r>
          <w:t xml:space="preserve"> 17, 23 (1924).</w:t>
        </w:r>
      </w:ins>
    </w:p>
  </w:footnote>
  <w:footnote w:id="710">
    <w:p>
      <w:pPr>
        <w:pStyle w:val="FootnoteText"/>
        <w:spacing w:line="480" w:lineRule="auto"/>
        <w:rPr>
          <w:ins w:id="100017" w:author="Claude" w:date="2026-09-26T12:00:00Z"/>
        </w:rPr>
      </w:pPr>
      <w:ins w:id="100018" w:author="Claude" w:date="2026-09-26T12:00:00Z">
        <w:r>
          <w:rPr>
            <w:rStyle w:val="FootnoteReference"/>
          </w:rPr>
          <w:footnoteRef/>
        </w:r>
        <w:r>
          <w:t xml:space="preserve"> </w:t>
        </w:r>
        <w:r>
          <w:rPr>
            <w:smallCaps/>
          </w:rPr>
          <w:t>Mary Douglas, How Institutions Think</w:t>
        </w:r>
        <w:r>
          <w:t xml:space="preserve"> 111 (1986).</w:t>
        </w:r>
      </w:ins>
    </w:p>
  </w:footnote>
  <w:footnote w:id="711">
    <w:p>
      <w:pPr>
        <w:pStyle w:val="FootnoteText"/>
        <w:spacing w:line="480" w:lineRule="auto"/>
        <w:rPr>
          <w:ins w:id="100019" w:author="Claude" w:date="2026-09-26T12:00:00Z"/>
        </w:rPr>
      </w:pPr>
      <w:ins w:id="100020" w:author="Claude" w:date="2026-09-26T12:00:00Z">
        <w:r>
          <w:rPr>
            <w:rStyle w:val="FootnoteReference"/>
          </w:rPr>
          <w:footnoteRef/>
        </w:r>
        <w:r>
          <w:t xml:space="preserve"> </w:t>
        </w:r>
        <w:r>
          <w:rPr>
            <w:smallCaps/>
          </w:rPr>
          <w:t>Stanley Fish, Doing What Comes Naturally: Change, Rhetoric, and the Practice of Theory in Literary and Legal Studies</w:t>
        </w:r>
        <w:r>
          <w:t xml:space="preserve"> 517 (1989).</w:t>
        </w:r>
      </w:ins>
    </w:p>
  </w:footnote>
  <w:footnote w:id="712">
    <w:p>
      <w:pPr>
        <w:pStyle w:val="FootnoteText"/>
        <w:spacing w:line="480" w:lineRule="auto"/>
        <w:rPr>
          <w:ins w:id="100021" w:author="Claude" w:date="2026-09-26T12:00:00Z"/>
        </w:rPr>
      </w:pPr>
      <w:ins w:id="100022" w:author="Claude" w:date="2026-09-26T12:00:00Z">
        <w:r>
          <w:rPr>
            <w:rStyle w:val="FootnoteReference"/>
          </w:rPr>
          <w:footnoteRef/>
        </w:r>
        <w:r>
          <w:t xml:space="preserve"> </w:t>
        </w:r>
        <w:r>
          <w:t xml:space="preserve">Lon L. Fuller &amp; John D. Randall, </w:t>
        </w:r>
        <w:r>
          <w:rPr>
            <w:i/>
          </w:rPr>
          <w:t>Professional Responsibility: Report of the Joint Conference</w:t>
        </w:r>
        <w:r>
          <w:t xml:space="preserve">, 44 </w:t>
        </w:r>
        <w:r>
          <w:rPr>
            <w:smallCaps/>
          </w:rPr>
          <w:t>A.B.A. J.</w:t>
        </w:r>
        <w:r>
          <w:t xml:space="preserve"> 1159 (1958), </w:t>
        </w:r>
        <w:r>
          <w:rPr>
            <w:i/>
          </w:rPr>
          <w:t>reprinted in</w:t>
        </w:r>
        <w:r>
          <w:t xml:space="preserve"> Lon L. Fuller, </w:t>
        </w:r>
        <w:r>
          <w:rPr>
            <w:i/>
          </w:rPr>
          <w:t>The Forms and Limits of Adjudication</w:t>
        </w:r>
        <w:r>
          <w:t xml:space="preserve">, 92 </w:t>
        </w:r>
        <w:r>
          <w:rPr>
            <w:smallCaps/>
          </w:rPr>
          <w:t>Harv. L. Rev.</w:t>
        </w:r>
        <w:r>
          <w:t xml:space="preserve"> 353, 383 (1978).</w:t>
        </w:r>
      </w:ins>
    </w:p>
  </w:footnote>
  <w:footnote w:id="713">
    <w:p>
      <w:pPr>
        <w:pStyle w:val="FootnoteText"/>
        <w:spacing w:line="480" w:lineRule="auto"/>
        <w:rPr>
          <w:ins w:id="100023" w:author="Claude" w:date="2026-09-26T12:00:00Z"/>
        </w:rPr>
      </w:pPr>
      <w:ins w:id="100024" w:author="Claude" w:date="2026-09-26T12:00:00Z">
        <w:r>
          <w:rPr>
            <w:rStyle w:val="FootnoteReference"/>
          </w:rPr>
          <w:footnoteRef/>
        </w:r>
        <w:r>
          <w:t xml:space="preserve"> </w:t>
        </w:r>
        <w:r>
          <w:t xml:space="preserve">Fuller &amp; Randall, </w:t>
        </w:r>
        <w:r>
          <w:rPr>
            <w:i/>
          </w:rPr>
          <w:t>supra</w:t>
        </w:r>
        <w:r>
          <w:t xml:space="preserve">, </w:t>
        </w:r>
        <w:r>
          <w:rPr>
            <w:i/>
          </w:rPr>
          <w:t>reprinted in</w:t>
        </w:r>
        <w:r>
          <w:t xml:space="preserve"> Fuller, </w:t>
        </w:r>
        <w:r>
          <w:rPr>
            <w:i/>
          </w:rPr>
          <w:t>supra</w:t>
        </w:r>
        <w:r>
          <w:t>, at 384.</w:t>
        </w:r>
      </w:ins>
    </w:p>
  </w:footnote>
  <w:footnote w:id="714">
    <w:p>
      <w:pPr>
        <w:pStyle w:val="FootnoteText"/>
        <w:spacing w:line="480" w:lineRule="auto"/>
        <w:rPr>
          <w:ins w:id="100025" w:author="Claude" w:date="2026-09-26T12:00:00Z"/>
        </w:rPr>
      </w:pPr>
      <w:ins w:id="100026" w:author="Claude" w:date="2026-09-26T12:00:00Z">
        <w:r>
          <w:rPr>
            <w:rStyle w:val="FootnoteReference"/>
          </w:rPr>
          <w:footnoteRef/>
        </w:r>
        <w:r>
          <w:t xml:space="preserve"> </w:t>
        </w:r>
        <w:r>
          <w:rPr>
            <w:i/>
          </w:rPr>
          <w:t>See infra</w:t>
        </w:r>
        <w:r>
          <w:t xml:space="preserve"> Section III.</w:t>
        </w:r>
      </w:ins>
    </w:p>
  </w:footnote>
  <w:footnote w:id="715">
    <w:p>
      <w:pPr>
        <w:pStyle w:val="FootnoteText"/>
        <w:spacing w:line="480" w:lineRule="auto"/>
        <w:rPr>
          <w:ins w:id="100027" w:author="Claude" w:date="2026-09-26T12:00:00Z"/>
        </w:rPr>
      </w:pPr>
      <w:ins w:id="100028" w:author="Claude" w:date="2026-09-26T12:00:00Z">
        <w:r>
          <w:rPr>
            <w:rStyle w:val="FootnoteReference"/>
          </w:rPr>
          <w:footnoteRef/>
        </w:r>
        <w:r>
          <w:t xml:space="preserve"> </w:t>
        </w:r>
        <w:r>
          <w:t xml:space="preserve">Daniel Kahneman &amp; Dan Lovallo, </w:t>
        </w:r>
        <w:r>
          <w:rPr>
            <w:i/>
          </w:rPr>
          <w:t>Timid Choices and Bold Forecasts: A Cognitive Perspective on Risk Taking</w:t>
        </w:r>
        <w:r>
          <w:t xml:space="preserve">, 39 </w:t>
        </w:r>
        <w:r>
          <w:rPr>
            <w:smallCaps/>
          </w:rPr>
          <w:t>Mgmt. Sci.</w:t>
        </w:r>
        <w:r>
          <w:t xml:space="preserve"> 17, 26 (1993).</w:t>
        </w:r>
      </w:ins>
    </w:p>
  </w:footnote>
  <w:footnote w:id="716">
    <w:p>
      <w:pPr>
        <w:pStyle w:val="FootnoteText"/>
        <w:spacing w:line="480" w:lineRule="auto"/>
        <w:rPr>
          <w:ins w:id="100029" w:author="Claude" w:date="2026-09-26T12:00:00Z"/>
        </w:rPr>
      </w:pPr>
      <w:ins w:id="100030" w:author="Claude" w:date="2026-09-26T12:00:00Z">
        <w:r>
          <w:rPr>
            <w:rStyle w:val="FootnoteReference"/>
          </w:rPr>
          <w:footnoteRef/>
        </w:r>
        <w:r>
          <w:t xml:space="preserve"> </w:t>
        </w:r>
        <w:r>
          <w:rPr>
            <w:smallCaps/>
          </w:rPr>
          <w:t>Anthony T. Kronman, The Lost Lawyer: Failing Ideals of the Legal Profession</w:t>
        </w:r>
        <w:r>
          <w:t xml:space="preserve"> 149 (1993).</w:t>
        </w:r>
      </w:ins>
    </w:p>
  </w:footnote>
  <w:footnote w:id="717">
    <w:p>
      <w:pPr>
        <w:pStyle w:val="FootnoteText"/>
        <w:spacing w:line="480" w:lineRule="auto"/>
        <w:rPr>
          <w:ins w:id="100031" w:author="Claude" w:date="2026-09-26T12:00:00Z"/>
        </w:rPr>
      </w:pPr>
      <w:ins w:id="100032" w:author="Claude" w:date="2026-09-26T12:00:00Z">
        <w:r>
          <w:rPr>
            <w:rStyle w:val="FootnoteReference"/>
          </w:rPr>
          <w:footnoteRef/>
        </w:r>
        <w:r>
          <w:t xml:space="preserve"> </w:t>
        </w:r>
        <w:r>
          <w:t xml:space="preserve">Lazarus, </w:t>
        </w:r>
        <w:r>
          <w:rPr>
            <w:i/>
          </w:rPr>
          <w:t>supra</w:t>
        </w:r>
        <w:r>
          <w:t>, at 1496.</w:t>
        </w:r>
      </w:ins>
    </w:p>
  </w:footnote>
  <w:footnote w:id="718">
    <w:p>
      <w:pPr>
        <w:pStyle w:val="FootnoteText"/>
        <w:spacing w:line="480" w:lineRule="auto"/>
        <w:rPr>
          <w:ins w:id="100033" w:author="Claude" w:date="2026-09-26T12:00:00Z"/>
        </w:rPr>
      </w:pPr>
      <w:ins w:id="100034" w:author="Claude" w:date="2026-09-26T12:00:00Z">
        <w:r>
          <w:rPr>
            <w:rStyle w:val="FootnoteReference"/>
          </w:rPr>
          <w:footnoteRef/>
        </w:r>
        <w:r>
          <w:t xml:space="preserve"> </w:t>
        </w:r>
        <w:r>
          <w:t xml:space="preserve">Lazarus, </w:t>
        </w:r>
        <w:r>
          <w:rPr>
            <w:i/>
          </w:rPr>
          <w:t>supra</w:t>
        </w:r>
        <w:r>
          <w:t>, at 1518.</w:t>
        </w:r>
      </w:ins>
    </w:p>
  </w:footnote>
  <w:footnote w:id="719">
    <w:p>
      <w:pPr>
        <w:pStyle w:val="FootnoteText"/>
        <w:spacing w:line="480" w:lineRule="auto"/>
        <w:rPr>
          <w:ins w:id="100035" w:author="Claude" w:date="2026-09-26T12:00:00Z"/>
        </w:rPr>
      </w:pPr>
      <w:ins w:id="100036" w:author="Claude" w:date="2026-09-26T12:00:00Z">
        <w:r>
          <w:rPr>
            <w:rStyle w:val="FootnoteReference"/>
          </w:rPr>
          <w:footnoteRef/>
        </w:r>
        <w:r>
          <w:t xml:space="preserve"> </w:t>
        </w:r>
        <w:r>
          <w:t xml:space="preserve">Richard J. Lazarus, </w:t>
        </w:r>
        <w:r>
          <w:rPr>
            <w:i/>
          </w:rPr>
          <w:t>Advocacy Matters Before and Within the Supreme Court: Transforming the Court by Transforming the Bar</w:t>
        </w:r>
        <w:r>
          <w:t xml:space="preserve">, 96 </w:t>
        </w:r>
        <w:r>
          <w:rPr>
            <w:smallCaps/>
          </w:rPr>
          <w:t>Geo. L.J.</w:t>
        </w:r>
        <w:r>
          <w:t xml:space="preserve"> 1487, 1540–41 (2008).</w:t>
        </w:r>
      </w:ins>
    </w:p>
  </w:footnote>
  <w:footnote w:id="720">
    <w:p>
      <w:pPr>
        <w:pStyle w:val="FootnoteText"/>
        <w:spacing w:line="480" w:lineRule="auto"/>
        <w:rPr>
          <w:ins w:id="100037" w:author="Claude" w:date="2026-09-26T12:00:00Z"/>
        </w:rPr>
      </w:pPr>
      <w:ins w:id="100038" w:author="Claude" w:date="2026-09-26T12:00:00Z">
        <w:r>
          <w:rPr>
            <w:rStyle w:val="FootnoteReference"/>
          </w:rPr>
          <w:footnoteRef/>
        </w:r>
        <w:r>
          <w:t xml:space="preserve"> </w:t>
        </w:r>
        <w:r>
          <w:t>Nathan R. Margold, Preliminary Report to the Joint Committee Supervising the Expenditure of the 1930 Appropriation by the American Fund for Public Service 2 (1931) (unpublished report) (on file with author).</w:t>
        </w:r>
      </w:ins>
    </w:p>
  </w:footnote>
  <w:footnote w:id="721">
    <w:p>
      <w:pPr>
        <w:pStyle w:val="FootnoteText"/>
        <w:spacing w:line="480" w:lineRule="auto"/>
        <w:rPr>
          <w:ins w:id="100039" w:author="Claude" w:date="2026-09-26T12:00:00Z"/>
        </w:rPr>
      </w:pPr>
      <w:ins w:id="100040" w:author="Claude" w:date="2026-09-26T12:00:00Z">
        <w:r>
          <w:rPr>
            <w:rStyle w:val="FootnoteReference"/>
          </w:rPr>
          <w:footnoteRef/>
        </w:r>
        <w:r>
          <w:t xml:space="preserve"> </w:t>
        </w:r>
        <w:r>
          <w:rPr>
            <w:smallCaps/>
          </w:rPr>
          <w:t>McGuire</w:t>
        </w:r>
        <w:r>
          <w:t xml:space="preserve">, </w:t>
        </w:r>
        <w:r>
          <w:rPr>
            <w:i/>
          </w:rPr>
          <w:t>supra</w:t>
        </w:r>
        <w:r>
          <w:t>, at 110.</w:t>
        </w:r>
      </w:ins>
    </w:p>
  </w:footnote>
  <w:footnote w:id="722">
    <w:p>
      <w:pPr>
        <w:pStyle w:val="FootnoteText"/>
        <w:spacing w:line="480" w:lineRule="auto"/>
        <w:rPr>
          <w:ins w:id="100041" w:author="Claude" w:date="2026-09-26T12:00:00Z"/>
        </w:rPr>
      </w:pPr>
      <w:ins w:id="100042" w:author="Claude" w:date="2026-09-26T12:00:00Z">
        <w:r>
          <w:rPr>
            <w:rStyle w:val="FootnoteReference"/>
          </w:rPr>
          <w:footnoteRef/>
        </w:r>
        <w:r>
          <w:t xml:space="preserve"> </w:t>
        </w:r>
        <w:r>
          <w:rPr>
            <w:smallCaps/>
          </w:rPr>
          <w:t>McGuire</w:t>
        </w:r>
        <w:r>
          <w:t xml:space="preserve">, </w:t>
        </w:r>
        <w:r>
          <w:rPr>
            <w:i/>
          </w:rPr>
          <w:t>supra</w:t>
        </w:r>
        <w:r>
          <w:t xml:space="preserve">, at 112 (quoting </w:t>
        </w:r>
        <w:r>
          <w:rPr>
            <w:smallCaps/>
          </w:rPr>
          <w:t>Stephen L. Wasby, The Supreme Court in the Federal Judicial System</w:t>
        </w:r>
        <w:r>
          <w:t xml:space="preserve"> 147 (1988)).</w:t>
        </w:r>
      </w:ins>
    </w:p>
  </w:footnote>
  <w:footnote w:id="723">
    <w:p>
      <w:pPr>
        <w:pStyle w:val="FootnoteText"/>
        <w:spacing w:line="480" w:lineRule="auto"/>
        <w:rPr>
          <w:ins w:id="100043" w:author="Claude" w:date="2026-09-26T12:00:00Z"/>
        </w:rPr>
      </w:pPr>
      <w:ins w:id="100044" w:author="Claude" w:date="2026-09-26T12:00:00Z">
        <w:r>
          <w:rPr>
            <w:rStyle w:val="FootnoteReference"/>
          </w:rPr>
          <w:footnoteRef/>
        </w:r>
        <w:r>
          <w:t xml:space="preserve"> </w:t>
        </w:r>
        <w:r>
          <w:rPr>
            <w:smallCaps/>
          </w:rPr>
          <w:t>McGuire</w:t>
        </w:r>
        <w:r>
          <w:t xml:space="preserve">, </w:t>
        </w:r>
        <w:r>
          <w:rPr>
            <w:i/>
          </w:rPr>
          <w:t>supra</w:t>
        </w:r>
        <w:r>
          <w:t xml:space="preserve">, at 158 (quoting Tony Mauro, </w:t>
        </w:r>
        <w:r>
          <w:rPr>
            <w:i/>
          </w:rPr>
          <w:t>Damaging the Anti-Punitive Crusade</w:t>
        </w:r>
        <w:r>
          <w:t xml:space="preserve">, </w:t>
        </w:r>
        <w:r>
          <w:rPr>
            <w:smallCaps/>
          </w:rPr>
          <w:t>Legal Times of Wash.</w:t>
        </w:r>
        <w:r>
          <w:t>, Oct. 8, 1990, at 10).</w:t>
        </w:r>
      </w:ins>
    </w:p>
  </w:footnote>
  <w:footnote w:id="724">
    <w:p>
      <w:pPr>
        <w:pStyle w:val="FootnoteText"/>
        <w:spacing w:line="480" w:lineRule="auto"/>
        <w:rPr>
          <w:ins w:id="100045" w:author="Claude" w:date="2026-09-26T12:00:00Z"/>
        </w:rPr>
      </w:pPr>
      <w:ins w:id="100046" w:author="Claude" w:date="2026-09-26T12:00:00Z">
        <w:r>
          <w:rPr>
            <w:rStyle w:val="FootnoteReference"/>
          </w:rPr>
          <w:footnoteRef/>
        </w:r>
        <w:r>
          <w:t xml:space="preserve"> </w:t>
        </w:r>
        <w:r>
          <w:rPr>
            <w:smallCaps/>
          </w:rPr>
          <w:t>Kevin T. McGuire, The Supreme Court Bar: Legal Elites in the Washington Community</w:t>
        </w:r>
        <w:r>
          <w:t xml:space="preserve"> 177 (1993).</w:t>
        </w:r>
      </w:ins>
    </w:p>
  </w:footnote>
  <w:footnote w:id="725">
    <w:p>
      <w:pPr>
        <w:pStyle w:val="FootnoteText"/>
        <w:spacing w:line="480" w:lineRule="auto"/>
        <w:rPr>
          <w:ins w:id="100047" w:author="Claude" w:date="2026-09-26T12:00:00Z"/>
        </w:rPr>
      </w:pPr>
      <w:ins w:id="100048" w:author="Claude" w:date="2026-09-26T12:00:00Z">
        <w:r>
          <w:rPr>
            <w:rStyle w:val="FootnoteReference"/>
          </w:rPr>
          <w:footnoteRef/>
        </w:r>
        <w:r>
          <w:t xml:space="preserve"> </w:t>
        </w:r>
        <w:r>
          <w:rPr>
            <w:i/>
          </w:rPr>
          <w:t>Id.</w:t>
        </w:r>
      </w:ins>
    </w:p>
  </w:footnote>
  <w:footnote w:id="726">
    <w:p>
      <w:pPr>
        <w:pStyle w:val="FootnoteText"/>
        <w:spacing w:line="480" w:lineRule="auto"/>
        <w:rPr>
          <w:ins w:id="100049" w:author="Claude" w:date="2026-09-26T12:00:00Z"/>
        </w:rPr>
      </w:pPr>
      <w:ins w:id="100050" w:author="Claude" w:date="2026-09-26T12:00:00Z">
        <w:r>
          <w:rPr>
            <w:rStyle w:val="FootnoteReference"/>
          </w:rPr>
          <w:footnoteRef/>
        </w:r>
        <w:r>
          <w:t xml:space="preserve"> </w:t>
        </w:r>
        <w:r>
          <w:t xml:space="preserve">Hugo Mercier &amp; Dan Sperber, </w:t>
        </w:r>
        <w:r>
          <w:rPr>
            <w:i/>
          </w:rPr>
          <w:t>Why Do Humans Reason? Arguments for an Argumentative Theory</w:t>
        </w:r>
        <w:r>
          <w:t xml:space="preserve">, 34 </w:t>
        </w:r>
        <w:r>
          <w:rPr>
            <w:smallCaps/>
          </w:rPr>
          <w:t>Behav. &amp; Brain Sci.</w:t>
        </w:r>
        <w:r>
          <w:t xml:space="preserve"> 57, 66 (2011).</w:t>
        </w:r>
      </w:ins>
    </w:p>
  </w:footnote>
  <w:footnote w:id="727">
    <w:p>
      <w:pPr>
        <w:pStyle w:val="FootnoteText"/>
        <w:spacing w:line="480" w:lineRule="auto"/>
        <w:rPr>
          <w:ins w:id="100051" w:author="Claude" w:date="2026-09-26T12:00:00Z"/>
        </w:rPr>
      </w:pPr>
      <w:ins w:id="100052" w:author="Claude" w:date="2026-09-26T12:00:00Z">
        <w:r>
          <w:rPr>
            <w:rStyle w:val="FootnoteReference"/>
          </w:rPr>
          <w:footnoteRef/>
        </w:r>
        <w:r>
          <w:t xml:space="preserve"> </w:t>
        </w:r>
        <w:r>
          <w:rPr>
            <w:smallCaps/>
          </w:rPr>
          <w:t>John Stuart Mill, On Liberty</w:t>
        </w:r>
        <w:r>
          <w:t xml:space="preserve"> ch. II (1859) [AUTHOR: add print page].</w:t>
        </w:r>
      </w:ins>
    </w:p>
  </w:footnote>
  <w:footnote w:id="728">
    <w:p>
      <w:pPr>
        <w:pStyle w:val="FootnoteText"/>
        <w:spacing w:line="480" w:lineRule="auto"/>
        <w:rPr>
          <w:ins w:id="100053" w:author="Claude" w:date="2026-09-26T12:00:00Z"/>
        </w:rPr>
      </w:pPr>
      <w:ins w:id="100054" w:author="Claude" w:date="2026-09-26T12:00:00Z">
        <w:r>
          <w:rPr>
            <w:rStyle w:val="FootnoteReference"/>
          </w:rPr>
          <w:footnoteRef/>
        </w:r>
        <w:r>
          <w:t xml:space="preserve"> </w:t>
        </w:r>
        <w:r>
          <w:t>Interview with Carter G. Phillips, Partner, Sidley Austin LLP ([date]) (notes on file with author).</w:t>
        </w:r>
      </w:ins>
    </w:p>
  </w:footnote>
  <w:footnote w:id="729">
    <w:p>
      <w:pPr>
        <w:pStyle w:val="FootnoteText"/>
        <w:spacing w:line="480" w:lineRule="auto"/>
        <w:rPr>
          <w:ins w:id="100055" w:author="Claude" w:date="2026-09-26T12:00:00Z"/>
        </w:rPr>
      </w:pPr>
      <w:ins w:id="100056" w:author="Claude" w:date="2026-09-26T12:00:00Z">
        <w:r>
          <w:rPr>
            <w:rStyle w:val="FootnoteReference"/>
          </w:rPr>
          <w:footnoteRef/>
        </w:r>
        <w:r>
          <w:t xml:space="preserve"> </w:t>
        </w:r>
        <w:r>
          <w:t xml:space="preserve">Interview with Carter G. Phillips, </w:t>
        </w:r>
        <w:r>
          <w:rPr>
            <w:i/>
          </w:rPr>
          <w:t>supra</w:t>
        </w:r>
        <w:r>
          <w:t>.</w:t>
        </w:r>
      </w:ins>
    </w:p>
  </w:footnote>
  <w:footnote w:id="730">
    <w:p>
      <w:pPr>
        <w:pStyle w:val="FootnoteText"/>
        <w:spacing w:line="480" w:lineRule="auto"/>
        <w:rPr>
          <w:ins w:id="100057" w:author="Claude" w:date="2026-09-26T12:00:00Z"/>
        </w:rPr>
      </w:pPr>
      <w:ins w:id="100058" w:author="Claude" w:date="2026-09-26T12:00:00Z">
        <w:r>
          <w:rPr>
            <w:rStyle w:val="FootnoteReference"/>
          </w:rPr>
          <w:footnoteRef/>
        </w:r>
        <w:r>
          <w:t xml:space="preserve"> </w:t>
        </w:r>
        <w:r>
          <w:t xml:space="preserve">Interview with Carter G. Phillips, </w:t>
        </w:r>
        <w:r>
          <w:rPr>
            <w:i/>
          </w:rPr>
          <w:t>supra</w:t>
        </w:r>
        <w:r>
          <w:t>.</w:t>
        </w:r>
      </w:ins>
    </w:p>
  </w:footnote>
  <w:footnote w:id="731">
    <w:p>
      <w:pPr>
        <w:pStyle w:val="FootnoteText"/>
        <w:spacing w:line="480" w:lineRule="auto"/>
        <w:rPr>
          <w:ins w:id="100059" w:author="Claude" w:date="2026-09-26T12:00:00Z"/>
        </w:rPr>
      </w:pPr>
      <w:ins w:id="100060" w:author="Claude" w:date="2026-09-26T12:00:00Z">
        <w:r>
          <w:rPr>
            <w:rStyle w:val="FootnoteReference"/>
          </w:rPr>
          <w:footnoteRef/>
        </w:r>
        <w:r>
          <w:t xml:space="preserve"> </w:t>
        </w:r>
        <w:r>
          <w:rPr>
            <w:smallCaps/>
          </w:rPr>
          <w:t>Mishnah, Sanhedrin</w:t>
        </w:r>
        <w:r>
          <w:t xml:space="preserve"> 4:1–2, 5:4–5; </w:t>
        </w:r>
        <w:r>
          <w:rPr>
            <w:smallCaps/>
          </w:rPr>
          <w:t>Maimonides, Mishneh Torah, Hilkhot Sanhedrin</w:t>
        </w:r>
        <w:r>
          <w:t xml:space="preserve"> 9:1, 10:1, 11:6, 22:2–3; </w:t>
        </w:r>
        <w:r>
          <w:rPr>
            <w:smallCaps/>
          </w:rPr>
          <w:t>Babylonian Talmud, Sanhedrin</w:t>
        </w:r>
        <w:r>
          <w:t xml:space="preserve"> 17a. [AUTHOR: confirm the Rambam pincites against the Touger edition.]</w:t>
        </w:r>
      </w:ins>
    </w:p>
  </w:footnote>
  <w:footnote w:id="732">
    <w:p>
      <w:pPr>
        <w:pStyle w:val="FootnoteText"/>
        <w:spacing w:line="480" w:lineRule="auto"/>
        <w:rPr>
          <w:ins w:id="100061" w:author="Claude" w:date="2026-09-26T12:00:00Z"/>
        </w:rPr>
      </w:pPr>
      <w:ins w:id="100062" w:author="Claude" w:date="2026-09-26T12:00:00Z">
        <w:r>
          <w:rPr>
            <w:rStyle w:val="FootnoteReference"/>
          </w:rPr>
          <w:footnoteRef/>
        </w:r>
        <w:r>
          <w:t xml:space="preserve"> </w:t>
        </w:r>
        <w:r>
          <w:t xml:space="preserve">Report of Denton, Bacon &amp; Cary (1540), </w:t>
        </w:r>
        <w:r>
          <w:rPr>
            <w:i/>
          </w:rPr>
          <w:t>quoted in</w:t>
        </w:r>
        <w:r>
          <w:t xml:space="preserve"> 2 </w:t>
        </w:r>
        <w:r>
          <w:rPr>
            <w:smallCaps/>
          </w:rPr>
          <w:t>Readings and Moots at the Inns of Court in the Fifteenth Century</w:t>
        </w:r>
        <w:r>
          <w:t xml:space="preserve">, </w:t>
        </w:r>
        <w:r>
          <w:rPr>
            <w:i/>
          </w:rPr>
          <w:t>supra</w:t>
        </w:r>
        <w:r>
          <w:t xml:space="preserve">, at lxi; </w:t>
        </w:r>
        <w:r>
          <w:rPr>
            <w:i/>
          </w:rPr>
          <w:t>see also</w:t>
        </w:r>
        <w:r>
          <w:t xml:space="preserve"> 1 </w:t>
        </w:r>
        <w:r>
          <w:rPr>
            <w:smallCaps/>
          </w:rPr>
          <w:t>Readings and Moots at the Inns of Court in the Fifteenth Century</w:t>
        </w:r>
        <w:r>
          <w:t>, at xxx n.1 (Samuel E. Thorne ed., Selden Soc’y vol. 71, 1954) (“one of the younger Utter-Barresters . . . doth by way of argument labour to prove the Readers opinion to be against the Law”).</w:t>
        </w:r>
      </w:ins>
    </w:p>
  </w:footnote>
  <w:footnote w:id="733">
    <w:p>
      <w:pPr>
        <w:pStyle w:val="FootnoteText"/>
        <w:spacing w:line="480" w:lineRule="auto"/>
        <w:rPr>
          <w:ins w:id="100063" w:author="Claude" w:date="2026-09-26T12:00:00Z"/>
        </w:rPr>
      </w:pPr>
      <w:ins w:id="100064" w:author="Claude" w:date="2026-09-26T12:00:00Z">
        <w:r>
          <w:rPr>
            <w:rStyle w:val="FootnoteReference"/>
          </w:rPr>
          <w:footnoteRef/>
        </w:r>
        <w:r>
          <w:t xml:space="preserve"> </w:t>
        </w:r>
        <w:r>
          <w:t xml:space="preserve">Middle Temple Description (c. 1539), </w:t>
        </w:r>
        <w:r>
          <w:rPr>
            <w:i/>
          </w:rPr>
          <w:t>quoted in</w:t>
        </w:r>
        <w:r>
          <w:t xml:space="preserve"> 2 </w:t>
        </w:r>
        <w:r>
          <w:rPr>
            <w:smallCaps/>
          </w:rPr>
          <w:t>Readings and Moots at the Inns of Court in the Fifteenth Century</w:t>
        </w:r>
        <w:r>
          <w:t>, at lxx (Samuel E. Thorne &amp; J.H. Baker eds., Selden Soc’y vol. 105, 1990).</w:t>
        </w:r>
      </w:ins>
    </w:p>
  </w:footnote>
  <w:footnote w:id="734">
    <w:p>
      <w:pPr>
        <w:pStyle w:val="FootnoteText"/>
        <w:spacing w:line="480" w:lineRule="auto"/>
        <w:rPr>
          <w:ins w:id="100065" w:author="Claude" w:date="2026-09-26T12:00:00Z"/>
        </w:rPr>
      </w:pPr>
      <w:ins w:id="100066" w:author="Claude" w:date="2026-09-26T12:00:00Z">
        <w:r>
          <w:rPr>
            <w:rStyle w:val="FootnoteReference"/>
          </w:rPr>
          <w:footnoteRef/>
        </w:r>
        <w:r>
          <w:t xml:space="preserve"> </w:t>
        </w:r>
        <w:r>
          <w:t xml:space="preserve">1 </w:t>
        </w:r>
        <w:r>
          <w:rPr>
            <w:smallCaps/>
          </w:rPr>
          <w:t>Joseph Story, Commentaries on the Constitution of the United States</w:t>
        </w:r>
        <w:r>
          <w:t xml:space="preserve"> § 398 (1833).</w:t>
        </w:r>
      </w:ins>
    </w:p>
  </w:footnote>
  <w:footnote w:id="735">
    <w:p>
      <w:pPr>
        <w:pStyle w:val="FootnoteText"/>
        <w:spacing w:line="480" w:lineRule="auto"/>
        <w:rPr>
          <w:ins w:id="100067" w:author="Claude" w:date="2026-09-26T12:00:00Z"/>
        </w:rPr>
      </w:pPr>
      <w:ins w:id="100068" w:author="Claude" w:date="2026-09-26T12:00:00Z">
        <w:r>
          <w:rPr>
            <w:rStyle w:val="FootnoteReference"/>
          </w:rPr>
          <w:footnoteRef/>
        </w:r>
        <w:r>
          <w:t xml:space="preserve"> </w:t>
        </w:r>
        <w:r>
          <w:rPr>
            <w:smallCaps/>
          </w:rPr>
          <w:t>Fred Strebeigh, Equal: Women Reshape American Law</w:t>
        </w:r>
        <w:r>
          <w:t xml:space="preserve"> 62 (2009).</w:t>
        </w:r>
      </w:ins>
    </w:p>
  </w:footnote>
  <w:footnote w:id="736">
    <w:p>
      <w:pPr>
        <w:pStyle w:val="FootnoteText"/>
        <w:spacing w:line="480" w:lineRule="auto"/>
        <w:rPr>
          <w:ins w:id="100069" w:author="Claude" w:date="2026-09-26T12:00:00Z"/>
        </w:rPr>
      </w:pPr>
      <w:ins w:id="100070" w:author="Claude" w:date="2026-09-26T12:00:00Z">
        <w:r>
          <w:rPr>
            <w:rStyle w:val="FootnoteReference"/>
          </w:rPr>
          <w:footnoteRef/>
        </w:r>
        <w:r>
          <w:t xml:space="preserve"> </w:t>
        </w:r>
        <w:r>
          <w:t xml:space="preserve">Philip E. Tetlock, </w:t>
        </w:r>
        <w:r>
          <w:rPr>
            <w:i/>
          </w:rPr>
          <w:t>Accountability and the Perseverance of First Impressions</w:t>
        </w:r>
        <w:r>
          <w:t xml:space="preserve">, 46 </w:t>
        </w:r>
        <w:r>
          <w:rPr>
            <w:smallCaps/>
          </w:rPr>
          <w:t>Soc. Psychol. Q.</w:t>
        </w:r>
        <w:r>
          <w:t xml:space="preserve"> 285, 291 (1983); </w:t>
        </w:r>
        <w:r>
          <w:rPr>
            <w:i/>
          </w:rPr>
          <w:t>see also</w:t>
        </w:r>
        <w:r>
          <w:t xml:space="preserve"> Jennifer S. Lerner &amp; Philip E. Tetlock, </w:t>
        </w:r>
        <w:r>
          <w:rPr>
            <w:i/>
          </w:rPr>
          <w:t>Accounting for the Effects of Accountability</w:t>
        </w:r>
        <w:r>
          <w:t xml:space="preserve">, 125 </w:t>
        </w:r>
        <w:r>
          <w:rPr>
            <w:smallCaps/>
          </w:rPr>
          <w:t>Psychol. Bull.</w:t>
        </w:r>
        <w:r>
          <w:t xml:space="preserve"> 255, 257, 259 (1999) (accountability produces self-criticism before a decision and defensive bolstering after it).</w:t>
        </w:r>
      </w:ins>
    </w:p>
  </w:footnote>
  <w:footnote w:id="737">
    <w:p>
      <w:pPr>
        <w:pStyle w:val="FootnoteText"/>
        <w:spacing w:line="480" w:lineRule="auto"/>
        <w:rPr>
          <w:ins w:id="100071" w:author="Claude" w:date="2026-09-26T12:00:00Z"/>
        </w:rPr>
      </w:pPr>
      <w:ins w:id="100072" w:author="Claude" w:date="2026-09-26T12:00:00Z">
        <w:r>
          <w:rPr>
            <w:rStyle w:val="FootnoteReference"/>
          </w:rPr>
          <w:footnoteRef/>
        </w:r>
        <w:r>
          <w:t xml:space="preserve"> </w:t>
        </w:r>
        <w:r>
          <w:rPr>
            <w:smallCaps/>
          </w:rPr>
          <w:t>Tushnet, The NAACP’s Legal Strategy</w:t>
        </w:r>
        <w:r>
          <w:t xml:space="preserve">, </w:t>
        </w:r>
        <w:r>
          <w:rPr>
            <w:i/>
          </w:rPr>
          <w:t>supra</w:t>
        </w:r>
        <w:r>
          <w:t>, at 105.</w:t>
        </w:r>
      </w:ins>
    </w:p>
  </w:footnote>
  <w:footnote w:id="738">
    <w:p>
      <w:pPr>
        <w:pStyle w:val="FootnoteText"/>
        <w:spacing w:line="480" w:lineRule="auto"/>
        <w:rPr>
          <w:ins w:id="100073" w:author="Claude" w:date="2026-09-26T12:00:00Z"/>
        </w:rPr>
      </w:pPr>
      <w:ins w:id="100074" w:author="Claude" w:date="2026-09-26T12:00:00Z">
        <w:r>
          <w:rPr>
            <w:rStyle w:val="FootnoteReference"/>
          </w:rPr>
          <w:footnoteRef/>
        </w:r>
        <w:r>
          <w:t xml:space="preserve"> </w:t>
        </w:r>
        <w:r>
          <w:rPr>
            <w:smallCaps/>
          </w:rPr>
          <w:t>Tushnet, The NAACP’s Legal Strategy</w:t>
        </w:r>
        <w:r>
          <w:t xml:space="preserve">, </w:t>
        </w:r>
        <w:r>
          <w:rPr>
            <w:i/>
          </w:rPr>
          <w:t>supra</w:t>
        </w:r>
        <w:r>
          <w:t>, at 53.</w:t>
        </w:r>
      </w:ins>
    </w:p>
  </w:footnote>
  <w:footnote w:id="739">
    <w:p>
      <w:pPr>
        <w:pStyle w:val="FootnoteText"/>
        <w:spacing w:line="480" w:lineRule="auto"/>
        <w:rPr>
          <w:ins w:id="100075" w:author="Claude" w:date="2026-09-26T12:00:00Z"/>
        </w:rPr>
      </w:pPr>
      <w:ins w:id="100076" w:author="Claude" w:date="2026-09-26T12:00:00Z">
        <w:r>
          <w:rPr>
            <w:rStyle w:val="FootnoteReference"/>
          </w:rPr>
          <w:footnoteRef/>
        </w:r>
        <w:r>
          <w:t xml:space="preserve"> </w:t>
        </w:r>
        <w:r>
          <w:rPr>
            <w:smallCaps/>
          </w:rPr>
          <w:t>Mark V. Tushnet, The NAACP’s Legal Strategy Against Segregated Education, 1925–1950</w:t>
        </w:r>
        <w:r>
          <w:t>, at 68–69 (1987).</w:t>
        </w:r>
      </w:ins>
    </w:p>
  </w:footnote>
  <w:footnote w:id="740">
    <w:p>
      <w:pPr>
        <w:pStyle w:val="FootnoteText"/>
        <w:spacing w:line="480" w:lineRule="auto"/>
        <w:rPr>
          <w:ins w:id="100077" w:author="Claude" w:date="2026-09-26T12:00:00Z"/>
        </w:rPr>
      </w:pPr>
      <w:ins w:id="100078" w:author="Claude" w:date="2026-09-26T12:00:00Z">
        <w:r>
          <w:rPr>
            <w:rStyle w:val="FootnoteReference"/>
          </w:rPr>
          <w:footnoteRef/>
        </w:r>
        <w:r>
          <w:t xml:space="preserve"> </w:t>
        </w:r>
        <w:r>
          <w:rPr>
            <w:smallCaps/>
          </w:rPr>
          <w:t>Tushnet, The NAACP’s Legal Strategy</w:t>
        </w:r>
        <w:r>
          <w:t xml:space="preserve">, </w:t>
        </w:r>
        <w:r>
          <w:rPr>
            <w:i/>
          </w:rPr>
          <w:t>supra</w:t>
        </w:r>
        <w:r>
          <w:t>, at 71 (quoting Charles Hamilton Houston’s 1935 letters to Sidney Redmond).</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