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Features of QCMS</w:t>
      </w:r>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Lawyers File Disputes Without Testing Them Due to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How the Convention Prevented Groupthink and Scrutinized Their Claim (We Need a New Constitution) Prior to Filing (Presenting to the Public for Ratification)</w:t>
      </w:r>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r>
        <w:rPr>
          <w:smallCaps/>
        </w:rPr>
        <w:t>These Historical Practices were not Early Iterations of Modern ADR</w:t>
      </w:r>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r>
        <w:rPr>
          <w:color w:val="000000" w:themeColor="text1"/>
        </w:rPr>
        <w:t xml:space="preserve">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w:t>
        <w:lastRenderedPageBreak/>
        <w:t xml:space="preserve">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w:t>
        <w:lastRenderedPageBreak/>
        <w:t>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t>
      </w:r>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33F04A0B" w14:textId="5C35D743" w:rsidR="001B76BD" w:rsidRDefault="00000000" w:rsidP="00C14BC5">
      <w:pPr>
        <w:pStyle w:val="BodyTextFirstIndent"/>
        <w:spacing w:line="480" w:lineRule="auto"/>
        <w:jc w:val="both"/>
        <w:rPr>
          <w:ins w:id="200530" w:author="Claude" w:date="2026-09-27T12:00:00Z"/>
        </w:rPr>
      </w:pPr>
      <w:ins w:id="200529" w:author="Claude" w:date="2026-09-27T12:00:00Z">
        <w:r>
          <w:t xml:space="preserve">Every argument is born in a room. Long before an advocate rises to say “May it please the Court,” a handful of lawyers around a table decide which claim to press, which theory to stake it on, which facts to trust. Rooms come in two kinds. The first is insular, filled with colleagues who share the cause, admire the theory, and regard the other side as not merely wrong but benighted. How pleasant it must be to prepare a case in such a room, hearing one’s own convictions echoed back, a little louder, from every seat at the table! This is known as groupthink. But an argument that no friend has doubted will be doubted for the first time from the bench, at the client’s expense. The second kind of room is adversarial by design. There, the advocate’s own colleagues play judge and opponent, asking every question the other side will ask while there is still time to repair whatever they break. The insular room produces hubris. The adversarial room produces winning arguments.</w:t>
        </w:r>
      </w:ins>
    </w:p>
    <w:p w14:paraId="24556270" w14:textId="4224A733" w:rsidR="001B76BD" w:rsidRDefault="00000000">
      <w:pPr>
        <w:pStyle w:val="BodyTextFirstIndent"/>
        <w:spacing w:line="480" w:lineRule="auto"/>
        <w:jc w:val="both"/>
        <w:rPr>
          <w:ins w:id="200544" w:author="Claude" w:date="2026-09-27T12:00:00Z"/>
        </w:rPr>
      </w:pPr>
      <w:ins w:id="200534" w:author="Claude" w:date="2026-09-27T12:00:00Z">
        <w:r>
          <w:t xml:space="preserve">This introductory section visits one room of each kind. During their two-decade campaign against school segregation, the NAACP’s lawyers rehearsed their Supreme Court arguments before a packed hall at Howard University, with professors </w:t>
        </w:r>
      </w:ins>
      <w:ins w:id="200535" w:author="Claude" w:date="2026-09-27T12:00:00Z">
        <w:r>
          <w:t xml:space="preserve">sitting as </w:t>
        </w:r>
      </w:ins>
      <w:ins w:id="200536" w:author="Claude" w:date="2026-09-27T12:00:00Z">
        <w:r>
          <w:t xml:space="preserve">the </w:t>
        </w:r>
      </w:ins>
      <w:ins w:id="200537" w:author="Claude" w:date="2026-09-27T12:00:00Z">
        <w:r>
          <w:t xml:space="preserve">Justices, and sent their new legal theories through a committee of cognitively diverse lawyers who spoke several interpretive languages and attacked them before any court could. Seven decades later, the ACLU careened into court in </w:t>
        </w:r>
      </w:ins>
      <w:ins w:id="200538" w:author="Claude" w:date="2026-09-27T12:00:00Z">
        <w:r>
          <w:rPr>
            <w:i/>
            <w:iCs/>
          </w:rPr>
          <w:t xml:space="preserve">United States v. Skrmetti,</w:t>
        </w:r>
      </w:ins>
      <w:ins w:id="200539" w:author="Claude" w:date="2026-09-27T12:00:00Z">
        <w:r>
          <w:t xml:space="preserve"> never testing its claim outside its own ideological echo chamber. Both teams believed in the justice of their clients’ cause. One won </w:t>
        </w:r>
      </w:ins>
      <w:ins w:id="200540" w:author="Claude" w:date="2026-09-27T12:00:00Z">
        <w:r>
          <w:rPr>
            <w:i/>
            <w:iCs/>
          </w:rPr>
          <w:t xml:space="preserve">Brown v. Board of Education</w:t>
        </w:r>
      </w:ins>
      <w:ins w:id="200541" w:author="Claude" w:date="2026-09-27T12:00:00Z">
        <w:r>
          <w:t xml:space="preserve">, 9–0. The other lost, 6–3.</w:t>
        </w:r>
      </w:ins>
      <w:ins w:id="200542" w:author="Claude" w:date="2026-09-27T12:00:00Z">
        <w:r>
          <w:rPr>
            <w:rStyle w:val="FootnoteReference"/>
            <w:color w:val="000000" w:themeColor="text1"/>
          </w:rPr>
          <w:footnoteReference w:id="725"/>
        </w:r>
      </w:ins>
      <w:ins w:id="200543" w:author="Claude" w:date="2026-09-27T12:00:00Z">
        <w:r>
          <w:t xml:space="preserve"> I begin with the loss.</w:t>
        </w:r>
      </w:ins>
    </w:p>
    <w:p>
      <w:pPr>
        <w:pStyle w:val="ListParagraph"/>
        <w:numPr>
          <w:ilvl w:val="0"/>
          <w:numId w:val="8"/>
        </w:numPr>
        <w:spacing w:line="480" w:lineRule="auto"/>
        <w:jc w:val="both"/>
        <w:rPr>
          <w:ins w:id="200546" w:author="Claude" w:date="2026-09-27T12:00:00Z"/>
          <w:i/>
          <w:iCs/>
          <w:color w:val="000000" w:themeColor="text1"/>
        </w:rPr>
      </w:pPr>
      <w:ins w:id="200545" w:author="Claude" w:date="2026-09-27T12:00:00Z">
        <w:r>
          <w:rPr>
            <w:i/>
            <w:color w:val="000000" w:themeColor="text1"/>
          </w:rPr>
          <w:t>The Litigation and Its Predictable Defeat</w:t>
        </w:r>
      </w:ins>
    </w:p>
    <w:p w14:paraId="1D7B58AD" w14:textId="75B77BB2" w:rsidR="00744906" w:rsidRPr="00A9375B" w:rsidRDefault="00C97DF2" w:rsidP="00A23742">
      <w:pPr>
        <w:pStyle w:val="BodyTextFirstIndent"/>
        <w:spacing w:line="480" w:lineRule="auto"/>
        <w:jc w:val="both"/>
        <w:rPr>
          <w:ins w:id="200750" w:author="Claude" w:date="2026-09-27T12:00:00Z"/>
        </w:rPr>
      </w:pPr>
      <w:ins w:id="200723" w:author="Claude" w:date="2026-09-27T12:00:00Z">
        <w:r>
          <w:t xml:space="preserve">The Plaintiffs’ case in </w:t>
        </w:r>
      </w:ins>
      <w:ins w:id="200724" w:author="Claude" w:date="2026-09-27T12:00:00Z">
        <w:r>
          <w:rPr>
            <w:i/>
            <w:iCs/>
          </w:rPr>
          <w:t>United States v.</w:t>
        </w:r>
      </w:ins>
      <w:ins w:id="200725" w:author="Claude" w:date="2026-09-27T12:00:00Z">
        <w:r>
          <w:t xml:space="preserve"> </w:t>
        </w:r>
      </w:ins>
      <w:ins w:id="200726" w:author="Claude" w:date="2026-09-27T12:00:00Z">
        <w:r>
          <w:rPr>
            <w:i/>
            <w:iCs/>
          </w:rPr>
          <w:t>Skrmetti</w:t>
        </w:r>
      </w:ins>
      <w:ins w:id="200727" w:author="Claude" w:date="2026-09-27T12:00:00Z">
        <w:r>
          <w:t xml:space="preserve"> was a predictable loss</w:t>
        </w:r>
      </w:ins>
      <w:ins w:id="200728" w:author="Claude" w:date="2026-09-27T12:00:00Z">
        <w:r>
          <w:t>.</w:t>
        </w:r>
      </w:ins>
      <w:ins w:id="200729" w:author="Claude" w:date="2026-09-27T12:00:00Z">
        <w:r>
          <w:rPr>
            <w:rStyle w:val="FootnoteReference"/>
            <w:color w:val="000000" w:themeColor="text1"/>
          </w:rPr>
          <w:footnoteReference w:id="726"/>
        </w:r>
      </w:ins>
      <w:ins w:id="200730" w:author="Claude" w:date="2026-09-27T12:00:00Z">
        <w:r>
          <w:t xml:space="preserve"> It was not simply a matter of a conservative Court voting against progressive interests.</w:t>
        </w:r>
      </w:ins>
      <w:ins w:id="200731" w:author="Claude" w:date="2026-09-27T12:00:00Z">
        <w:r>
          <w:rPr>
            <w:rStyle w:val="FootnoteReference"/>
            <w:color w:val="000000" w:themeColor="text1"/>
          </w:rPr>
          <w:footnoteReference w:id="727"/>
        </w:r>
      </w:ins>
      <w:ins w:id="200732" w:author="Claude" w:date="2026-09-27T12:00:00Z">
        <w:r>
          <w:t xml:space="preserve"> </w:t>
        </w:r>
      </w:ins>
      <w:ins w:id="200733" w:author="Claude" w:date="2026-09-27T12:00:00Z">
        <w:r>
          <w:rPr>
            <w:i/>
            <w:iCs/>
          </w:rPr>
          <w:t>Skrmetti</w:t>
        </w:r>
      </w:ins>
      <w:ins w:id="200734" w:author="Claude" w:date="2026-09-27T12:00:00Z">
        <w:r>
          <w:t xml:space="preserve"> arose from a decade of unrehearsed legal and cultural change.</w:t>
        </w:r>
      </w:ins>
      <w:ins w:id="200735" w:author="Claude" w:date="2026-09-27T12:00:00Z">
        <w:r>
          <w:rPr>
            <w:rStyle w:val="FootnoteReference"/>
            <w:color w:val="000000" w:themeColor="text1"/>
          </w:rPr>
          <w:footnoteReference w:id="728"/>
        </w:r>
      </w:ins>
      <w:ins w:id="200736" w:author="Claude" w:date="2026-09-27T12:00:00Z">
        <w:r>
          <w:t xml:space="preserve"> The Plaintiffs’ lead advocate, Chase Strangio of the ACLU, met the slow, deliberative process of courts</w:t>
        </w:r>
      </w:ins>
      <w:ins w:id="200737" w:author="Claude" w:date="2026-09-27T12:00:00Z">
        <w:r>
          <w:rPr>
            <w:rStyle w:val="FootnoteReference"/>
            <w:color w:val="000000" w:themeColor="text1"/>
          </w:rPr>
          <w:footnoteReference w:id="729"/>
        </w:r>
      </w:ins>
      <w:ins w:id="200738" w:author="Claude" w:date="2026-09-27T12:00:00Z">
        <w:r>
          <w:t xml:space="preserve"> with the corporate sphere’s culture of bullying </w:t>
          <w:t>opponents into capitulation.</w:t>
        </w:r>
      </w:ins>
      <w:ins w:id="200739" w:author="Claude" w:date="2026-09-27T12:00:00Z">
        <w:r>
          <w:rPr>
            <w:rStyle w:val="FootnoteReference"/>
            <w:color w:val="000000" w:themeColor="text1"/>
          </w:rPr>
          <w:footnoteReference w:id="730"/>
        </w:r>
      </w:ins>
      <w:ins w:id="200740" w:author="Claude" w:date="2026-09-27T12:00:00Z">
        <w:r>
          <w:t xml:space="preserve"> By one account, Strangio “was a big part of that online world that was so incredibly vicious . . . in trying to suppress the speech of people who disagree[d]” on the trans rights movement.</w:t>
        </w:r>
      </w:ins>
      <w:ins w:id="200741" w:author="Claude" w:date="2026-09-27T12:00:00Z">
        <w:r>
          <w:rPr>
            <w:rStyle w:val="FootnoteReference"/>
            <w:color w:val="000000" w:themeColor="text1"/>
          </w:rPr>
          <w:footnoteReference w:id="731"/>
        </w:r>
      </w:ins>
      <w:ins w:id="200742" w:author="Claude" w:date="2026-09-27T12:00:00Z">
        <w:r>
          <w:t xml:space="preserve"> Strangio, who had “a reputation that did not tolerate dissent,” allowed the ACLU’s </w:t>
        </w:r>
      </w:ins>
      <w:ins w:id="200743" w:author="Claude" w:date="2026-09-27T12:00:00Z">
        <w:r>
          <w:rPr>
            <w:i/>
            <w:iCs/>
          </w:rPr>
          <w:t xml:space="preserve">Skrmetti </w:t>
        </w:r>
      </w:ins>
      <w:ins w:id="200744" w:author="Claude" w:date="2026-09-27T12:00:00Z">
        <w:r>
          <w:t>strategy to become an echo chamber suffused with internal strife.</w:t>
        </w:r>
      </w:ins>
      <w:ins w:id="200745" w:author="Claude" w:date="2026-09-27T12:00:00Z">
        <w:r>
          <w:rPr>
            <w:rStyle w:val="FootnoteReference"/>
            <w:color w:val="000000" w:themeColor="text1"/>
          </w:rPr>
          <w:footnoteReference w:id="732"/>
        </w:r>
      </w:ins>
      <w:ins w:id="200746" w:author="Claude" w:date="2026-09-27T12:00:00Z">
        <w:r>
          <w:t xml:space="preserve"> One ACLU lawyer observed that “a dogmatism descends sometimes” and that “you hesitate before you question a belief that is ascendant among your peer group</w:t>
        </w:r>
      </w:ins>
      <w:ins w:id="200747" w:author="Claude" w:date="2026-09-27T12:00:00Z">
        <w:r>
          <w:t>.”</w:t>
        </w:r>
      </w:ins>
      <w:ins w:id="200748" w:author="Claude" w:date="2026-09-27T12:00:00Z">
        <w:r>
          <w:rPr>
            <w:rStyle w:val="FootnoteReference"/>
          </w:rPr>
          <w:footnoteReference w:id="733"/>
        </w:r>
      </w:ins>
      <w:ins w:id="200749" w:author="Claude" w:date="2026-09-27T12:00:00Z">
        <w:r>
          <w:rPr>
            <w:rStyle w:val="FootnoteReference"/>
            <w:color w:val="000000" w:themeColor="text1"/>
          </w:rPr>
          <w:t xml:space="preserve"> </w:t>
        </w:r>
      </w:ins>
    </w:p>
    <w:p w14:paraId="3C3BA6AB" w14:textId="776DB554" w:rsidR="00C97DF2" w:rsidRPr="00A9375B" w:rsidRDefault="00744906" w:rsidP="003D74D8">
      <w:pPr>
        <w:pStyle w:val="BodyTextFirstIndent"/>
        <w:spacing w:line="480" w:lineRule="auto"/>
        <w:jc w:val="both"/>
        <w:rPr>
          <w:ins w:id="200891" w:author="Claude" w:date="2026-09-27T12:00:00Z"/>
        </w:rPr>
      </w:pPr>
      <w:ins w:id="200857" w:author="Claude" w:date="2026-09-27T12:00:00Z">
        <w:r>
          <w:t xml:space="preserve">This culture yielded three flaws in the </w:t>
        </w:r>
      </w:ins>
      <w:ins w:id="200858" w:author="Claude" w:date="2026-09-27T12:00:00Z">
        <w:r>
          <w:rPr>
            <w:i/>
            <w:iCs/>
          </w:rPr>
          <w:t xml:space="preserve">Skrmetti </w:t>
        </w:r>
      </w:ins>
      <w:ins w:id="200859" w:author="Claude" w:date="2026-09-27T12:00:00Z">
        <w:r>
          <w:t xml:space="preserve">advocacy that an outsider could have exposed had the ACLU welcomed dissent.</w:t>
        </w:r>
      </w:ins>
      <w:ins w:id="200860" w:author="Claude" w:date="2026-09-27T12:00:00Z">
        <w:r>
          <w:rPr>
            <w:rStyle w:val="FootnoteReference"/>
            <w:color w:val="000000" w:themeColor="text1"/>
          </w:rPr>
          <w:footnoteReference w:id="734"/>
        </w:r>
      </w:ins>
      <w:ins w:id="200861" w:author="Claude" w:date="2026-09-27T12:00:00Z">
        <w:r>
          <w:t xml:space="preserve"> First, the ACLU rejected incrementalism.</w:t>
        </w:r>
      </w:ins>
      <w:ins w:id="200862" w:author="Claude" w:date="2026-09-27T12:00:00Z">
        <w:r>
          <w:rPr>
            <w:rStyle w:val="FootnoteReference"/>
            <w:color w:val="000000" w:themeColor="text1"/>
          </w:rPr>
          <w:footnoteReference w:id="735"/>
        </w:r>
      </w:ins>
      <w:ins w:id="200863" w:author="Claude" w:date="2026-09-27T12:00:00Z">
        <w:r>
          <w:t xml:space="preserve"> Second, it relied heavily on unproven science.</w:t>
        </w:r>
      </w:ins>
      <w:ins w:id="200864" w:author="Claude" w:date="2026-09-27T12:00:00Z">
        <w:r>
          <w:rPr>
            <w:rStyle w:val="FootnoteReference"/>
            <w:color w:val="000000" w:themeColor="text1"/>
          </w:rPr>
          <w:footnoteReference w:id="736"/>
        </w:r>
      </w:ins>
      <w:ins w:id="200865" w:author="Claude" w:date="2026-09-27T12:00:00Z">
        <w:r>
          <w:t xml:space="preserve"> Third, its legal theories proved unpersuasive.</w:t>
        </w:r>
      </w:ins>
      <w:ins w:id="200866" w:author="Claude" w:date="2026-09-27T12:00:00Z">
        <w:r>
          <w:rPr>
            <w:rStyle w:val="FootnoteReference"/>
            <w:color w:val="000000" w:themeColor="text1"/>
          </w:rPr>
          <w:footnoteReference w:id="737"/>
        </w:r>
      </w:ins>
      <w:ins w:id="200867" w:author="Claude" w:date="2026-09-27T12:00:00Z">
        <w:r>
          <w:t xml:space="preserve"> The Supreme Court rejected the sex-classification theory and upheld S.B. 1 under rational-basis review, expressly declining to resolve the scientific dispute.</w:t>
        </w:r>
      </w:ins>
      <w:ins w:id="200868" w:author="Claude" w:date="2026-09-27T12:00:00Z">
        <w:r>
          <w:rPr>
            <w:rStyle w:val="FootnoteReference"/>
            <w:color w:val="000000" w:themeColor="text1"/>
          </w:rPr>
          <w:footnoteReference w:id="738"/>
        </w:r>
      </w:ins>
      <w:ins w:id="200869" w:author="Claude" w:date="2026-09-27T12:00:00Z">
        <w:r>
          <w:t xml:space="preserve"> The </w:t>
        </w:r>
      </w:ins>
      <w:ins w:id="200870" w:author="Claude" w:date="2026-09-27T12:00:00Z">
        <w:r>
          <w:t xml:space="preserve">most obvious reason for all three flaws is groupthink. The psychologist Irving Janis, who developed the concept, used the term to denote a degradation of collective judgment in which a cohesive group’s drive for agreement supplants a realistic appraisal of how strong the group’s choice is. </w:t>
        </w:r>
      </w:ins>
      <w:ins w:id="200871" w:author="Claude" w:date="2026-09-27T12:00:00Z">
        <w:r>
          <w:t xml:space="preserve">Capable advocates do not so much decide that their claims need no testing as let groupthink decide it for them.</w:t>
        </w:r>
      </w:ins>
      <w:ins w:id="200872" w:author="Claude" w:date="2026-09-27T12:00:00Z">
        <w:r>
          <w:t xml:space="preserve"> </w:t>
        </w:r>
      </w:ins>
      <w:ins w:id="200873" w:author="Claude" w:date="2026-09-27T12:00:00Z">
        <w:r>
          <w:rPr>
            <w:i/>
            <w:iCs/>
          </w:rPr>
          <w:t xml:space="preserve">Skrmetti</w:t>
        </w:r>
      </w:ins>
      <w:ins w:id="200874" w:author="Claude" w:date="2026-09-27T12:00:00Z">
        <w:r>
          <w:t xml:space="preserve"> is a recent, but by no means the only, example of how groupthink wrecks legal strategy, invites predictable defeat, depletes judicial resources, and undermines clients’ causes.</w:t>
        </w:r>
      </w:ins>
      <w:ins w:id="200875" w:author="Claude" w:date="2026-09-27T12:00:00Z">
        <w:r>
          <w:rPr>
            <w:rStyle w:val="FootnoteReference"/>
            <w:color w:val="000000" w:themeColor="text1"/>
          </w:rPr>
          <w:footnoteReference w:id="739"/>
        </w:r>
      </w:ins>
      <w:ins w:id="200876" w:author="Claude" w:date="2026-09-27T12:00:00Z">
        <w:r>
          <w:t xml:space="preserve"> The Strangio-led trans rights movement “didn’t just lose on some of the key issues . . . but lost an enormous amount of background goodwill.”</w:t>
        </w:r>
      </w:ins>
      <w:ins w:id="200877" w:author="Claude" w:date="2026-09-27T12:00:00Z">
        <w:r>
          <w:rPr>
            <w:rStyle w:val="FootnoteReference"/>
            <w:color w:val="000000" w:themeColor="text1"/>
          </w:rPr>
          <w:footnoteReference w:id="740"/>
        </w:r>
      </w:ins>
      <w:ins w:id="200878" w:author="Claude" w:date="2026-09-27T12:00:00Z">
        <w:r>
          <w:t xml:space="preserve"> In a post-</w:t>
        </w:r>
      </w:ins>
      <w:ins w:id="200879" w:author="Claude" w:date="2026-09-27T12:00:00Z">
        <w:r>
          <w:rPr>
            <w:i/>
            <w:iCs/>
          </w:rPr>
          <w:t xml:space="preserve">Skrmetti</w:t>
        </w:r>
      </w:ins>
      <w:ins w:id="200880" w:author="Claude" w:date="2026-09-27T12:00:00Z">
        <w:r>
          <w:t xml:space="preserve"> interview, </w:t>
        </w:r>
      </w:ins>
      <w:ins w:id="200881" w:author="Claude" w:date="2026-09-27T12:00:00Z">
        <w:r>
          <w:t xml:space="preserve">Strangio </w:t>
        </w:r>
      </w:ins>
      <w:ins w:id="200882" w:author="Claude" w:date="2026-09-27T12:00:00Z">
        <w:r>
          <w:t xml:space="preserve">acknowledged these shortcomings and showed himself a litigator willing to learn—which makes </w:t>
        </w:r>
      </w:ins>
      <w:ins w:id="200883" w:author="Claude" w:date="2026-09-27T12:00:00Z">
        <w:r>
          <w:rPr>
            <w:i/>
            <w:iCs/>
          </w:rPr>
          <w:t xml:space="preserve">Skrmetti</w:t>
        </w:r>
      </w:ins>
      <w:ins w:id="200884" w:author="Claude" w:date="2026-09-27T12:00:00Z">
        <w:r>
          <w:t xml:space="preserve"> all the more telling as a case study in how pervasive groupthink is.</w:t>
        </w:r>
      </w:ins>
      <w:ins w:id="200885" w:author="Claude" w:date="2026-09-27T12:00:00Z">
        <w:r>
          <w:rPr>
            <w:rStyle w:val="FootnoteReference"/>
            <w:color w:val="000000" w:themeColor="text1"/>
          </w:rPr>
          <w:footnoteReference w:id="741"/>
        </w:r>
      </w:ins>
      <w:ins w:id="200886" w:author="Claude" w:date="2026-09-27T12:00:00Z">
        <w:r>
          <w:t xml:space="preserve"> </w:t>
        </w:r>
      </w:ins>
      <w:ins w:id="200887" w:author="Claude" w:date="2026-09-27T12:00:00Z">
        <w:r>
          <w:t xml:space="preserve">It is troubling that</w:t>
        </w:r>
      </w:ins>
      <w:ins w:id="200888" w:author="Claude" w:date="2026-09-27T12:00:00Z">
        <w:r>
          <w:t xml:space="preserve"> groupthink led a team like Strangio’s to neglect internal dissent. </w:t>
        </w:r>
      </w:ins>
      <w:ins w:id="200889" w:author="Claude" w:date="2026-09-27T12:00:00Z">
        <w:r>
          <w:t xml:space="preserve">More troubling still is that</w:t>
        </w:r>
      </w:ins>
      <w:ins w:id="200890" w:author="Claude" w:date="2026-09-27T12:00:00Z">
        <w:r>
          <w:t xml:space="preserve"> our modern legal system, stripped of the mechanisms that once compelled advocates to test their claims, does so little to demand it. </w:t>
        </w:r>
      </w:ins>
    </w:p>
    <w:p>
      <w:pPr>
        <w:pStyle w:val="BodyTextFirstIndent"/>
        <w:spacing w:line="480" w:lineRule="auto"/>
        <w:jc w:val="both"/>
        <w:rPr>
          <w:ins w:id="200897" w:author="Claude" w:date="2026-09-27T12:00:00Z"/>
        </w:rPr>
      </w:pPr>
      <w:ins w:id="200896" w:author="Claude" w:date="2026-09-27T12:00:00Z">
        <w:r>
          <w:t>The substance of this case implicates a contested area of law and policy.</w:t>
        </w:r>
        <w:r>
          <w:rPr>
            <w:rStyle w:val="FootnoteReference"/>
            <w:color w:val="000000" w:themeColor="text1"/>
          </w:rPr>
          <w:footnoteReference w:id="742"/>
        </w:r>
        <w:r>
          <w:t xml:space="preserve"> The analytical focus is </w:t>
        </w:r>
        <w:r>
          <w:rPr>
            <w:i/>
          </w:rPr>
          <w:t>not</w:t>
        </w:r>
        <w:r>
          <w:t xml:space="preserve"> on any policies advanced in litigation, but rather on a narrower institutional question: whether the claims would have been externalized had they been subjected to rigorous internal scrutiny. Any criticisms in this section relate </w:t>
        </w:r>
        <w:r>
          <w:rPr>
            <w:i/>
          </w:rPr>
          <w:t>solely</w:t>
        </w:r>
        <w:r>
          <w:t xml:space="preserve"> to that narrow institutional focus, and readers should not take them for a critique of the plaintiffs or their cause.</w:t>
        </w:r>
      </w:ins>
    </w:p>
    <w:p w14:paraId="39EF3F72" w14:textId="59222838" w:rsidR="00C97DF2" w:rsidRPr="00A9375B" w:rsidRDefault="00C97DF2" w:rsidP="003D74D8">
      <w:pPr>
        <w:pStyle w:val="BodyTextFirstIndent"/>
        <w:spacing w:line="480" w:lineRule="auto"/>
        <w:jc w:val="both"/>
        <w:rPr>
          <w:ins w:id="200948" w:author="Claude" w:date="2026-09-27T12:00:00Z"/>
        </w:rPr>
      </w:pPr>
      <w:ins w:id="200933" w:author="Claude" w:date="2026-09-27T12:00:00Z">
        <w:r>
          <w:t>Consider first how the case unfolded. In March 2023, Tennessee enacted S.B. 1, prohibiting healthcare providers from prescribing puberty blockers or hormones or performing surgeries to help minors transition to a gender different from their biological sex.</w:t>
        </w:r>
      </w:ins>
      <w:ins w:id="200934" w:author="Claude" w:date="2026-09-27T12:00:00Z">
        <w:r>
          <w:rPr>
            <w:rStyle w:val="FootnoteReference"/>
            <w:color w:val="000000" w:themeColor="text1"/>
          </w:rPr>
          <w:footnoteReference w:id="743"/>
        </w:r>
      </w:ins>
      <w:ins w:id="200935" w:author="Claude" w:date="2026-09-27T12:00:00Z">
        <w:r>
          <w:t xml:space="preserve"> The law’s preamble recited detailed legislative findings on health risks, evidentiary gaps, and irreversible harm associated with such treatments.</w:t>
        </w:r>
      </w:ins>
      <w:ins w:id="200936" w:author="Claude" w:date="2026-09-27T12:00:00Z">
        <w:r>
          <w:rPr>
            <w:rStyle w:val="FootnoteReference"/>
            <w:color w:val="000000" w:themeColor="text1"/>
          </w:rPr>
          <w:footnoteReference w:id="744"/>
        </w:r>
      </w:ins>
      <w:ins w:id="200937" w:author="Claude" w:date="2026-09-27T12:00:00Z">
        <w:r>
          <w:t xml:space="preserve"> S.B. 1 joined roughly a dozen similar state laws then in force, including Alabama’s, which had been challenged by the same LGBTQ legal organizations and the United States that later appeared in </w:t>
        </w:r>
      </w:ins>
      <w:ins w:id="200938" w:author="Claude" w:date="2026-09-27T12:00:00Z">
        <w:r>
          <w:rPr>
            <w:i/>
            <w:iCs/>
          </w:rPr>
          <w:t>Skrmetti</w:t>
        </w:r>
      </w:ins>
      <w:ins w:id="200939" w:author="Claude" w:date="2026-09-27T12:00:00Z">
        <w:r>
          <w:t>.</w:t>
        </w:r>
      </w:ins>
      <w:ins w:id="200940" w:author="Claude" w:date="2026-09-27T12:00:00Z">
        <w:r>
          <w:rPr>
            <w:rStyle w:val="FootnoteReference"/>
            <w:color w:val="000000" w:themeColor="text1"/>
          </w:rPr>
          <w:footnoteReference w:id="745"/>
        </w:r>
      </w:ins>
      <w:ins w:id="200941" w:author="Claude" w:date="2026-09-27T12:00:00Z">
        <w:r>
          <w:t xml:space="preserve"> The Plaintiffs in </w:t>
        </w:r>
      </w:ins>
      <w:ins w:id="200942" w:author="Claude" w:date="2026-09-27T12:00:00Z">
        <w:r>
          <w:rPr>
            <w:i/>
            <w:iCs/>
          </w:rPr>
          <w:t>Eknes-Tucker v. Marshall</w:t>
        </w:r>
      </w:ins>
      <w:ins w:id="200943" w:author="Claude" w:date="2026-09-27T12:00:00Z">
        <w:r>
          <w:t xml:space="preserve"> ultimately dismissed their own case after court-ordered discovery revealed documents that one </w:t>
        </w:r>
      </w:ins>
      <w:ins w:id="200944" w:author="Claude" w:date="2026-09-27T12:00:00Z">
        <w:r>
          <w:rPr>
            <w:i/>
            <w:iCs/>
          </w:rPr>
          <w:t>New York Times</w:t>
        </w:r>
      </w:ins>
      <w:ins w:id="200945" w:author="Claude" w:date="2026-09-27T12:00:00Z">
        <w:r>
          <w:t xml:space="preserve"> commentator said “would shock you.”</w:t>
        </w:r>
      </w:ins>
      <w:ins w:id="200946" w:author="Claude" w:date="2026-09-27T12:00:00Z">
        <w:r>
          <w:rPr>
            <w:rStyle w:val="FootnoteReference"/>
            <w:color w:val="000000" w:themeColor="text1"/>
          </w:rPr>
          <w:footnoteReference w:id="746"/>
        </w:r>
      </w:ins>
      <w:ins w:id="200947" w:author="Claude" w:date="2026-09-27T12:00:00Z">
        <w:r>
          <w:t xml:space="preserve"> Indeed they did.  </w:t>
        </w:r>
      </w:ins>
    </w:p>
    <w:p w14:paraId="242E3F84" w14:textId="45371511" w:rsidR="001D4FB2" w:rsidRPr="00A9375B" w:rsidRDefault="00113623" w:rsidP="003D74D8">
      <w:pPr>
        <w:pStyle w:val="BodyTextFirstIndent"/>
        <w:spacing w:line="480" w:lineRule="auto"/>
        <w:jc w:val="both"/>
        <w:rPr>
          <w:ins w:id="201010" w:author="Claude" w:date="2026-09-27T12:00:00Z"/>
        </w:rPr>
      </w:pPr>
      <w:ins w:id="200996" w:author="Claude" w:date="2026-09-27T12:00:00Z">
        <w:r>
          <w:t xml:space="preserve">The documents unearthed in </w:t>
        </w:r>
      </w:ins>
      <w:ins w:id="200997" w:author="Claude" w:date="2026-09-27T12:00:00Z">
        <w:r>
          <w:rPr>
            <w:i/>
            <w:iCs/>
          </w:rPr>
          <w:t xml:space="preserve">Marshall </w:t>
        </w:r>
      </w:ins>
      <w:ins w:id="200998" w:author="Claude" w:date="2026-09-27T12:00:00Z">
        <w:r>
          <w:t xml:space="preserve">involved the World Professional Association for Transgender Health (WPATH), the organization whose standards of care the advocates in the Alabama litigation invoked as an expert consensus, and whose latest version, SOC-8, the </w:t>
        </w:r>
      </w:ins>
      <w:ins w:id="200999" w:author="Claude" w:date="2026-09-27T12:00:00Z">
        <w:r>
          <w:rPr>
            <w:i/>
            <w:iCs/>
          </w:rPr>
          <w:t>Skrmetti</w:t>
        </w:r>
      </w:ins>
      <w:ins w:id="201000" w:author="Claude" w:date="2026-09-27T12:00:00Z">
        <w:r>
          <w:t xml:space="preserve"> </w:t>
          <w:t>Plaintiffs later urged courts to credit.</w:t>
        </w:r>
      </w:ins>
      <w:ins w:id="201001" w:author="Claude" w:date="2026-09-27T12:00:00Z">
        <w:r>
          <w:rPr>
            <w:rStyle w:val="FootnoteReference"/>
            <w:color w:val="000000" w:themeColor="text1"/>
          </w:rPr>
          <w:footnoteReference w:id="747"/>
        </w:r>
      </w:ins>
      <w:ins w:id="201002" w:author="Claude" w:date="2026-09-27T12:00:00Z">
        <w:r>
          <w:t xml:space="preserve"> The standards specified the available treatments, which varied by the patient’s developmental stage.</w:t>
        </w:r>
      </w:ins>
      <w:ins w:id="201003" w:author="Claude" w:date="2026-09-27T12:00:00Z">
        <w:r>
          <w:rPr>
            <w:rStyle w:val="FootnoteReference"/>
            <w:color w:val="000000" w:themeColor="text1"/>
          </w:rPr>
          <w:footnoteReference w:id="748"/>
        </w:r>
      </w:ins>
      <w:ins w:id="201004" w:author="Claude" w:date="2026-09-27T12:00:00Z">
        <w:r>
          <w:t xml:space="preserve"> In </w:t>
        </w:r>
      </w:ins>
      <w:ins w:id="201005" w:author="Claude" w:date="2026-09-27T12:00:00Z">
        <w:r>
          <w:rPr>
            <w:i/>
            <w:iCs/>
          </w:rPr>
          <w:t>Marshall</w:t>
        </w:r>
      </w:ins>
      <w:ins w:id="201006" w:author="Claude" w:date="2026-09-27T12:00:00Z">
        <w:r>
          <w:t>,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ins>
      <w:ins w:id="201007" w:author="Claude" w:date="2026-09-27T12:00:00Z">
        <w:r>
          <w:rPr>
            <w:rStyle w:val="FootnoteReference"/>
            <w:color w:val="000000" w:themeColor="text1"/>
          </w:rPr>
          <w:footnoteReference w:id="749"/>
        </w:r>
      </w:ins>
      <w:ins w:id="201008" w:author="Claude" w:date="2026-09-27T12:00:00Z">
        <w:r>
          <w:t xml:space="preserve"> Yet WPATH’s own members undermined these claims: their internal communications revealed that the standards arose from “an ideological activist-driven process and not a scientific-driven process.”</w:t>
        </w:r>
      </w:ins>
      <w:ins w:id="201009" w:author="Claude" w:date="2026-09-27T12:00:00Z">
        <w:r>
          <w:rPr>
            <w:rStyle w:val="FootnoteReference"/>
            <w:color w:val="000000" w:themeColor="text1"/>
          </w:rPr>
          <w:footnoteReference w:id="750"/>
        </w:r>
      </w:ins>
    </w:p>
    <w:p w14:paraId="479B8493" w14:textId="5A2C5FF9" w:rsidR="002161F5" w:rsidRPr="00A9375B" w:rsidRDefault="00527ADC" w:rsidP="003D74D8">
      <w:pPr>
        <w:pStyle w:val="BodyTextFirstIndent"/>
        <w:spacing w:line="480" w:lineRule="auto"/>
        <w:jc w:val="both"/>
        <w:rPr>
          <w:ins w:id="201066" w:author="Claude" w:date="2026-09-27T12:00:00Z"/>
        </w:rPr>
      </w:pPr>
      <w:ins w:id="201056" w:author="Claude" w:date="2026-09-27T12:00:00Z">
        <w:r>
          <w:t>Neither the selection of SOC-8’s authors nor the process by which they wrote it was scientific.</w:t>
        </w:r>
      </w:ins>
      <w:ins w:id="201057" w:author="Claude" w:date="2026-09-27T12:00:00Z">
        <w:r>
          <w:t xml:space="preserve"> One hundred nineteen current WPATH members authored the guidelines. Dr. Marci Bowers </w:t>
          <w:t>testified that it was “important” for each author to be an advocate for transitioning treatments before the guidelines were created.</w:t>
        </w:r>
      </w:ins>
      <w:ins w:id="201058" w:author="Claude" w:date="2026-09-27T12:00:00Z">
        <w:r>
          <w:rPr>
            <w:rStyle w:val="FootnoteReference"/>
            <w:color w:val="000000" w:themeColor="text1"/>
          </w:rPr>
          <w:footnoteReference w:id="751"/>
        </w:r>
      </w:ins>
      <w:ins w:id="201059" w:author="Claude" w:date="2026-09-27T12:00:00Z">
        <w:r>
          <w:t xml:space="preserve"> Many of these authors regularly served as expert witnesses, advocating in court for the procedures those standards endorsed.</w:t>
        </w:r>
      </w:ins>
      <w:ins w:id="201060" w:author="Claude" w:date="2026-09-27T12:00:00Z">
        <w:r>
          <w:rPr>
            <w:rStyle w:val="FootnoteReference"/>
            <w:color w:val="000000" w:themeColor="text1"/>
          </w:rPr>
          <w:footnoteReference w:id="752"/>
        </w:r>
      </w:ins>
      <w:ins w:id="201061" w:author="Claude" w:date="2026-09-27T12:00:00Z">
        <w:r>
          <w:t xml:space="preserve"> Dr. Eli Coleman, the chair of WPATH’s SOC-8 guideline committee, testified that he thought it was “ethically justifiable” for the authors to “advocate for language changes [in SOC-8] to strengthen [their] position in court.”</w:t>
        </w:r>
      </w:ins>
      <w:ins w:id="201062" w:author="Claude" w:date="2026-09-27T12:00:00Z">
        <w:r>
          <w:rPr>
            <w:rStyle w:val="FootnoteReference"/>
            <w:color w:val="000000" w:themeColor="text1"/>
          </w:rPr>
          <w:footnoteReference w:id="753"/>
        </w:r>
      </w:ins>
      <w:ins w:id="201063" w:author="Claude" w:date="2026-09-27T12:00:00Z">
        <w:r>
          <w:t xml:space="preserve"> Another team member wrote, “[m]y hope with these SoC is that they land in such a way as to have serious effect in the law and policy settings.”</w:t>
        </w:r>
      </w:ins>
      <w:ins w:id="201064" w:author="Claude" w:date="2026-09-27T12:00:00Z">
        <w:r>
          <w:rPr>
            <w:rStyle w:val="FootnoteReference"/>
            <w:color w:val="000000" w:themeColor="text1"/>
          </w:rPr>
          <w:footnoteReference w:id="754"/>
        </w:r>
      </w:ins>
      <w:ins w:id="201065" w:author="Claude" w:date="2026-09-27T12:00:00Z">
        <w:r>
          <w:t xml:space="preserve"> </w:t>
        </w:r>
      </w:ins>
    </w:p>
    <w:p w14:paraId="404D54EA" w14:textId="62C174FA" w:rsidR="00C0099B" w:rsidRPr="00A9375B" w:rsidRDefault="00105CBB" w:rsidP="003D74D8">
      <w:pPr>
        <w:pStyle w:val="BodyTextFirstIndent"/>
        <w:spacing w:line="480" w:lineRule="auto"/>
        <w:jc w:val="both"/>
        <w:rPr>
          <w:ins w:id="201116" w:author="Claude" w:date="2026-09-27T12:00:00Z"/>
        </w:rPr>
      </w:pPr>
      <w:ins w:id="201109" w:author="Claude" w:date="2026-09-27T12:00:00Z">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ins>
      <w:ins w:id="201110" w:author="Claude" w:date="2026-09-27T12:00:00Z">
        <w:r>
          <w:rPr>
            <w:rStyle w:val="FootnoteReference"/>
            <w:color w:val="000000" w:themeColor="text1"/>
          </w:rPr>
          <w:footnoteReference w:id="755"/>
        </w:r>
      </w:ins>
      <w:ins w:id="201111" w:author="Claude" w:date="2026-09-27T12:00:00Z">
        <w:r>
          <w:t xml:space="preserve"> Admiral Rachel Levine, the Biden Administration’s Assistant </w:t>
          <w:t>Secretary for Health, met regularly with WPATH’s leaders during the drafting and received an embargoed copy of the completed draft.</w:t>
        </w:r>
      </w:ins>
      <w:ins w:id="201112" w:author="Claude" w:date="2026-09-27T12:00:00Z">
        <w:r>
          <w:rPr>
            <w:rStyle w:val="FootnoteReference"/>
            <w:color w:val="000000" w:themeColor="text1"/>
          </w:rPr>
          <w:footnoteReference w:id="756"/>
        </w:r>
      </w:ins>
      <w:ins w:id="201113" w:author="Claude" w:date="2026-09-27T12:00:00Z">
        <w:r>
          <w:t xml:space="preserve"> Under political pressure from her and others, WPATH acquiesced and removed the age minimums from SOC-8.</w:t>
        </w:r>
      </w:ins>
      <w:ins w:id="201114" w:author="Claude" w:date="2026-09-27T12:00:00Z">
        <w:r>
          <w:rPr>
            <w:rStyle w:val="FootnoteReference"/>
            <w:color w:val="000000" w:themeColor="text1"/>
          </w:rPr>
          <w:footnoteReference w:id="757"/>
        </w:r>
      </w:ins>
      <w:ins w:id="201115" w:author="Claude" w:date="2026-09-27T12:00:00Z">
        <w:r>
          <w:t xml:space="preserve"> </w:t>
        </w:r>
      </w:ins>
    </w:p>
    <w:p w14:paraId="2C155791" w14:textId="2DEC093B" w:rsidR="007E3419" w:rsidRPr="00A9375B" w:rsidRDefault="00A168B3" w:rsidP="003D74D8">
      <w:pPr>
        <w:pStyle w:val="BodyTextFirstIndent"/>
        <w:spacing w:line="480" w:lineRule="auto"/>
        <w:jc w:val="both"/>
        <w:rPr>
          <w:ins w:id="201184" w:author="Claude" w:date="2026-09-27T12:00:00Z"/>
        </w:rPr>
      </w:pPr>
      <w:ins w:id="201161" w:author="Claude" w:date="2026-09-27T12:00:00Z">
        <w:r>
          <w:t xml:space="preserve">During discovery in </w:t>
        </w:r>
      </w:ins>
      <w:ins w:id="201162" w:author="Claude" w:date="2026-09-27T12:00:00Z">
        <w:r>
          <w:rPr>
            <w:i/>
            <w:iCs/>
          </w:rPr>
          <w:t xml:space="preserve">Marshall</w:t>
        </w:r>
      </w:ins>
      <w:ins w:id="201163" w:author="Claude" w:date="2026-09-27T12:00:00Z">
        <w:r>
          <w:t xml:space="preserve">, a legal team led by the ACLU and Lambda Legal initiated </w:t>
        </w:r>
      </w:ins>
      <w:ins w:id="201164" w:author="Claude" w:date="2026-09-27T12:00:00Z">
        <w:r>
          <w:rPr>
            <w:i/>
            <w:iCs/>
          </w:rPr>
          <w:t xml:space="preserve">Skrmetti</w:t>
        </w:r>
      </w:ins>
      <w:ins w:id="201165" w:author="Claude" w:date="2026-09-27T12:00:00Z">
        <w:r>
          <w:t xml:space="preserve"> by challenging S.B. 1 in federal court.</w:t>
        </w:r>
      </w:ins>
      <w:ins w:id="201166" w:author="Claude" w:date="2026-09-27T12:00:00Z">
        <w:r>
          <w:rPr>
            <w:rStyle w:val="FootnoteReference"/>
            <w:color w:val="000000" w:themeColor="text1"/>
          </w:rPr>
          <w:footnoteReference w:id="758"/>
        </w:r>
      </w:ins>
      <w:ins w:id="201167" w:author="Claude" w:date="2026-09-27T12:00:00Z">
        <w:r>
          <w:t xml:space="preserve"> The </w:t>
        </w:r>
      </w:ins>
      <w:ins w:id="201168" w:author="Claude" w:date="2026-09-27T12:00:00Z">
        <w:r>
          <w:rPr>
            <w:i/>
            <w:iCs/>
          </w:rPr>
          <w:t xml:space="preserve">Skrmetti</w:t>
        </w:r>
      </w:ins>
      <w:ins w:id="201169" w:author="Claude" w:date="2026-09-27T12:00:00Z">
        <w:r>
          <w:t xml:space="preserve"> Plaintiffs obtained a preliminary injunction, which the Sixth Circuit reversed on appeal.</w:t>
        </w:r>
      </w:ins>
      <w:ins w:id="201170" w:author="Claude" w:date="2026-09-27T12:00:00Z">
        <w:r>
          <w:rPr>
            <w:rStyle w:val="FootnoteReference"/>
            <w:color w:val="000000" w:themeColor="text1"/>
          </w:rPr>
          <w:footnoteReference w:id="759"/>
        </w:r>
      </w:ins>
      <w:ins w:id="201171" w:author="Claude" w:date="2026-09-27T12:00:00Z">
        <w:r>
          <w:t xml:space="preserve"> Writing for the appeals court, Chief Judge Sutton acknowledged that “</w:t>
        </w:r>
      </w:ins>
      <w:ins w:id="201172" w:author="Claude" w:date="2026-09-27T12:00:00Z">
        <w:r>
          <w:t xml:space="preserve">[n]o </w:t>
        </w:r>
      </w:ins>
      <w:ins w:id="201173" w:author="Claude" w:date="2026-09-27T12:00:00Z">
        <w:r>
          <w:t xml:space="preserve">one in these consolidated cases debates the existence of gender dysphoria or the distress caused by it. And no one doubts the value of providing psychological and related care to children facing it.”</w:t>
        </w:r>
      </w:ins>
      <w:ins w:id="201174" w:author="Claude" w:date="2026-09-27T12:00:00Z">
        <w:r>
          <w:rPr>
            <w:rStyle w:val="FootnoteReference"/>
            <w:color w:val="000000" w:themeColor="text1"/>
          </w:rPr>
          <w:footnoteReference w:id="760"/>
        </w:r>
      </w:ins>
      <w:ins w:id="201175" w:author="Claude" w:date="2026-09-27T12:00:00Z">
        <w:r>
          <w:t xml:space="preserve"> Nevertheless, the court found no sex discrimination because “the laws regulate sex-transition treatments for all minors, regardless of sex.”</w:t>
        </w:r>
      </w:ins>
      <w:ins w:id="201176" w:author="Claude" w:date="2026-09-27T12:00:00Z">
        <w:r>
          <w:rPr>
            <w:rStyle w:val="FootnoteReference"/>
            <w:color w:val="000000" w:themeColor="text1"/>
          </w:rPr>
          <w:footnoteReference w:id="761"/>
        </w:r>
      </w:ins>
      <w:ins w:id="201177" w:author="Claude" w:date="2026-09-27T12:00:00Z">
        <w:r>
          <w:t xml:space="preserve"> The United States petitioned for certiorari, and the Court granted review.</w:t>
        </w:r>
      </w:ins>
      <w:ins w:id="201178" w:author="Claude" w:date="2026-09-27T12:00:00Z">
        <w:r>
          <w:rPr>
            <w:rStyle w:val="FootnoteReference"/>
            <w:color w:val="000000" w:themeColor="text1"/>
          </w:rPr>
          <w:footnoteReference w:id="762"/>
        </w:r>
      </w:ins>
      <w:ins w:id="201179" w:author="Claude" w:date="2026-09-27T12:00:00Z">
        <w:r>
          <w:t xml:space="preserve"> Despite the damaging disclosures from </w:t>
        </w:r>
      </w:ins>
      <w:ins w:id="201180" w:author="Claude" w:date="2026-09-27T12:00:00Z">
        <w:r>
          <w:rPr>
            <w:i/>
            <w:iCs/>
          </w:rPr>
          <w:t xml:space="preserve">Marshall</w:t>
        </w:r>
      </w:ins>
      <w:ins w:id="201181" w:author="Claude" w:date="2026-09-27T12:00:00Z">
        <w:r>
          <w:t xml:space="preserve">, the United States continued to assert in its Supreme Court briefing that gender-affirming care remained supported by “the Nation’s major medical organizations,” and dismissed the disclosures as “out-of-context excerpts from the unadjudicated summary-judgment record in a different case.”</w:t>
        </w:r>
      </w:ins>
      <w:ins w:id="201182" w:author="Claude" w:date="2026-09-27T12:00:00Z">
        <w:r>
          <w:rPr>
            <w:rStyle w:val="FootnoteReference"/>
            <w:color w:val="000000" w:themeColor="text1"/>
          </w:rPr>
          <w:footnoteReference w:id="763"/>
        </w:r>
      </w:ins>
      <w:ins w:id="201183" w:author="Claude" w:date="2026-09-27T12:00:00Z">
        <w:r>
          <w:t xml:space="preserve"> </w:t>
        </w:r>
      </w:ins>
    </w:p>
    <w:p w14:paraId="1B966ABE" w14:textId="714442F6" w:rsidR="00F5008C" w:rsidRPr="00A9375B" w:rsidRDefault="006B2A16" w:rsidP="003D74D8">
      <w:pPr>
        <w:pStyle w:val="BodyTextFirstIndent"/>
        <w:spacing w:line="480" w:lineRule="auto"/>
        <w:jc w:val="both"/>
        <w:rPr>
          <w:ins w:id="201225" w:author="Claude" w:date="2026-09-27T12:00:00Z"/>
        </w:rPr>
      </w:pPr>
      <w:ins w:id="201214" w:author="Claude" w:date="2026-09-27T12:00:00Z">
        <w:r>
          <w:t xml:space="preserve">Beyond these evidentiary deficiencies, the legal theories in </w:t>
        </w:r>
      </w:ins>
      <w:ins w:id="201215" w:author="Claude" w:date="2026-09-27T12:00:00Z">
        <w:r>
          <w:rPr>
            <w:i/>
            <w:iCs/>
          </w:rPr>
          <w:t>Skrmetti</w:t>
        </w:r>
      </w:ins>
      <w:ins w:id="201216" w:author="Claude" w:date="2026-09-27T12:00:00Z">
        <w:r>
          <w:t xml:space="preserve"> were unpersuasive. Even before the Supreme Court heard oral argument, commentators across the ideological spectrum—especially liberal commentators one would expect to find in the Plaintiffs’ camp—questioned why anyone would have appealed the Sixth Circuit’s ruling.</w:t>
        </w:r>
      </w:ins>
      <w:ins w:id="201217" w:author="Claude" w:date="2026-09-27T12:00:00Z">
        <w:r>
          <w:rPr>
            <w:rStyle w:val="FootnoteReference"/>
            <w:color w:val="000000" w:themeColor="text1"/>
          </w:rPr>
          <w:footnoteReference w:id="764"/>
        </w:r>
      </w:ins>
      <w:ins w:id="201218" w:author="Claude" w:date="2026-09-27T12:00:00Z">
        <w:r>
          <w:t xml:space="preserve"> The Plaintiffs’ counsel wrote the </w:t>
        </w:r>
      </w:ins>
      <w:ins w:id="201219" w:author="Claude" w:date="2026-09-27T12:00:00Z">
        <w:r>
          <w:rPr>
            <w:i/>
            <w:iCs/>
          </w:rPr>
          <w:t>Skrmetti</w:t>
        </w:r>
      </w:ins>
      <w:ins w:id="201220" w:author="Claude" w:date="2026-09-27T12:00:00Z">
        <w:r>
          <w:t xml:space="preserve"> briefs hoping the Court would extend the reasoning of </w:t>
        </w:r>
      </w:ins>
      <w:ins w:id="201221" w:author="Claude" w:date="2026-09-27T12:00:00Z">
        <w:r>
          <w:rPr>
            <w:i/>
            <w:iCs/>
          </w:rPr>
          <w:t>Bostock v. Clayton County</w:t>
        </w:r>
      </w:ins>
      <w:ins w:id="201222" w:author="Claude" w:date="2026-09-27T12:00:00Z">
        <w:r>
          <w:t xml:space="preserve"> to this case.</w:t>
        </w:r>
      </w:ins>
      <w:ins w:id="201223" w:author="Claude" w:date="2026-09-27T12:00:00Z">
        <w:r>
          <w:rPr>
            <w:rStyle w:val="FootnoteReference"/>
            <w:color w:val="000000" w:themeColor="text1"/>
          </w:rPr>
          <w:footnoteReference w:id="765"/>
        </w:r>
      </w:ins>
      <w:ins w:id="201224" w:author="Claude" w:date="2026-09-27T12:00:00Z">
        <w:r>
          <w:t xml:space="preserve"> </w:t>
        </w:r>
      </w:ins>
    </w:p>
    <w:p w14:paraId="1967451A" w14:textId="3685DC39" w:rsidR="00EF33CF" w:rsidRPr="00A9375B" w:rsidRDefault="00105CBB" w:rsidP="003D74D8">
      <w:pPr>
        <w:pStyle w:val="BodyTextFirstIndent"/>
        <w:spacing w:line="480" w:lineRule="auto"/>
        <w:jc w:val="both"/>
        <w:rPr>
          <w:ins w:id="201269" w:author="Claude" w:date="2026-09-27T12:00:00Z"/>
        </w:rPr>
      </w:pPr>
      <w:ins w:id="201258" w:author="Claude" w:date="2026-09-27T12:00:00Z">
        <w:r>
          <w:rPr>
            <w:i/>
            <w:iCs/>
          </w:rPr>
          <w:t xml:space="preserve">Bostock</w:t>
        </w:r>
      </w:ins>
      <w:ins w:id="201259" w:author="Claude" w:date="2026-09-27T12:00:00Z">
        <w:r>
          <w:t xml:space="preserve"> involved workplace discrimination claims by transgender and gay employees under Title VII, which prohibits adverse employment actions “because of” sex.</w:t>
        </w:r>
      </w:ins>
      <w:ins w:id="201260" w:author="Claude" w:date="2026-09-27T12:00:00Z">
        <w:r>
          <w:rPr>
            <w:rStyle w:val="FootnoteReference"/>
            <w:color w:val="000000" w:themeColor="text1"/>
          </w:rPr>
          <w:footnoteReference w:id="766"/>
        </w:r>
      </w:ins>
      <w:ins w:id="201261" w:author="Claude" w:date="2026-09-27T12:00:00Z">
        <w:r>
          <w:t xml:space="preserve"> Bostock’s counsel crafted their case for a textualist and conservative Court, and emphasized in their reply brief that they were not seeking “a new meaning of what ‘sex’ is . . . rather, it is for a new application . . . the Court has already held that new applications of the text of Title VII are appropriate even when Congress did not envision them.”</w:t>
        </w:r>
      </w:ins>
      <w:ins w:id="201262" w:author="Claude" w:date="2026-09-27T12:00:00Z">
        <w:r>
          <w:rPr>
            <w:rStyle w:val="FootnoteReference"/>
            <w:color w:val="000000" w:themeColor="text1"/>
          </w:rPr>
          <w:footnoteReference w:id="767"/>
        </w:r>
      </w:ins>
      <w:ins w:id="201263" w:author="Claude" w:date="2026-09-27T12:00:00Z">
        <w:r>
          <w:t xml:space="preserve"> During oral argument, they continued this approach by urging the Court to “read the words of the statute.”</w:t>
        </w:r>
      </w:ins>
      <w:ins w:id="201264" w:author="Claude" w:date="2026-09-27T12:00:00Z">
        <w:r>
          <w:rPr>
            <w:rStyle w:val="FootnoteReference"/>
            <w:color w:val="000000" w:themeColor="text1"/>
          </w:rPr>
          <w:footnoteReference w:id="768"/>
        </w:r>
      </w:ins>
      <w:ins w:id="201265" w:author="Claude" w:date="2026-09-27T12:00:00Z">
        <w:r>
          <w:t xml:space="preserve"> Writing for the Court, Justice Gorsuch adopted precisely the reasoning they had urged, asserting that “</w:t>
        </w:r>
      </w:ins>
      <w:ins w:id="201266" w:author="Claude" w:date="2026-09-27T12:00:00Z">
        <w:r>
          <w:t xml:space="preserve">[w]hen </w:t>
        </w:r>
      </w:ins>
      <w:ins w:id="201267" w:author="Claude" w:date="2026-09-27T12:00:00Z">
        <w:r>
          <w:t xml:space="preserve">the express terms of a statute give us one answer and extratextual considerations suggest another, it’s no contest. Only the written word is the law, and all persons are entitled to its benefit.”</w:t>
        </w:r>
      </w:ins>
      <w:ins w:id="201268" w:author="Claude" w:date="2026-09-27T12:00:00Z">
        <w:r>
          <w:rPr>
            <w:rStyle w:val="FootnoteReference"/>
            <w:color w:val="000000" w:themeColor="text1"/>
          </w:rPr>
          <w:footnoteReference w:id="769"/>
        </w:r>
      </w:ins>
    </w:p>
    <w:p w14:paraId="35E7E4DB" w14:textId="284FAFB6" w:rsidR="00E2020C" w:rsidRPr="00A9375B" w:rsidRDefault="009E1496" w:rsidP="003D74D8">
      <w:pPr>
        <w:pStyle w:val="BodyTextFirstIndent"/>
        <w:spacing w:line="480" w:lineRule="auto"/>
        <w:jc w:val="both"/>
        <w:rPr>
          <w:ins w:id="201310" w:author="Claude" w:date="2026-09-27T12:00:00Z"/>
        </w:rPr>
      </w:pPr>
      <w:ins w:id="201297" w:author="Claude" w:date="2026-09-27T12:00:00Z">
        <w:r>
          <w:t xml:space="preserve">Returning to </w:t>
        </w:r>
      </w:ins>
      <w:ins w:id="201298" w:author="Claude" w:date="2026-09-27T12:00:00Z">
        <w:r>
          <w:rPr>
            <w:i/>
            <w:iCs/>
          </w:rPr>
          <w:t xml:space="preserve">Skrmetti</w:t>
        </w:r>
      </w:ins>
      <w:ins w:id="201299" w:author="Claude" w:date="2026-09-27T12:00:00Z">
        <w:r>
          <w:t xml:space="preserve">, the </w:t>
        </w:r>
      </w:ins>
      <w:ins w:id="201300" w:author="Claude" w:date="2026-09-27T12:00:00Z">
        <w:r>
          <w:t xml:space="preserve">United States </w:t>
        </w:r>
      </w:ins>
      <w:ins w:id="201301" w:author="Claude" w:date="2026-09-27T12:00:00Z">
        <w:r>
          <w:t xml:space="preserve">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ins>
      <w:ins w:id="201302" w:author="Claude" w:date="2026-09-27T12:00:00Z">
        <w:r>
          <w:rPr>
            <w:rStyle w:val="FootnoteReference"/>
            <w:color w:val="000000" w:themeColor="text1"/>
          </w:rPr>
          <w:footnoteReference w:id="770"/>
        </w:r>
      </w:ins>
      <w:ins w:id="201303" w:author="Claude" w:date="2026-09-27T12:00:00Z">
        <w:r>
          <w:t xml:space="preserve"> During oral argument, the Solicitor General suggested that “this is an even easier sex classification than maybe the one the Court confronted in Bostock.”</w:t>
        </w:r>
      </w:ins>
      <w:ins w:id="201304" w:author="Claude" w:date="2026-09-27T12:00:00Z">
        <w:r>
          <w:rPr>
            <w:rStyle w:val="FootnoteReference"/>
            <w:color w:val="000000" w:themeColor="text1"/>
          </w:rPr>
          <w:footnoteReference w:id="771"/>
        </w:r>
      </w:ins>
      <w:ins w:id="201305" w:author="Claude" w:date="2026-09-27T12:00:00Z">
        <w:r>
          <w:t xml:space="preserve"> The Plaintiffs had also pressed a parental-rights theory, but the Court granted only the United States’ petition, which raised equal protection alone.</w:t>
        </w:r>
      </w:ins>
      <w:ins w:id="201306" w:author="Claude" w:date="2026-09-27T12:00:00Z">
        <w:r>
          <w:rPr>
            <w:rStyle w:val="FootnoteReference"/>
            <w:color w:val="000000" w:themeColor="text1"/>
          </w:rPr>
          <w:footnoteReference w:id="772"/>
        </w:r>
      </w:ins>
      <w:ins w:id="201307" w:author="Claude" w:date="2026-09-27T12:00:00Z">
        <w:r>
          <w:t xml:space="preserve"> Chief Justice Roberts, writing for the Court, rejected the </w:t>
        </w:r>
      </w:ins>
      <w:ins w:id="201308" w:author="Claude" w:date="2026-09-27T12:00:00Z">
        <w:r>
          <w:rPr>
            <w:i/>
            <w:iCs/>
          </w:rPr>
          <w:t xml:space="preserve">Bostock</w:t>
        </w:r>
      </w:ins>
      <w:ins w:id="201309" w:author="Claude" w:date="2026-09-27T12:00:00Z">
        <w:r>
          <w:t xml:space="preserve"> analogy:</w:t>
        </w:r>
      </w:ins>
    </w:p>
    <w:p w14:paraId="5466416E" w14:textId="50B264B8" w:rsidR="00E2020C" w:rsidRPr="00A9375B" w:rsidRDefault="00CE67E5" w:rsidP="003D74D8">
      <w:pPr>
        <w:pStyle w:val="BodyTextFirstIndent2"/>
        <w:spacing w:line="480" w:lineRule="auto"/>
        <w:ind w:left="720" w:right="720" w:firstLine="0"/>
        <w:jc w:val="both"/>
        <w:rPr>
          <w:ins w:id="201323" w:author="Claude" w:date="2026-09-27T12:00:00Z"/>
        </w:rPr>
      </w:pPr>
      <w:ins w:id="201316" w:author="Claude" w:date="2026-09-27T12:00:00Z">
        <w:r>
          <w:t xml:space="preserve">Unlike the homosexual male employee [in </w:t>
        </w:r>
      </w:ins>
      <w:ins w:id="201317" w:author="Claude" w:date="2026-09-27T12:00:00Z">
        <w:r>
          <w:rPr>
            <w:i/>
            <w:iCs/>
          </w:rPr>
          <w:t>Bostock</w:t>
        </w:r>
      </w:ins>
      <w:ins w:id="201318" w:author="Claude" w:date="2026-09-27T12:00:00Z">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ins>
      <w:ins w:id="201319" w:author="Claude" w:date="2026-09-27T12:00:00Z">
        <w:r>
          <w:rPr>
            <w:i/>
            <w:iCs/>
          </w:rPr>
          <w:t>Bostock,</w:t>
        </w:r>
      </w:ins>
      <w:ins w:id="201320" w:author="Claude" w:date="2026-09-27T12:00:00Z">
        <w:r>
          <w:t xml:space="preserve"> then, sex is simply not a but-for cause of SB1’s operation.</w:t>
        </w:r>
      </w:ins>
      <w:ins w:id="201321" w:author="Claude" w:date="2026-09-27T12:00:00Z">
        <w:r>
          <w:rPr>
            <w:rStyle w:val="FootnoteReference"/>
            <w:color w:val="000000" w:themeColor="text1"/>
          </w:rPr>
          <w:footnoteReference w:id="773"/>
        </w:r>
      </w:ins>
      <w:ins w:id="201322" w:author="Claude" w:date="2026-09-27T12:00:00Z">
        <w:r>
          <w:t xml:space="preserve"> </w:t>
        </w:r>
      </w:ins>
    </w:p>
    <w:p>
      <w:pPr>
        <w:pStyle w:val="BodyTextFirstIndent"/>
        <w:spacing w:line="480" w:lineRule="auto"/>
        <w:jc w:val="both"/>
        <w:rPr>
          <w:ins w:id="201366" w:author="Claude" w:date="2026-09-27T12:00:00Z"/>
        </w:rPr>
      </w:pPr>
      <w:ins w:id="201365" w:author="Claude" w:date="2026-09-27T12:00:00Z">
        <w:r>
          <w:t>The Court rejected the equal-protection claim and devoted the rest of the opinion to rational-basis review.</w:t>
        </w:r>
        <w:r>
          <w:rPr>
            <w:rStyle w:val="FootnoteReference"/>
            <w:color w:val="000000" w:themeColor="text1"/>
          </w:rPr>
          <w:footnoteReference w:id="774"/>
        </w:r>
        <w:r>
          <w:t xml:space="preserve"> In sum, the flawed </w:t>
        </w:r>
        <w:r>
          <w:rPr>
            <w:i/>
          </w:rPr>
          <w:t>Bostock</w:t>
        </w:r>
        <w:r>
          <w:t xml:space="preserve"> analogy and ideologically compromised science predictably foundered before the Court.</w:t>
        </w:r>
        <w:r>
          <w:rPr>
            <w:rStyle w:val="FootnoteReference"/>
            <w:color w:val="000000" w:themeColor="text1"/>
          </w:rPr>
          <w:footnoteReference w:id="775"/>
        </w:r>
        <w:r>
          <w:t xml:space="preserve"> Beyond its strategic missteps, </w:t>
        </w:r>
        <w:r>
          <w:rPr>
            <w:i/>
          </w:rPr>
          <w:t>Skrmetti</w:t>
        </w:r>
        <w:r>
          <w:t xml:space="preserve"> illustrates how groupthink can pervade even well-resourced legal organizations when a cohesive team’s cognitive biases go unchallenged. Of course, no one can know whether the presence of ideological diversity within the ACLU’s team would have altered the outcome. Nonetheless, the case demonstrates why welcoming dissenting perspectives advances clients’ best interests because, by many accounts, the ACLU’s advocacy was extremely underwhelming. Its error was not in litigating but in failing to break the echo chamber in which the strategy was developed. Transgender individuals facing discrimination are entitled to their day in court, and the ACLU was entirely right to litigate on behalf of its clients. To test a claim is to predict a tribunal, and that is not a passive art. “To be successful in any situation,” Anthony Kronman writes, “an advocate must understand the concerns of the person he is addressing and modify his arguments accordingly. It follows that a lawyer arguing before a judge who is responsible for maintaining the well-being of the law must himself become a master of analysis from the judicial point of view, for otherwise he will not know what to say to advance his client’s cause.”</w:t>
        </w:r>
        <w:r>
          <w:rPr>
            <w:rStyle w:val="FootnoteReference"/>
            <w:color w:val="000000" w:themeColor="text1"/>
          </w:rPr>
          <w:footnoteReference w:id="776"/>
        </w:r>
        <w:r>
          <w:t xml:space="preserve"> The best Supreme Court advocates, Richard Lazarus reports, “completely rethink a case from the way that it was litigated and argued below,” because cases can be “pitched in multiple ways.”</w:t>
        </w:r>
        <w:r>
          <w:rPr>
            <w:rStyle w:val="FootnoteReference"/>
            <w:color w:val="000000" w:themeColor="text1"/>
          </w:rPr>
          <w:footnoteReference w:id="777"/>
        </w:r>
        <w:r>
          <w:t xml:space="preserve"> A team that speaks one idiom cannot do that, and it will not notice that it cannot, for “consensus on a forecast is not necessarily an indication of its validity: a shared deficiency of reasoning will also yield consensus.”</w:t>
        </w:r>
        <w:r>
          <w:rPr>
            <w:rStyle w:val="FootnoteReference"/>
            <w:color w:val="000000" w:themeColor="text1"/>
          </w:rPr>
          <w:footnoteReference w:id="778"/>
        </w:r>
        <w:r>
          <w:t xml:space="preserve"> No other forum could have given the </w:t>
        </w:r>
        <w:r>
          <w:rPr>
            <w:i/>
          </w:rPr>
          <w:t>Skrmetti</w:t>
        </w:r>
        <w:r>
          <w:t xml:space="preserve"> Plaintiffs full relief on their constitutional claims, and a legal team is free to pursue the fuller remedies that only courts provide. But precisely because the courtroom carries the gravest stakes, a claim should be tested before it is filed.</w:t>
        </w:r>
        <w:r>
          <w:rPr>
            <w:rStyle w:val="FootnoteReference"/>
            <w:color w:val="000000" w:themeColor="text1"/>
          </w:rPr>
          <w:footnoteReference w:id="779"/>
        </w:r>
        <w:r>
          <w:t xml:space="preserve"> I now turn to the NAACP Legal Defense Fund (LDF) as an exercise in what Charles Tilly calls an “individualizing comparison”: setting one case beside another to bring out features that would remain obscured if the first were examined in isolation.</w:t>
        </w:r>
        <w:r>
          <w:rPr>
            <w:rStyle w:val="FootnoteReference"/>
            <w:color w:val="000000" w:themeColor="text1"/>
          </w:rPr>
          <w:footnoteReference w:id="780"/>
        </w:r>
      </w:ins>
    </w:p>
    <w:p>
      <w:pPr>
        <w:pStyle w:val="ListParagraph"/>
        <w:numPr>
          <w:ilvl w:val="0"/>
          <w:numId w:val="8"/>
        </w:numPr>
        <w:spacing w:line="480" w:lineRule="auto"/>
        <w:jc w:val="both"/>
        <w:rPr>
          <w:ins w:id="201368" w:author="Claude" w:date="2026-09-27T12:00:00Z"/>
          <w:i/>
          <w:iCs/>
          <w:color w:val="000000" w:themeColor="text1"/>
        </w:rPr>
      </w:pPr>
      <w:ins w:id="201367" w:author="Claude" w:date="2026-09-27T12:00:00Z">
        <w:r>
          <w:rPr>
            <w:i/>
            <w:color w:val="000000" w:themeColor="text1"/>
          </w:rPr>
          <w:t>Contrasting Case Study: NAACP Legal Defense Fund</w:t>
        </w:r>
      </w:ins>
    </w:p>
    <w:p>
      <w:pPr>
        <w:pStyle w:val="BodyTextFirstIndent"/>
        <w:spacing w:line="480" w:lineRule="auto"/>
        <w:jc w:val="both"/>
        <w:rPr>
          <w:ins w:id="201409" w:author="Claude" w:date="2026-09-27T12:00:00Z"/>
        </w:rPr>
      </w:pPr>
      <w:ins w:id="201408" w:author="Claude" w:date="2026-09-27T12:00:00Z">
        <w:r>
          <w:t>The LDF institutionalized adversarial self-testing during its two-decade campaign against school segregation. Charles Hamilton Houston, for example, established a tradition at Howard University Law School of presenting his facts and legal arguments to students and professors before every Supreme Court argument, with professors playing the Justices.</w:t>
        </w:r>
        <w:r>
          <w:rPr>
            <w:rStyle w:val="FootnoteReference"/>
            <w:color w:val="000000" w:themeColor="text1"/>
          </w:rPr>
          <w:footnoteReference w:id="781"/>
        </w:r>
        <w:r>
          <w:t xml:space="preserve"> Closed to the public but open to every member of the faculty, the student body, and any friendly lawyer in Washington, these sessions filled Howard’s largest meeting hall and brought a wide range of perspectives to bear on each argument.</w:t>
        </w:r>
        <w:r>
          <w:rPr>
            <w:rStyle w:val="FootnoteReference"/>
            <w:color w:val="000000" w:themeColor="text1"/>
          </w:rPr>
          <w:footnoteReference w:id="782"/>
        </w:r>
        <w:r>
          <w:t xml:space="preserve"> Jack Greenberg recalled that “[n]either I nor any LDF lawyer was ever asked a question in actual argument that had not first been asked at the dry run.”</w:t>
        </w:r>
        <w:r>
          <w:rPr>
            <w:rStyle w:val="FootnoteReference"/>
            <w:color w:val="000000" w:themeColor="text1"/>
          </w:rPr>
          <w:footnoteReference w:id="783"/>
        </w:r>
        <w:r>
          <w:t xml:space="preserve"> The testing began long before argument. Mark Tushnet’s study of the campaign records that the national office reviewed “all steps before they are taken” and passed on “proposed pleadings,”</w:t>
        </w:r>
        <w:r>
          <w:rPr>
            <w:rStyle w:val="FootnoteReference"/>
            <w:color w:val="000000" w:themeColor="text1"/>
          </w:rPr>
          <w:footnoteReference w:id="784"/>
        </w:r>
        <w:r>
          <w:t xml:space="preserve"> and that where it could not control “enthusiastic local attorneys,” “the naacp lost every graduate school lawsuit that it handled.”</w:t>
        </w:r>
        <w:r>
          <w:rPr>
            <w:rStyle w:val="FootnoteReference"/>
            <w:color w:val="000000" w:themeColor="text1"/>
          </w:rPr>
          <w:footnoteReference w:id="785"/>
        </w:r>
        <w:r>
          <w:t xml:space="preserve"> Marshall’s own rule was blunter: “you don’t run into court with a legal case overnight.”</w:t>
        </w:r>
        <w:r>
          <w:rPr>
            <w:rStyle w:val="FootnoteReference"/>
            <w:color w:val="000000" w:themeColor="text1"/>
          </w:rPr>
          <w:footnoteReference w:id="786"/>
        </w:r>
        <w:r>
          <w:t xml:space="preserve"> </w:t>
        </w:r>
      </w:ins>
    </w:p>
    <w:p>
      <w:pPr>
        <w:pStyle w:val="BodyTextFirstIndent"/>
        <w:spacing w:line="480" w:lineRule="auto"/>
        <w:jc w:val="both"/>
        <w:rPr>
          <w:ins w:id="201415" w:author="Claude" w:date="2026-09-27T12:00:00Z"/>
        </w:rPr>
      </w:pPr>
      <w:ins w:id="201414" w:author="Claude" w:date="2026-09-27T12:00:00Z">
        <w:r>
          <w:t>Unlike the ACLU, whenever the NAACP sought to launch a new legal attack it convened a pre-filing committee in which a cognitively diverse group of lawyers stress-tested the proposed approach. Nathan Margold’s 1931 report, which set the campaign’s course, had already called for “differences of opinion which should be thrashed out in conference,”</w:t>
        </w:r>
        <w:r>
          <w:rPr>
            <w:rStyle w:val="FootnoteReference"/>
            <w:color w:val="000000" w:themeColor="text1"/>
          </w:rPr>
          <w:footnoteReference w:id="787"/>
        </w:r>
        <w:r>
          <w:t xml:space="preserve"> and the conference at Howard at which the direct attack on segregation was debated was convened so that its advocates could “make their case and counter the opposing sentiment.”</w:t>
        </w:r>
        <w:r>
          <w:rPr>
            <w:rStyle w:val="FootnoteReference"/>
            <w:color w:val="000000" w:themeColor="text1"/>
          </w:rPr>
          <w:footnoteReference w:id="788"/>
        </w:r>
        <w:r>
          <w:t xml:space="preserve"> As Thurgood Marshall’s legal assistant, Robert L. Carter, explained:</w:t>
        </w:r>
      </w:ins>
    </w:p>
    <w:p w14:paraId="560170AF" w14:textId="2313C795" w:rsidR="00A726E0" w:rsidRPr="00A9375B" w:rsidRDefault="00DB56DC" w:rsidP="003D74D8">
      <w:pPr>
        <w:pStyle w:val="BodyTextFirstIndent2"/>
        <w:spacing w:line="480" w:lineRule="auto"/>
        <w:ind w:left="720" w:right="720" w:firstLine="0"/>
        <w:jc w:val="both"/>
        <w:rPr>
          <w:ins w:id="201430" w:author="Claude" w:date="2026-09-27T12:00:00Z"/>
        </w:rPr>
      </w:pPr>
      <w:ins w:id="201426" w:author="Claude" w:date="2026-09-27T12:00:00Z">
        <w:r>
          <w: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w:t>
        </w:r>
      </w:ins>
      <w:ins w:id="201427" w:author="Claude" w:date="2026-09-27T12:00:00Z">
        <w:r>
          <w:t xml:space="preserve">law . . . . There </w:t>
        </w:r>
      </w:ins>
      <w:ins w:id="201428" w:author="Claude" w:date="2026-09-27T12:00:00Z">
        <w:r>
          <w:t xml:space="preserve">were no holds barred. Every idea or concept offered was subjected to close scrutiny and often to withering attack. If the proposition could not be successfully defended against attack by the committee, it was felt, it could not survive court testing.</w:t>
        </w:r>
      </w:ins>
      <w:ins w:id="201429" w:author="Claude" w:date="2026-09-27T12:00:00Z">
        <w:r>
          <w:rPr>
            <w:rStyle w:val="FootnoteReference"/>
          </w:rPr>
          <w:footnoteReference w:id="789"/>
        </w:r>
      </w:ins>
    </w:p>
    <w:p w14:paraId="64ECE876" w14:textId="5863AB56" w:rsidR="001C30CC" w:rsidRDefault="00A726E0" w:rsidP="003D74D8">
      <w:pPr>
        <w:pStyle w:val="BodyTextFirstIndent"/>
        <w:spacing w:line="480" w:lineRule="auto"/>
        <w:jc w:val="both"/>
        <w:rPr>
          <w:ins w:id="201447" w:author="Claude" w:date="2026-09-27T12:00:00Z"/>
        </w:rPr>
      </w:pPr>
      <w:ins w:id="201442" w:author="Claude" w:date="2026-09-27T12:00:00Z">
        <w:r>
          <w:t xml:space="preserve">One observer who watched Marshall argue a year after </w:t>
        </w:r>
      </w:ins>
      <w:ins w:id="201443" w:author="Claude" w:date="2026-09-27T12:00:00Z">
        <w:r>
          <w:rPr>
            <w:i/>
            <w:iCs/>
          </w:rPr>
          <w:t>Sweatt v. Painter</w:t>
        </w:r>
      </w:ins>
      <w:ins w:id="201444" w:author="Claude" w:date="2026-09-27T12:00:00Z">
        <w:r>
          <w:t xml:space="preserve"> described him as “like a chess grandmaster playing against Frankfurter, a good club player.” The explanation lay in his preparation: “Having faced the hardest questions at the practice rounds, Marshall was poised for the justices.”</w:t>
        </w:r>
      </w:ins>
      <w:ins w:id="201445" w:author="Claude" w:date="2026-09-27T12:00:00Z">
        <w:r>
          <w:rPr>
            <w:rStyle w:val="FootnoteReference"/>
            <w:color w:val="000000" w:themeColor="text1"/>
          </w:rPr>
          <w:footnoteReference w:id="790"/>
        </w:r>
      </w:ins>
      <w:ins w:id="201446" w:author="Claude" w:date="2026-09-27T12:00:00Z">
        <w:r>
          <w:t xml:space="preserve"> </w:t>
        </w:r>
      </w:ins>
    </w:p>
    <w:p w14:paraId="6FB75FB9" w14:textId="197E532B" w:rsidR="00A726E0" w:rsidRPr="00A9375B" w:rsidRDefault="001C30CC" w:rsidP="001C30CC">
      <w:pPr>
        <w:pStyle w:val="BodyTextFirstIndent"/>
        <w:spacing w:line="480" w:lineRule="auto"/>
        <w:jc w:val="both"/>
        <w:rPr>
          <w:ins w:id="201480" w:author="Claude" w:date="2026-09-27T12:00:00Z"/>
        </w:rPr>
      </w:pPr>
      <w:ins w:id="201471" w:author="Claude" w:date="2026-09-27T12:00:00Z">
        <w:r>
          <w:t xml:space="preserve">The NAACP’s institutionalized practices enabled it to resist dogma. For example, when historical research for the </w:t>
        </w:r>
      </w:ins>
      <w:ins w:id="201472" w:author="Claude" w:date="2026-09-27T12:00:00Z">
        <w:r>
          <w:rPr>
            <w:i/>
            <w:iCs/>
          </w:rPr>
          <w:t>Brown</w:t>
        </w:r>
      </w:ins>
      <w:ins w:id="201473" w:author="Claude" w:date="2026-09-27T12:00:00Z">
        <w:r>
          <w:t xml:space="preserve"> reargument produced ambiguous findings on the Fourteenth Amendment’s framers, Marshall convened his inner circle with two outside historians for a four-day intensive re-examination of the evidence. As the historian Alfred H. Kelly recalled, “the role I was expected to play was that of devil’s advocate, of a foil to prepare them all for the main event.”</w:t>
        </w:r>
      </w:ins>
      <w:ins w:id="201474" w:author="Claude" w:date="2026-09-27T12:00:00Z">
        <w:r>
          <w:rPr>
            <w:rStyle w:val="FootnoteReference"/>
            <w:color w:val="000000" w:themeColor="text1"/>
          </w:rPr>
          <w:footnoteReference w:id="791"/>
        </w:r>
      </w:ins>
      <w:ins w:id="201475" w:author="Claude" w:date="2026-09-27T12:00:00Z">
        <w:r>
          <w:t xml:space="preserve"> During these strategy conferences, Marshall would “listen a lot and challenge virtually everything everyone said, often fiercely,” forcing participants to defend their positions rather than defer to institutional consensus.</w:t>
        </w:r>
      </w:ins>
      <w:ins w:id="201476" w:author="Claude" w:date="2026-09-27T12:00:00Z">
        <w:r>
          <w:rPr>
            <w:rStyle w:val="FootnoteReference"/>
            <w:color w:val="000000" w:themeColor="text1"/>
          </w:rPr>
          <w:footnoteReference w:id="792"/>
        </w:r>
      </w:ins>
      <w:ins w:id="201477" w:author="Claude" w:date="2026-09-27T12:00:00Z">
        <w:r>
          <w:t xml:space="preserve"> David Krech, a social psychologist who worked with the LDF </w:t>
          <w:t xml:space="preserve">in Charleston, watched Marshall pose the questions he expected the state to ask the next day. When a staff member offered an answer, Marshall “would then lay into that staff member, spell out counter-arguments, refer to counter-citations, and completely destroy, or so I thought, the staff member’s answer.” The exchange “went on and on—between beer and sandwiches and coffee—to Marshall’s seemingly huge amusement.”</w:t>
        </w:r>
      </w:ins>
      <w:ins w:id="201478" w:author="Claude" w:date="2026-09-27T12:00:00Z">
        <w:r>
          <w:rPr>
            <w:rStyle w:val="FootnoteReference"/>
            <w:color w:val="000000" w:themeColor="text1"/>
          </w:rPr>
          <w:footnoteReference w:id="793"/>
        </w:r>
      </w:ins>
      <w:ins w:id="201479" w:author="Claude" w:date="2026-09-27T12:00:00Z">
        <w:r>
          <w:t xml:space="preserve"> Now that is an adversarial room.</w:t>
        </w:r>
      </w:ins>
    </w:p>
    <w:p w14:paraId="165CD7FB" w14:textId="2EDD6059" w:rsidR="00CC616A" w:rsidRPr="00A9375B" w:rsidRDefault="00A726E0" w:rsidP="003D74D8">
      <w:pPr>
        <w:pStyle w:val="BodyTextFirstIndent"/>
        <w:spacing w:line="480" w:lineRule="auto"/>
        <w:jc w:val="both"/>
        <w:rPr>
          <w:ins w:id="201505" w:author="Claude" w:date="2026-09-27T12:00:00Z"/>
        </w:rPr>
      </w:pPr>
      <w:ins w:id="201500" w:author="Claude" w:date="2026-09-27T12:00:00Z">
        <w:r>
          <w:t>Marshall’s genius lay in gathering brilliant minds, letting them debate freely, and extracting the best ideas while discarding the rest.</w:t>
        </w:r>
      </w:ins>
      <w:ins w:id="201501" w:author="Claude" w:date="2026-09-27T12:00:00Z">
        <w:r>
          <w:rPr>
            <w:rStyle w:val="FootnoteReference"/>
            <w:color w:val="000000" w:themeColor="text1"/>
          </w:rPr>
          <w:footnoteReference w:id="794"/>
        </w:r>
      </w:ins>
      <w:ins w:id="201502" w:author="Claude" w:date="2026-09-27T12:00:00Z">
        <w:r>
          <w:t xml:space="preserve"> Whereas in many modern firms challenging the lead partner’s theory may spell trouble or ostracism, at the NAACP participants absorbed a culture of authentic dissent, and no litigator was above anyone else. As one participant put it best, Marshall “could be counted on to support whatever concept I proposed as long as I stood up to any attack leveled against it by our legal group.”</w:t>
        </w:r>
      </w:ins>
      <w:ins w:id="201503" w:author="Claude" w:date="2026-09-27T12:00:00Z">
        <w:r>
          <w:rPr>
            <w:rStyle w:val="FootnoteReference"/>
            <w:color w:val="000000" w:themeColor="text1"/>
          </w:rPr>
          <w:footnoteReference w:id="795"/>
        </w:r>
      </w:ins>
      <w:ins w:id="201504" w:author="Claude" w:date="2026-09-27T12:00:00Z">
        <w:r>
          <w:t xml:space="preserve"> </w:t>
        </w:r>
      </w:ins>
    </w:p>
    <w:p w14:paraId="73B1A0EB" w14:textId="27A60170" w:rsidR="00A02CFD" w:rsidRDefault="00CC616A" w:rsidP="001C30CC">
      <w:pPr>
        <w:pStyle w:val="BodyTextFirstIndent"/>
        <w:spacing w:line="480" w:lineRule="auto"/>
        <w:jc w:val="both"/>
        <w:rPr>
          <w:ins w:id="201517" w:author="Claude" w:date="2026-09-27T12:00:00Z"/>
        </w:rPr>
      </w:pPr>
      <w:ins w:id="201512" w:author="Claude" w:date="2026-09-27T12:00:00Z">
        <w:r>
          <w:t xml:space="preserve">The NAACP’s campaign against school segregation is one of many examples this Note will discuss which demonstrate that dedicating time, energy, and resources to scrutinizing one’s claim before filing is a prerequisite for strong litigation. Such scrutiny is the cure for groupthink</w:t>
        </w:r>
      </w:ins>
      <w:ins w:id="201513" w:author="Claude" w:date="2026-09-27T12:00:00Z">
        <w:r>
          <w:t xml:space="preserve">. It </w:t>
        </w:r>
      </w:ins>
      <w:ins w:id="201514" w:author="Claude" w:date="2026-09-27T12:00:00Z">
        <w:r>
          <w:t xml:space="preserve">counteracts the cognitive biases that any cohesive team, however talented, will develop when united by a shared objective of zealous advocacy for its client.</w:t>
        </w:r>
      </w:ins>
      <w:ins w:id="201515" w:author="Claude" w:date="2026-09-27T12:00:00Z">
        <w:r>
          <w:rPr>
            <w:rStyle w:val="FootnoteReference"/>
          </w:rPr>
          <w:footnoteReference w:id="796"/>
        </w:r>
      </w:ins>
      <w:ins w:id="201516" w:author="Claude" w:date="2026-09-27T12:00:00Z">
        <w:r>
          <w:t xml:space="preserve"> </w:t>
        </w:r>
      </w:ins>
    </w:p>
    <w:p>
      <w:pPr>
        <w:pStyle w:val="BodyTextFirstIndent"/>
        <w:spacing w:line="480" w:lineRule="auto"/>
        <w:jc w:val="both"/>
        <w:rPr>
          <w:ins w:id="201555" w:author="Claude" w:date="2026-09-27T12:00:00Z"/>
        </w:rPr>
      </w:pPr>
      <w:ins w:id="201554" w:author="Claude" w:date="2026-09-27T12:00:00Z">
        <w:r>
          <w:t>Contrast the NAACP’s team, whose members spoke a range of interpretive languages, with the Strangio-led ACLU, which, as one commentator put it,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color w:val="000000" w:themeColor="text1"/>
          </w:rPr>
          <w:footnoteReference w:id="797"/>
        </w:r>
        <w:r>
          <w:t xml:space="preserve"> This is not to say that the </w:t>
        </w:r>
        <w:r>
          <w:rPr>
            <w:i/>
          </w:rPr>
          <w:t>Skrmetti</w:t>
        </w:r>
        <w:r>
          <w:t xml:space="preserve"> advocates should have forsaken the complete relief that only formal adjudication offers. It is to say that they owed their clients the rigor of first confirming that their theory could withstand adversarial scrutiny.</w:t>
        </w:r>
        <w:r>
          <w:rPr>
            <w:rStyle w:val="FootnoteReference"/>
            <w:color w:val="000000" w:themeColor="text1"/>
          </w:rPr>
          <w:footnoteReference w:id="798"/>
        </w:r>
        <w:r>
          <w:t xml:space="preserve"> They should have followed the playbook of the NAACP, which “avoid[ed] litigating until they had an ‘air-tight case’ [because] the issues were ‘so big that we cannot afford to omit any detail of preparation in a hasty attempt at grandstand play.’”</w:t>
        </w:r>
        <w:r>
          <w:rPr>
            <w:rStyle w:val="FootnoteReference"/>
            <w:color w:val="000000" w:themeColor="text1"/>
          </w:rPr>
          <w:footnoteReference w:id="799"/>
        </w:r>
        <w:r>
          <w:t xml:space="preserve"> The ACLU itself once kept a gate of its own. In the years of its Women’s Rights Project, Fred Strebeigh records, “the ACLU had an ironclad rule. Although ACLU affiliates could bring cases independently, ACLU rules forbade bringing a case to the Supreme Court without first checking with the national office.”</w:t>
        </w:r>
        <w:r>
          <w:rPr>
            <w:rStyle w:val="FootnoteReference"/>
            <w:color w:val="000000" w:themeColor="text1"/>
          </w:rPr>
          <w:footnoteReference w:id="800"/>
        </w:r>
        <w:r>
          <w:t xml:space="preserve"> Same organization, fifty years apart, with the forge and without it. </w:t>
        </w:r>
      </w:ins>
    </w:p>
    <w:p>
      <w:pPr>
        <w:pStyle w:val="ListParagraph"/>
        <w:numPr>
          <w:ilvl w:val="0"/>
          <w:numId w:val="8"/>
        </w:numPr>
        <w:spacing w:line="480" w:lineRule="auto"/>
        <w:jc w:val="both"/>
        <w:rPr>
          <w:ins w:id="201557" w:author="Claude" w:date="2026-09-27T12:00:00Z"/>
          <w:i/>
          <w:iCs/>
          <w:color w:val="000000" w:themeColor="text1"/>
        </w:rPr>
      </w:pPr>
      <w:ins w:id="201556" w:author="Claude" w:date="2026-09-27T12:00:00Z">
        <w:r>
          <w:rPr>
            <w:i/>
            <w:color w:val="000000" w:themeColor="text1"/>
          </w:rPr>
          <w:t>Roadmap</w:t>
        </w:r>
      </w:ins>
    </w:p>
    <w:p>
      <w:pPr>
        <w:pStyle w:val="BodyTextFirstIndent"/>
        <w:spacing w:line="480" w:lineRule="auto"/>
        <w:jc w:val="both"/>
        <w:rPr>
          <w:ins w:id="201570" w:author="Claude" w:date="2026-09-27T12:00:00Z"/>
        </w:rPr>
      </w:pPr>
      <w:ins w:id="201569" w:author="Claude" w:date="2026-09-27T12:00:00Z">
        <w:r>
          <w:t xml:space="preserve">Before the roadmap, the argument in brief. Every society examined in this Note made a would-be litigant pay to enter its courts, not in money but in risk: an oath sworn before the gods, a reputation staked before one’s neighbors, a rule that the loser paid. These entry fees, which this Note calls Quality Control Mechanisms (QCMs), could be paid in only one way, by testing the strength of the claim before filing it. A claim that passed the test went to court. A claim that failed it, and could be satisfied elsewhere, went to the elders’ council, the Roman </w:t>
        </w:r>
        <w:r>
          <w:rPr>
            <w:i/>
          </w:rPr>
          <w:t>compromissum</w:t>
        </w:r>
        <w:r>
          <w:t>, or the church meeting, forums that stood apart from the courts and took in what the courts should not hear.</w:t>
        </w:r>
        <w:r>
          <w:rPr>
            <w:rStyle w:val="FootnoteReference"/>
            <w:color w:val="000000" w:themeColor="text1"/>
          </w:rPr>
          <w:footnoteReference w:id="801"/>
        </w:r>
        <w:r>
          <w:t xml:space="preserve"> A claim that failed it but could be satisfied nowhere else, a constitutional claim, say, was repaired first and filed afterward. The field of dispute resolution remembers this arrangement for what it did to court dockets. That is not the point. The point is what the test did to the advocate: it forced him, before he committed himself, to hear his assumptions attacked by people who did not share them, which is precisely the exercise that modern psychology prescribes against groupthink. (In this Note the team that develops a claim is a “Deliberative Body,”</w:t>
        </w:r>
        <w:r>
          <w:rPr>
            <w:rStyle w:val="FootnoteReference"/>
            <w:color w:val="000000" w:themeColor="text1"/>
          </w:rPr>
          <w:footnoteReference w:id="802"/>
        </w:r>
        <w:r>
          <w:t xml:space="preserve"> and carrying the claim out of its own chambers and into the adversarial arena is “Externalization.”</w:t>
        </w:r>
        <w:r>
          <w:rPr>
            <w:rStyle w:val="FootnoteReference"/>
            <w:color w:val="000000" w:themeColor="text1"/>
          </w:rPr>
          <w:footnoteReference w:id="803"/>
        </w:r>
        <w:r>
          <w:t>) The United States inherited the old arrangement and dismantled it. It moved the burden of sorting claims from the disputant, before filing, to the courts, after filing, and the experiment failed in both of its purposes. The forums it built collapsed onto the same track as trial, so the dockets filled anyway; that failure the field has noticed. The other it has not: there is no longer any occasion on which a Deliberative Body must test its assumptions before the courtroom tests them for it. That is the loss this Note is about, and I have set the whole of it out in the following figure before taking it up in detail.</w:t>
        </w:r>
      </w:ins>
    </w:p>
    <w:p w14:paraId="64D47805" w14:textId="5D1B9576" w:rsidR="00E60807" w:rsidRPr="00A9375B" w:rsidRDefault="00B166F7" w:rsidP="003D74D8">
      <w:pPr>
        <w:jc w:val="both"/>
        <w:rPr>
          <w:ins w:id="201572" w:author="Claude" w:date="2026-09-27T12:00:00Z"/>
          <w:color w:val="000000" w:themeColor="text1"/>
        </w:rPr>
      </w:pPr>
      <w:ins w:id="201571" w:author="Claude" w:date="2026-09-27T12:00:00Z">
        <w:r>
          <w:rPr>
            <w:noProof/>
            <w:color w:val="000000" w:themeColor="text1"/>
            <w14:ligatures w14:val="standardContextual"/>
          </w:rPr>
          <w:drawing>
            <wp:inline distT="0" distB="0" distL="0" distR="0" wp14:anchorId="1DCF783A" wp14:editId="4398F9C9">
              <wp:extent cx="5943600" cy="2175934"/>
              <wp:effectExtent l="0" t="0" r="0" b="0"/>
              <wp:docPr id="1831582832"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183158283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ins>
    </w:p>
    <w:p w14:paraId="3CABCD77" w14:textId="22292CCF" w:rsidR="00B16CD7" w:rsidRDefault="001971D1" w:rsidP="001971D1">
      <w:pPr>
        <w:pStyle w:val="BodyTextFirstIndent"/>
        <w:spacing w:line="480" w:lineRule="auto"/>
        <w:jc w:val="both"/>
        <w:rPr>
          <w:ins w:id="201593" w:author="Claude" w:date="2026-09-27T12:00:00Z"/>
        </w:rPr>
      </w:pPr>
      <w:ins w:id="201587" w:author="Claude" w:date="2026-09-27T12:00:00Z">
        <w:r>
          <w:t xml:space="preserve">This Note argues that throughout history, across cultures and civilizations, advocacy teams looked much more like the NAACP than the ACLU, and that, for reasons unique to the history of American law, we have many more teams composed like the ACLU’s than clients deserve or our legal system can tolerate. Section II explains why capable legal teams fall into this trap. Drawing on psychologist Irving Janis’s work on groupthink, it shows </w:t>
        </w:r>
      </w:ins>
      <w:ins w:id="201588" w:author="Claude" w:date="2026-09-27T12:00:00Z">
        <w:r>
          <w:t xml:space="preserve">that </w:t>
        </w:r>
      </w:ins>
      <w:ins w:id="201589" w:author="Claude" w:date="2026-09-27T12:00:00Z">
        <w:r>
          <w:t xml:space="preserve">the more like-minded a team becomes, the more zealous its advocacy seems to its own members. This fallacious thinking starts in law school, where “[t]he ideological imbalance that pervades legal academia not only fosters groupthink, it undermines the ability of law schools to train effective legal advocates.”</w:t>
        </w:r>
      </w:ins>
      <w:ins w:id="201590" w:author="Claude" w:date="2026-09-27T12:00:00Z">
        <w:r>
          <w:rPr>
            <w:rStyle w:val="FootnoteReference"/>
            <w:rFonts w:eastAsiaTheme="majorEastAsia"/>
          </w:rPr>
          <w:footnoteReference w:id="804"/>
        </w:r>
      </w:ins>
      <w:ins w:id="201591" w:author="Claude" w:date="2026-09-27T12:00:00Z">
        <w:r>
          <w:t xml:space="preserve"> And as the ACLU’s experience shows, when “legal professionals only engage with like-minded colleagues, they may fail to anticipate and truly understand opposing arguments, to the detriment of client interests.”</w:t>
        </w:r>
      </w:ins>
      <w:ins w:id="201592" w:author="Claude" w:date="2026-09-27T12:00:00Z">
        <w:r>
          <w:rPr>
            <w:rStyle w:val="FootnoteReference"/>
            <w:rFonts w:eastAsiaTheme="majorEastAsia"/>
          </w:rPr>
          <w:footnoteReference w:id="805"/>
        </w:r>
      </w:ins>
    </w:p>
    <w:p w14:paraId="25F62094" w14:textId="20A8C815" w:rsidR="00B16CD7" w:rsidRDefault="00B16CD7" w:rsidP="00B16CD7">
      <w:pPr>
        <w:pStyle w:val="BodyTextFirstIndent"/>
        <w:spacing w:line="480" w:lineRule="auto"/>
        <w:jc w:val="both"/>
        <w:rPr>
          <w:ins w:id="201621" w:author="Claude" w:date="2026-09-27T12:00:00Z"/>
        </w:rPr>
      </w:pPr>
      <w:ins w:id="201615" w:author="Claude" w:date="2026-09-27T12:00:00Z">
        <w:r>
          <w:t>Section III turns to the Constitutional Convention of 1787, which demonstrates that deliberate institutional design can prevent insular advocacy. The framers, whose client was the new nation,</w:t>
        </w:r>
      </w:ins>
      <w:ins w:id="201616" w:author="Claude" w:date="2026-09-27T12:00:00Z">
        <w:r>
          <w:rPr>
            <w:rStyle w:val="FootnoteReference"/>
            <w:rFonts w:eastAsiaTheme="majorEastAsia"/>
          </w:rPr>
          <w:footnoteReference w:id="806"/>
        </w:r>
      </w:ins>
      <w:ins w:id="201617" w:author="Claude" w:date="2026-09-27T12:00:00Z">
        <w:r>
          <w:t xml:space="preserve"> spent months testing their own claim—that the nation needed a new Constitution—under rules “devised to free the delegates to float new ideas, change their minds, alter course, and flexibly respond to new arguments, evidence, and proposals without fear of recrimination.”</w:t>
        </w:r>
      </w:ins>
      <w:ins w:id="201618" w:author="Claude" w:date="2026-09-27T12:00:00Z">
        <w:r>
          <w:rPr>
            <w:rStyle w:val="FootnoteReference"/>
            <w:rFonts w:eastAsiaTheme="majorEastAsia"/>
          </w:rPr>
          <w:footnoteReference w:id="807"/>
        </w:r>
      </w:ins>
      <w:ins w:id="201619" w:author="Claude" w:date="2026-09-27T12:00:00Z">
        <w:r>
          <w:t xml:space="preserve"> Benjamin Franklin captured the spirit of those rules in his closing speech: “I have experienced many </w:t>
          <w:t>Instances of being oblig’d, by better Information or fuller Consideration, to change Opinions even on important Subjects, which I once thought right, but found to be otherwise.”</w:t>
        </w:r>
      </w:ins>
      <w:ins w:id="201620" w:author="Claude" w:date="2026-09-27T12:00:00Z">
        <w:r>
          <w:rPr>
            <w:rStyle w:val="FootnoteReference"/>
            <w:rFonts w:eastAsiaTheme="majorEastAsia"/>
          </w:rPr>
          <w:footnoteReference w:id="808"/>
        </w:r>
      </w:ins>
    </w:p>
    <w:p w14:paraId="6E4C9924" w14:textId="77777777" w:rsidR="00B16CD7" w:rsidRDefault="00B16CD7" w:rsidP="00B16CD7">
      <w:pPr>
        <w:pStyle w:val="BodyTextFirstIndent"/>
        <w:spacing w:line="480" w:lineRule="auto"/>
        <w:jc w:val="both"/>
        <w:rPr>
          <w:ins w:id="201644" w:author="Claude" w:date="2026-09-27T12:00:00Z"/>
        </w:rPr>
      </w:pPr>
      <w:ins w:id="201640" w:author="Claude" w:date="2026-09-27T12:00:00Z">
        <w:r>
          <w:t>Section IV traces the 4,000-year history of pre-filing dispute resolution across Ancient Near Eastern, Classical Greek, Roman, Traditional Chinese, Indigenous, and Medieval English societies. Each society attached profound personal consequences to formal litigation—consequences this Note calls Quality Control Mechanisms (QCMs)—which compelled would-be litigants to test their claims before filing. For example, a Roman advocate had to swear that “he would not present any case that he considered desperate, groundless, or based on untruths,”</w:t>
        </w:r>
      </w:ins>
      <w:ins w:id="201641" w:author="Claude" w:date="2026-09-27T12:00:00Z">
        <w:r>
          <w:rPr>
            <w:rStyle w:val="FootnoteReference"/>
            <w:rFonts w:eastAsiaTheme="majorEastAsia"/>
          </w:rPr>
          <w:footnoteReference w:id="809"/>
        </w:r>
      </w:ins>
      <w:ins w:id="201642" w:author="Claude" w:date="2026-09-27T12:00:00Z">
        <w:r>
          <w:t xml:space="preserve"> while Confucian teaching held that before bringing a claim to court, “the correct attitude would be that of self-scrutiny.”</w:t>
        </w:r>
      </w:ins>
      <w:ins w:id="201643" w:author="Claude" w:date="2026-09-27T12:00:00Z">
        <w:r>
          <w:rPr>
            <w:rStyle w:val="FootnoteReference"/>
            <w:rFonts w:eastAsiaTheme="majorEastAsia"/>
          </w:rPr>
          <w:footnoteReference w:id="810"/>
        </w:r>
      </w:ins>
    </w:p>
    <w:p w14:paraId="0B9BEFF2" w14:textId="77777777" w:rsidR="00B16CD7" w:rsidRDefault="00B16CD7" w:rsidP="00B16CD7">
      <w:pPr>
        <w:pStyle w:val="BodyTextFirstIndent"/>
        <w:spacing w:line="480" w:lineRule="auto"/>
        <w:jc w:val="both"/>
        <w:rPr>
          <w:ins w:id="201655" w:author="Claude" w:date="2026-09-27T12:00:00Z"/>
        </w:rPr>
      </w:pPr>
      <w:ins w:id="201652" w:author="Claude" w:date="2026-09-27T12:00:00Z">
        <w:r>
          <w:t>Section V examines the history of American law and explains why the previous section’s practices are categorically distinct from American advocacy today. There, I argue that three historical developments eroded the practice of pre-filing scrutiny. First, the profession chose the zealous advocate over the objective case assessor, adopting George Sharswood’s view that “the lawyer, who refuses his professional assistance because in his judgment the case is unjust and indefensible, usurps the functions of both judge and jury.”</w:t>
        </w:r>
      </w:ins>
      <w:ins w:id="201653" w:author="Claude" w:date="2026-09-27T12:00:00Z">
        <w:r>
          <w:rPr>
            <w:rStyle w:val="FootnoteReference"/>
            <w:rFonts w:eastAsiaTheme="majorEastAsia"/>
          </w:rPr>
          <w:footnoteReference w:id="811"/>
        </w:r>
      </w:ins>
      <w:ins w:id="201654" w:author="Claude" w:date="2026-09-27T12:00:00Z">
        <w:r>
          <w:t xml:space="preserve"> Second, the legal system’s expanding capacity for disputes let lawyers capture the informal forums that had once absorbed weak claims. </w:t>
          <w:t>Third, hourly billing and the American Rule on attorneys’ fees shielded lawyers and clients alike from the cost of pursuing weak claims.</w:t>
        </w:r>
      </w:ins>
    </w:p>
    <w:p w14:paraId="7850BFBF" w14:textId="7DAD623E" w:rsidR="00B16CD7" w:rsidRDefault="00B16CD7" w:rsidP="00B16CD7">
      <w:pPr>
        <w:pStyle w:val="BodyTextFirstIndent"/>
        <w:spacing w:line="480" w:lineRule="auto"/>
        <w:jc w:val="both"/>
        <w:rPr>
          <w:ins w:id="201664" w:author="Claude" w:date="2026-09-27T12:00:00Z"/>
        </w:rPr>
      </w:pPr>
      <w:ins w:id="201661" w:author="Claude" w:date="2026-09-27T12:00:00Z">
        <w:r>
          <w:t>Section VI explores, in psychology and practice, why modern legal teams no longer test their claims and how they can start again. “A law firm might press a doomed litigation strategy,” Cass Sunstein and Reid Hastie observe, in part because a young lawyer who warns the firm’s senior members “that their current litigation strategy is way off course” may “risk her own position inside the firm.”</w:t>
        </w:r>
      </w:ins>
      <w:ins w:id="201662" w:author="Claude" w:date="2026-09-27T12:00:00Z">
        <w:r>
          <w:rPr>
            <w:rStyle w:val="FootnoteReference"/>
            <w:color w:val="000000" w:themeColor="text1"/>
          </w:rPr>
          <w:footnoteReference w:id="812"/>
        </w:r>
      </w:ins>
      <w:ins w:id="201663" w:author="Claude" w:date="2026-09-27T12:00:00Z">
        <w:r>
          <w:t xml:space="preserve"> Even when an organization’s top litigators are on the case, and even when they prepare through moots and other traditional practices, they can still produce poor advocacy if everyone around them thinks alike or if they do not deliberately seek out cognitively diverse perspectives. </w:t>
        </w:r>
      </w:ins>
    </w:p>
    <w:p w14:paraId="04084143" w14:textId="0610A107" w:rsidR="001B76BD" w:rsidRDefault="00000000">
      <w:pPr>
        <w:pStyle w:val="BodyTextFirstIndent"/>
        <w:spacing w:line="480" w:lineRule="auto"/>
        <w:jc w:val="both"/>
        <w:rPr>
          <w:ins w:id="201674" w:author="Claude" w:date="2026-09-27T12:00:00Z"/>
        </w:rPr>
      </w:pPr>
      <w:ins w:id="201670" w:author="Claude" w:date="2026-09-27T12:00:00Z">
        <w:r>
          <w:t xml:space="preserve">Section VII moves from theory to practice. It draws on interviews I conducted with some of the country’s top Supreme Court advocates, such as Carter Phillips and Michael Huston, who told me how much of that theory translates into their work. It closes with the Note’s final case study: Theodore Olson and David Boies’s challenge to California’s Proposition 8. Mindful of his own conservative reputation, Olson recruited his former </w:t>
        </w:r>
      </w:ins>
      <w:ins w:id="201671" w:author="Claude" w:date="2026-09-27T12:00:00Z">
        <w:r>
          <w:rPr>
            <w:i/>
            <w:iCs/>
          </w:rPr>
          <w:t>Bush v. Gore</w:t>
        </w:r>
      </w:ins>
      <w:ins w:id="201672" w:author="Claude" w:date="2026-09-27T12:00:00Z">
        <w:r>
          <w:t xml:space="preserve"> adversary to ensure that any legal attack would be attacked from ideologically diverse perspectives. As Olson later wrote, “[w]e all too often consult only with people who give us the answer we want to hear or the answer that they think we want to hear.”</w:t>
        </w:r>
      </w:ins>
      <w:ins w:id="201673" w:author="Claude" w:date="2026-09-27T12:00:00Z">
        <w:r>
          <w:rPr>
            <w:rStyle w:val="FootnoteReference"/>
            <w:color w:val="000000" w:themeColor="text1"/>
          </w:rPr>
          <w:footnoteReference w:id="813"/>
        </w:r>
      </w:ins>
    </w:p>
    <w:p w14:paraId="4CD9025D" w14:textId="7845F5EE" w:rsidR="00B16CD7" w:rsidRDefault="00B16CD7" w:rsidP="00B16CD7">
      <w:pPr>
        <w:pStyle w:val="BodyTextFirstIndent"/>
        <w:spacing w:line="480" w:lineRule="auto"/>
        <w:jc w:val="both"/>
        <w:rPr>
          <w:ins w:id="201680" w:author="Claude" w:date="2026-09-27T12:00:00Z"/>
        </w:rPr>
      </w:pPr>
      <w:ins w:id="201675" w:author="Claude" w:date="2026-09-27T12:00:00Z">
        <w:r>
          <w:t xml:space="preserve">Finally, Section VIII concludes with my thoughts on the future of advocacy. For most of recorded history, personal consequences forced disputants to test their claims before they went to court. Today, almost nothing does, so the discipline must come from advocates themselves. </w:t>
        </w:r>
      </w:ins>
      <w:ins w:id="201676" w:author="Claude" w:date="2026-09-27T12:00:00Z">
        <w:r>
          <w:t xml:space="preserve">Curiously</w:t>
        </w:r>
      </w:ins>
      <w:ins w:id="201677" w:author="Claude" w:date="2026-09-27T12:00:00Z">
        <w:r>
          <w:t xml:space="preserve">, despite having every incentive under the norms of zealous advocacy and hourly billing to implement my methods, the ACLUs of the world are much more pervasive than the NAACPs. Those methods, as the Note shows, are a prerequisite for remarkable advocacy. </w:t>
        </w:r>
      </w:ins>
      <w:ins w:id="201678" w:author="Claude" w:date="2026-09-27T12:00:00Z">
        <w:r>
          <w:t xml:space="preserve">We once tested our claims before filing them. We should do so again.</w:t>
        </w:r>
      </w:ins>
      <w:ins w:id="201679" w:author="Claude" w:date="2026-09-27T12:00:00Z">
        <w:r>
          <w:t xml:space="preserve"> </w:t>
        </w:r>
      </w:ins>
    </w:p>
    <w:p w14:paraId="04F0C2B7" w14:textId="77777777" w:rsidR="001B515B" w:rsidRPr="001B515B" w:rsidRDefault="001B515B" w:rsidP="001B515B">
      <w:pPr>
        <w:spacing w:line="480" w:lineRule="auto"/>
        <w:ind w:left="360"/>
        <w:rPr>
          <w:del w:id="200001" w:author="Claude" w:date="2026-09-27T12:00:00Z"/>
          <w:smallCaps/>
          <w:color w:val="000000" w:themeColor="text1"/>
        </w:rPr>
      </w:pPr>
    </w:p>
    <w:p w14:paraId="2959CB45" w14:textId="267CE834" w:rsidR="009178CF" w:rsidRPr="00A9375B" w:rsidRDefault="00D57597" w:rsidP="003D74D8">
      <w:pPr>
        <w:pStyle w:val="BodyTextFirstIndent"/>
        <w:spacing w:line="480" w:lineRule="auto"/>
        <w:jc w:val="both"/>
        <w:rPr>
          <w:del w:id="200022" w:author="Claude" w:date="2026-09-27T12:00:00Z"/>
        </w:rPr>
      </w:pPr>
      <w:del w:id="200002" w:author="Claude" w:date="2026-09-27T12:00:00Z">
        <w:r>
          <w:delText>Contemporary Alternative Dispute Resolution (ADR) has lost the plot. On the prevailing understanding, a “dispute” is a conflict that a team of advocates (a “Deliberative Body”</w:delText>
        </w:r>
      </w:del>
      <w:del w:id="200003" w:author="Claude" w:date="2026-09-27T12:00:00Z">
        <w:r>
          <w:rPr>
            <w:rStyle w:val="FootnoteReference"/>
            <w:color w:val="000000" w:themeColor="text1"/>
          </w:rPr>
          <w:footnoteReference w:id="2"/>
        </w:r>
      </w:del>
      <w:del w:id="200004" w:author="Claude" w:date="2026-09-27T12:00:00Z">
        <w:r>
          <w:delText>) has already conveyed from its internal chambers into the adversarial arena (“Externalized”</w:delText>
        </w:r>
      </w:del>
      <w:del w:id="200005" w:author="Claude" w:date="2026-09-27T12:00:00Z">
        <w:r>
          <w:rPr>
            <w:rStyle w:val="FootnoteReference"/>
            <w:color w:val="000000" w:themeColor="text1"/>
          </w:rPr>
          <w:footnoteReference w:id="3"/>
        </w:r>
      </w:del>
      <w:del w:id="200006" w:author="Claude" w:date="2026-09-27T12:00:00Z">
        <w:r>
          <w:delText>). Negotiation, mediation, and arbitration earn the name “alternatives” because each can relieve a party’s normative demands</w:delText>
        </w:r>
      </w:del>
      <w:bookmarkStart w:id="2" w:name="_Ref214049453"/>
      <w:del w:id="200007" w:author="Claude" w:date="2026-09-27T12:00:00Z">
        <w:r>
          <w:delText>.</w:delText>
        </w:r>
      </w:del>
      <w:del w:id="200008" w:author="Claude" w:date="2026-09-27T12:00:00Z">
        <w:r>
          <w:rPr>
            <w:rStyle w:val="FootnoteReference"/>
            <w:color w:val="000000" w:themeColor="text1"/>
          </w:rPr>
          <w:footnoteReference w:id="4"/>
        </w:r>
      </w:del>
      <w:bookmarkEnd w:id="2"/>
      <w:del w:id="200009" w:author="Claude" w:date="2026-09-27T12:00:00Z">
        <w:r>
          <w:delText xml:space="preserve"> Choosing among these parallel forums is now the first step in the </w:delText>
          <w:lastRenderedPageBreak/>
          <w:delText xml:space="preserve">dispute-resolution process, and whether Externalization is merited at all is no longer a question. That neglect stems from a sustained separation from historical practice.</w:delText>
        </w:r>
      </w:del>
      <w:del w:id="200010" w:author="Claude" w:date="2026-09-27T12:00:00Z">
        <w:r>
          <w:rPr>
            <w:rStyle w:val="FootnoteReference"/>
            <w:color w:val="000000" w:themeColor="text1"/>
          </w:rPr>
          <w:footnoteReference w:id="5"/>
        </w:r>
      </w:del>
      <w:del w:id="200011" w:author="Claude" w:date="2026-09-27T12:00:00Z">
        <w:r>
          <w:delText xml:space="preserve"> The 1976 Pound Conference ratified the divorce, when “Frank Sander delivered his famous remarks [and] the modern dispute resolution movement was born.”</w:delText>
        </w:r>
      </w:del>
      <w:del w:id="200012" w:author="Claude" w:date="2026-09-27T12:00:00Z">
        <w:r>
          <w:rPr>
            <w:rStyle w:val="FootnoteReference"/>
            <w:color w:val="000000" w:themeColor="text1"/>
          </w:rPr>
          <w:footnoteReference w:id="6"/>
        </w:r>
      </w:del>
      <w:del w:id="200013" w:author="Claude" w:date="2026-09-27T12:00:00Z">
        <w:r>
          <w:delText xml:space="preserve"> And what were Frank Sander’s famous remarks? That “one might envision by the year 2000 not simply a courthouse but a Dispute Resolution Center, where the grievant would first be channeled through a screening clerk.”</w:delText>
        </w:r>
      </w:del>
      <w:del w:id="200014" w:author="Claude" w:date="2026-09-27T12:00:00Z">
        <w:r>
          <w:rPr>
            <w:rStyle w:val="FootnoteReference"/>
          </w:rPr>
          <w:footnoteReference w:id="7"/>
        </w:r>
      </w:del>
      <w:del w:id="200015" w:author="Claude" w:date="2026-09-27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bookmarkStart w:id="3" w:name="_Ref222257400"/>
      <w:del w:id="200016" w:author="Claude" w:date="2026-09-27T12:00:00Z">
        <w:r>
          <w:rPr>
            <w:rStyle w:val="FootnoteReference"/>
            <w:color w:val="000000" w:themeColor="text1"/>
          </w:rPr>
          <w:footnoteReference w:id="8"/>
        </w:r>
      </w:del>
      <w:bookmarkEnd w:id="3"/>
      <w:del w:id="200017" w:author="Claude" w:date="2026-09-27T12:00:00Z">
        <w:r>
          <w:delText xml:space="preserve"> Perhaps the ignorance of modern practitioners is forgivable. Like the prisoners in Plato’s cave, chained to face </w:delText>
          <w:lastRenderedPageBreak/>
          <w:delText>the wall and mistaking the shadows projected before them for the whole of reality,</w:delText>
        </w:r>
      </w:del>
      <w:del w:id="200018" w:author="Claude" w:date="2026-09-27T12:00:00Z">
        <w:r>
          <w:rPr>
            <w:rStyle w:val="FootnoteReference"/>
            <w:color w:val="000000" w:themeColor="text1"/>
          </w:rPr>
          <w:footnoteReference w:id="9"/>
        </w:r>
      </w:del>
      <w:del w:id="200019" w:author="Claude" w:date="2026-09-27T12:00:00Z">
        <w:r>
          <w:delText xml:space="preserve"> Deliberative Bodies are chained to Sander’s vision of selecting among external forums and mistake it for the whole of dispute resolution. The field’s theoretical ambitions have narrowed as it matured.</w:delText>
        </w:r>
      </w:del>
      <w:del w:id="200020" w:author="Claude" w:date="2026-09-27T12:00:00Z">
        <w:r>
          <w:rPr>
            <w:rStyle w:val="FootnoteReference"/>
            <w:color w:val="000000" w:themeColor="text1"/>
          </w:rPr>
          <w:footnoteReference w:id="10"/>
        </w:r>
      </w:del>
      <w:del w:id="200021" w:author="Claude" w:date="2026-09-27T12:00:00Z">
        <w:r>
          <w:delText xml:space="preserve"> </w:delText>
        </w:r>
      </w:del>
    </w:p>
    <w:p w14:paraId="72F3002C" w14:textId="69A75B2E" w:rsidR="003E09AC" w:rsidRPr="00A9375B" w:rsidRDefault="005A4EE5" w:rsidP="003D74D8">
      <w:pPr>
        <w:pStyle w:val="BodyTextFirstIndent"/>
        <w:spacing w:line="480" w:lineRule="auto"/>
        <w:jc w:val="both"/>
        <w:rPr>
          <w:del w:id="200028" w:author="Claude" w:date="2026-09-27T12:00:00Z"/>
        </w:rPr>
      </w:pPr>
      <w:del w:id="200023" w:author="Claude" w:date="2026-09-27T12:00:00Z">
        <w:r>
          <w:delText>Step outside the cave, and the world that comes into view is arranged nothing like ours. Throughout much of recorded human history, the conceptual analogs to negotiation, mediation, arbitration, and trial did not occupy the same track.</w:delText>
        </w:r>
      </w:del>
      <w:del w:id="200024" w:author="Claude" w:date="2026-09-27T12:00:00Z">
        <w:r>
          <w:rPr>
            <w:rStyle w:val="FootnoteReference"/>
          </w:rPr>
          <w:footnoteReference w:id="11"/>
        </w:r>
      </w:del>
      <w:del w:id="200025" w:author="Claude" w:date="2026-09-27T12:00:00Z">
        <w:r>
          <w:delTex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w:delText>
          <w:lastRenderedPageBreak/>
          <w:delText>to scrutinize the strength of their claims. 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del w:id="200026" w:author="Claude" w:date="2026-09-27T12:00:00Z">
        <w:r>
          <w:rPr>
            <w:rStyle w:val="FootnoteReference"/>
            <w:color w:val="000000" w:themeColor="text1"/>
          </w:rPr>
          <w:footnoteReference w:id="12"/>
        </w:r>
      </w:del>
      <w:del w:id="200027" w:author="Claude" w:date="2026-09-27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Because my thesis involves several moving parts and </w:delText>
          <w:lastRenderedPageBreak/>
          <w:delText>defined terms, I have presented it in the following figure, which abstracts the main points, before turning to the history.</w:delText>
        </w:r>
      </w:del>
    </w:p>
    <w:p w14:paraId="64D47805" w14:textId="5D1B9576" w:rsidR="00E60807" w:rsidRPr="00A9375B" w:rsidRDefault="00B166F7" w:rsidP="003D74D8">
      <w:pPr>
        <w:jc w:val="both"/>
        <w:rPr>
          <w:del w:id="200030" w:author="Claude" w:date="2026-09-27T12:00:00Z"/>
          <w:color w:val="000000" w:themeColor="text1"/>
        </w:rPr>
      </w:pPr>
      <w:del w:id="200029" w:author="Claude" w:date="2026-09-27T12:00:00Z">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del>
    </w:p>
    <w:p w14:paraId="7F8C2B82" w14:textId="50A370BB" w:rsidR="00655A0D" w:rsidRPr="00A9375B" w:rsidRDefault="003E09AC" w:rsidP="003D74D8">
      <w:pPr>
        <w:pStyle w:val="BodyTextFirstIndent"/>
        <w:spacing w:line="480" w:lineRule="auto"/>
        <w:jc w:val="both"/>
        <w:rPr>
          <w:del w:id="200048" w:author="Claude" w:date="2026-09-27T12:00:00Z"/>
        </w:rPr>
      </w:pPr>
      <w:del w:id="200031" w:author="Claude" w:date="2026-09-27T12:00:00Z">
        <w:r>
          <w:delText>A hypothetical will illustrate how my theory of ADR operates in practice. The characters and events are fictional; the historical records behind them are not. The setting is Mesopotamia circa 1800 BCE, in the city of Larsa.</w:delText>
        </w:r>
      </w:del>
      <w:del w:id="200032" w:author="Claude" w:date="2026-09-27T12:00:00Z">
        <w:r>
          <w:rPr>
            <w:rStyle w:val="FootnoteReference"/>
            <w:color w:val="000000" w:themeColor="text1"/>
          </w:rPr>
          <w:footnoteReference w:id="13"/>
        </w:r>
      </w:del>
      <w:del w:id="200033" w:author="Claude" w:date="2026-09-27T12:00:00Z">
        <w:r>
          <w:delText xml:space="preserve"> A farmer named Shamash-iddin and his family believed their neighbor Warad-Sin had diverted irrigation water from the shared canal, leaving Shamash-iddin’s </w:delText>
          <w:lastRenderedPageBreak/>
          <w:delText>barley fields to wither.</w:delText>
        </w:r>
      </w:del>
      <w:del w:id="200034" w:author="Claude" w:date="2026-09-27T12:00:00Z">
        <w:r>
          <w:rPr>
            <w:rStyle w:val="FootnoteReference"/>
            <w:color w:val="000000" w:themeColor="text1"/>
          </w:rPr>
          <w:footnoteReference w:id="14"/>
        </w:r>
      </w:del>
      <w:del w:id="200035" w:author="Claude" w:date="2026-09-27T12:00:00Z">
        <w:r>
          <w:delText xml:space="preserve"> Before Shamash-iddin would even consider bringing a formal claim before the assembly</w:delText>
        </w:r>
      </w:del>
      <w:del w:id="200036" w:author="Claude" w:date="2026-09-27T12:00:00Z">
        <w:r>
          <w:rPr>
            <w:rStyle w:val="FootnoteReference"/>
            <w:color w:val="000000" w:themeColor="text1"/>
          </w:rPr>
          <w:footnoteReference w:id="15"/>
        </w:r>
      </w:del>
      <w:del w:id="200037" w:author="Claude" w:date="2026-09-27T12:00:00Z">
        <w:r>
          <w:delText>—a process requiring a sworn oath before the gods with the risk of divine punishment for baseless claims—he would first test the strength of his claim by presenting his grievance to the neighborhood council of elders.</w:delText>
        </w:r>
      </w:del>
      <w:del w:id="200038" w:author="Claude" w:date="2026-09-27T12:00:00Z">
        <w:r>
          <w:rPr>
            <w:rStyle w:val="FootnoteReference"/>
            <w:color w:val="000000" w:themeColor="text1"/>
          </w:rPr>
          <w:footnoteReference w:id="16"/>
        </w:r>
      </w:del>
      <w:del w:id="200039" w:author="Claude" w:date="2026-09-27T12:00:00Z">
        <w:r>
          <w:delText xml:space="preserve"> Shamash-iddin was confident that someone had intentionally diverted the water because levels remained too low this late into the season. Yet his theory fell apart once presented to the council.</w:delText>
        </w:r>
      </w:del>
      <w:del w:id="200040" w:author="Claude" w:date="2026-09-27T12:00:00Z">
        <w:r>
          <w:rPr>
            <w:rStyle w:val="FootnoteReference"/>
            <w:color w:val="000000" w:themeColor="text1"/>
          </w:rPr>
          <w:footnoteReference w:id="17"/>
        </w:r>
      </w:del>
      <w:del w:id="200041" w:author="Claude" w:date="2026-09-27T12:00:00Z">
        <w:r>
          <w:delText xml:space="preserve"> One of these elders owned adjacent fields and benefited from the same canal, another was Warad-Sin’s cousin, and a third had previously </w:delText>
          <w:lastRenderedPageBreak/>
          <w:delText>disputed a property boundary with Shamash-iddin.</w:delText>
        </w:r>
      </w:del>
      <w:del w:id="200042" w:author="Claude" w:date="2026-09-27T12:00:00Z">
        <w:r>
          <w:rPr>
            <w:rStyle w:val="FootnoteReference"/>
            <w:color w:val="000000" w:themeColor="text1"/>
          </w:rPr>
          <w:footnoteReference w:id="18"/>
        </w:r>
      </w:del>
      <w:del w:id="200043" w:author="Claude" w:date="2026-09-27T12:00:00Z">
        <w:r>
          <w:delText xml:space="preserve"> The cousin challenged the timeline, the adjacent landowner noted that all farmers faced low water this season, and the rival asked why, if Warad-Sin was stealing water, his own barley looked equally parched.</w:delText>
        </w:r>
      </w:del>
      <w:del w:id="200044" w:author="Claude" w:date="2026-09-27T12:00:00Z">
        <w:r>
          <w:rPr>
            <w:rStyle w:val="FootnoteReference"/>
            <w:color w:val="000000" w:themeColor="text1"/>
          </w:rPr>
          <w:footnoteReference w:id="19"/>
        </w:r>
      </w:del>
      <w:del w:id="200045" w:author="Claude" w:date="2026-09-27T12:00:00Z">
        <w:r>
          <w:delText xml:space="preserve"> Confronted with these challenges, Shamash-iddin conceded that his claim was baseless and never brought it.</w:delText>
        </w:r>
      </w:del>
      <w:del w:id="200046" w:author="Claude" w:date="2026-09-27T12:00:00Z">
        <w:r>
          <w:rPr>
            <w:rStyle w:val="FootnoteReference"/>
            <w:color w:val="000000" w:themeColor="text1"/>
          </w:rPr>
          <w:footnoteReference w:id="20"/>
        </w:r>
      </w:del>
      <w:del w:id="200047" w:author="Claude" w:date="2026-09-27T12:00:00Z">
        <w:r>
          <w:delText xml:space="preserve"> </w:delText>
        </w:r>
      </w:del>
    </w:p>
    <w:p w14:paraId="4A5598AC" w14:textId="44857C25" w:rsidR="006E1CB3" w:rsidRPr="00A9375B" w:rsidRDefault="009017D7" w:rsidP="003D74D8">
      <w:pPr>
        <w:pStyle w:val="BodyTextFirstIndent"/>
        <w:spacing w:line="480" w:lineRule="auto"/>
        <w:jc w:val="both"/>
        <w:rPr>
          <w:del w:id="200052" w:author="Claude" w:date="2026-09-27T12:00:00Z"/>
        </w:rPr>
      </w:pPr>
      <w:del w:id="200049" w:author="Claude" w:date="2026-09-27T12:00:00Z">
        <w:r>
          <w:delTex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delText>
          <w:lastRenderedPageBreak/>
          <w:delTex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w:delText>
        </w:r>
      </w:del>
      <w:bookmarkStart w:id="4" w:name="_Ref221994663"/>
      <w:del w:id="200050" w:author="Claude" w:date="2026-09-27T12:00:00Z">
        <w:r>
          <w:delText xml:space="preserve"> save courts and clients from weak, untested claims.</w:delText>
        </w:r>
      </w:del>
      <w:del w:id="200051" w:author="Claude" w:date="2026-09-27T12:00:00Z">
        <w:r>
          <w:rPr>
            <w:rStyle w:val="FootnoteReference"/>
            <w:color w:val="000000" w:themeColor="text1"/>
          </w:rPr>
          <w:footnoteReference w:id="21"/>
        </w:r>
      </w:del>
      <w:bookmarkEnd w:id="4"/>
    </w:p>
    <w:p w14:paraId="4FB5C107" w14:textId="77777777" w:rsidR="00CC4B9B" w:rsidRPr="00A9375B" w:rsidRDefault="00CC4B9B" w:rsidP="003D74D8">
      <w:pPr>
        <w:pStyle w:val="BodyTextFirstIndent"/>
        <w:spacing w:line="480" w:lineRule="auto"/>
        <w:ind w:firstLine="0"/>
        <w:jc w:val="both"/>
        <w:rPr>
          <w:del w:id="200053" w:author="Claude" w:date="2026-09-27T12:00:00Z"/>
        </w:rPr>
      </w:pPr>
    </w:p>
    <w:p w14:paraId="4A7FA23A" w14:textId="5D45E347" w:rsidR="00CC4B9B" w:rsidRPr="00A9375B" w:rsidRDefault="00CC4B9B" w:rsidP="003D74D8">
      <w:pPr>
        <w:pStyle w:val="BodyTextFirstIndent"/>
        <w:numPr>
          <w:ilvl w:val="0"/>
          <w:numId w:val="33"/>
        </w:numPr>
        <w:spacing w:line="480" w:lineRule="auto"/>
        <w:jc w:val="both"/>
        <w:rPr>
          <w:del w:id="200055" w:author="Claude" w:date="2026-09-27T12:00:00Z"/>
          <w:i/>
          <w:iCs/>
        </w:rPr>
      </w:pPr>
      <w:del w:id="200054" w:author="Claude" w:date="2026-09-27T12:00:00Z">
        <w:r>
          <w:rPr>
            <w:i/>
            <w:iCs/>
          </w:rPr>
          <w:delText>Features of QCMs</w:delText>
        </w:r>
      </w:del>
    </w:p>
    <w:p w14:paraId="686ACA24" w14:textId="77777777" w:rsidR="00CC4B9B" w:rsidRPr="00A9375B" w:rsidRDefault="00CC4B9B" w:rsidP="003D74D8">
      <w:pPr>
        <w:pStyle w:val="BodyTextFirstIndent"/>
        <w:spacing w:line="480" w:lineRule="auto"/>
        <w:ind w:left="360" w:firstLine="0"/>
        <w:jc w:val="both"/>
        <w:rPr>
          <w:del w:id="200056" w:author="Claude" w:date="2026-09-27T12:00:00Z"/>
        </w:rPr>
      </w:pPr>
    </w:p>
    <w:p w14:paraId="623E9916" w14:textId="4FF876C0" w:rsidR="006E1CB3" w:rsidRPr="00A9375B" w:rsidRDefault="006E1CB3" w:rsidP="003D74D8">
      <w:pPr>
        <w:pStyle w:val="BodyTextFirstIndent"/>
        <w:spacing w:line="480" w:lineRule="auto"/>
        <w:jc w:val="both"/>
        <w:rPr>
          <w:del w:id="200062" w:author="Claude" w:date="2026-09-27T12:00:00Z"/>
        </w:rPr>
      </w:pPr>
      <w:del w:id="200057" w:author="Claude" w:date="2026-09-27T12:00:00Z">
        <w:r>
          <w:delTex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delText>
        </w:r>
      </w:del>
      <w:del w:id="200058" w:author="Claude" w:date="2026-09-27T12:00:00Z">
        <w:r>
          <w:rPr>
            <w:rStyle w:val="FootnoteReference"/>
            <w:color w:val="000000" w:themeColor="text1"/>
          </w:rPr>
          <w:footnoteReference w:id="22"/>
        </w:r>
      </w:del>
      <w:del w:id="200059" w:author="Claude" w:date="2026-09-27T12:00:00Z">
        <w:r>
          <w:delText xml:space="preserve"> Where the QCM took the form of an oath invoking misfortune, it signaled a disputant was “therefore tak[ing] a costly risk, thereby honestly communicating one’s desire to obtain a given verdict.”</w:delText>
        </w:r>
      </w:del>
      <w:del w:id="200060" w:author="Claude" w:date="2026-09-27T12:00:00Z">
        <w:r>
          <w:rPr>
            <w:rStyle w:val="FootnoteReference"/>
            <w:color w:val="000000" w:themeColor="text1"/>
          </w:rPr>
          <w:footnoteReference w:id="23"/>
        </w:r>
      </w:del>
      <w:del w:id="200061" w:author="Claude" w:date="2026-09-27T12:00:00Z">
        <w:r>
          <w:delText xml:space="preserve"> </w:delText>
        </w:r>
      </w:del>
    </w:p>
    <w:p w14:paraId="1683C074" w14:textId="2DA290CF" w:rsidR="006E1CB3" w:rsidRPr="00A9375B" w:rsidRDefault="008534A1" w:rsidP="003D74D8">
      <w:pPr>
        <w:pStyle w:val="BodyTextFirstIndent"/>
        <w:spacing w:line="480" w:lineRule="auto"/>
        <w:jc w:val="both"/>
        <w:rPr>
          <w:del w:id="200072" w:author="Claude" w:date="2026-09-27T12:00:00Z"/>
        </w:rPr>
      </w:pPr>
      <w:del w:id="200063" w:author="Claude" w:date="2026-09-27T12:00:00Z">
        <w:r>
          <w:delTex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delText>
          <w:lastRenderedPageBreak/>
          <w:delText>exposed him to informal social sanction.</w:delText>
        </w:r>
      </w:del>
      <w:bookmarkStart w:id="5" w:name="_Ref221994504"/>
      <w:del w:id="200064" w:author="Claude" w:date="2026-09-27T12:00:00Z">
        <w:r>
          <w:rPr>
            <w:rStyle w:val="FootnoteReference"/>
            <w:color w:val="000000" w:themeColor="text1"/>
          </w:rPr>
          <w:footnoteReference w:id="24"/>
        </w:r>
      </w:del>
      <w:bookmarkEnd w:id="5"/>
      <w:del w:id="200065" w:author="Claude" w:date="2026-09-27T12:00:00Z">
        <w:r>
          <w:delTex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delText>
        </w:r>
      </w:del>
      <w:del w:id="200066" w:author="Claude" w:date="2026-09-27T12:00:00Z">
        <w:r>
          <w:rPr>
            <w:rStyle w:val="FootnoteReference"/>
            <w:color w:val="000000" w:themeColor="text1"/>
          </w:rPr>
          <w:footnoteReference w:id="25"/>
        </w:r>
      </w:del>
      <w:del w:id="200067" w:author="Claude" w:date="2026-09-27T12:00:00Z">
        <w:r>
          <w:delTex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delText>
        </w:r>
      </w:del>
      <w:del w:id="200068" w:author="Claude" w:date="2026-09-27T12:00:00Z">
        <w:r>
          <w:rPr>
            <w:rStyle w:val="FootnoteReference"/>
            <w:color w:val="000000" w:themeColor="text1"/>
          </w:rPr>
          <w:footnoteReference w:id="26"/>
        </w:r>
      </w:del>
      <w:del w:id="200069" w:author="Claude" w:date="2026-09-27T12:00:00Z">
        <w:r>
          <w:delTex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delText>
        </w:r>
      </w:del>
      <w:del w:id="200070" w:author="Claude" w:date="2026-09-27T12:00:00Z">
        <w:r>
          <w:rPr>
            <w:rStyle w:val="FootnoteReference"/>
            <w:color w:val="000000" w:themeColor="text1"/>
          </w:rPr>
          <w:footnoteReference w:id="27"/>
        </w:r>
      </w:del>
      <w:del w:id="200071" w:author="Claude" w:date="2026-09-27T12:00:00Z">
        <w:r>
          <w:delTex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delText>
        </w:r>
      </w:del>
    </w:p>
    <w:p w14:paraId="2B1FF12D" w14:textId="6AE0A8B2" w:rsidR="003E09AC" w:rsidRPr="00A9375B" w:rsidRDefault="00BB165A" w:rsidP="003D74D8">
      <w:pPr>
        <w:spacing w:line="480" w:lineRule="auto"/>
        <w:jc w:val="both"/>
        <w:rPr>
          <w:del w:id="200074" w:author="Claude" w:date="2026-09-27T12:00:00Z"/>
          <w:color w:val="000000" w:themeColor="text1"/>
        </w:rPr>
      </w:pPr>
      <w:del w:id="200073" w:author="Claude" w:date="2026-09-27T12:00:00Z">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del>
    </w:p>
    <w:p w14:paraId="1AA7FB99" w14:textId="2A73638E" w:rsidR="00655A0D" w:rsidRPr="00A9375B" w:rsidRDefault="000F5FFF" w:rsidP="003D74D8">
      <w:pPr>
        <w:pStyle w:val="BodyTextFirstIndent"/>
        <w:spacing w:line="480" w:lineRule="auto"/>
        <w:jc w:val="both"/>
        <w:rPr>
          <w:del w:id="200082" w:author="Claude" w:date="2026-09-27T12:00:00Z"/>
        </w:rPr>
      </w:pPr>
      <w:del w:id="200075" w:author="Claude" w:date="2026-09-27T12:00:00Z">
        <w:r>
          <w:delTex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del w:id="200076" w:author="Claude" w:date="2026-09-27T12:00:00Z">
        <w:r>
          <w:rPr>
            <w:rStyle w:val="FootnoteReference"/>
            <w:color w:val="000000" w:themeColor="text1"/>
          </w:rPr>
          <w:footnoteReference w:id="28"/>
        </w:r>
      </w:del>
      <w:del w:id="200077" w:author="Claude" w:date="2026-09-27T12:00:00Z">
        <w:r>
          <w:delText xml:space="preserve"> This brings me to the second point about the QCM. Up until the Roman Empire, throughout much of human history, litigants were conceptually “pro se,” so to speak.</w:delText>
        </w:r>
      </w:del>
      <w:bookmarkStart w:id="6" w:name="_Ref222161048"/>
      <w:del w:id="200078" w:author="Claude" w:date="2026-09-27T12:00:00Z">
        <w:r>
          <w:rPr>
            <w:rStyle w:val="FootnoteReference"/>
            <w:color w:val="000000" w:themeColor="text1"/>
          </w:rPr>
          <w:footnoteReference w:id="29"/>
        </w:r>
      </w:del>
      <w:bookmarkEnd w:id="6"/>
      <w:del w:id="200079" w:author="Claude" w:date="2026-09-27T12:00:00Z">
        <w:r>
          <w:delText xml:space="preserve">Accordingly, the historic oath/QCM should not be confused with a modern juror swearing </w:delText>
          <w:lastRenderedPageBreak/>
          <w:delText>their testimony is truthful or the ABA’s “oath” (if you can call it that), as these QCMs applied to the individual advancing legal arguments in court.</w:delText>
        </w:r>
      </w:del>
      <w:del w:id="200080" w:author="Claude" w:date="2026-09-27T12:00:00Z">
        <w:r>
          <w:rPr>
            <w:rStyle w:val="FootnoteReference"/>
            <w:color w:val="000000" w:themeColor="text1"/>
          </w:rPr>
          <w:footnoteReference w:id="30"/>
        </w:r>
      </w:del>
      <w:del w:id="200081" w:author="Claude" w:date="2026-09-27T12:00:00Z">
        <w:r>
          <w:delText xml:space="preserve"> </w:delText>
        </w:r>
      </w:del>
    </w:p>
    <w:p w14:paraId="2522D8DA" w14:textId="2F3CC009" w:rsidR="000F5FFF" w:rsidRPr="00A9375B" w:rsidRDefault="000F5FFF" w:rsidP="003D74D8">
      <w:pPr>
        <w:pStyle w:val="BodyTextFirstIndent"/>
        <w:spacing w:line="480" w:lineRule="auto"/>
        <w:jc w:val="both"/>
        <w:rPr>
          <w:del w:id="200089" w:author="Claude" w:date="2026-09-27T12:00:00Z"/>
        </w:rPr>
      </w:pPr>
      <w:del w:id="200083" w:author="Claude" w:date="2026-09-27T12:00:00Z">
        <w:r>
          <w:delTex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delText>
        </w:r>
      </w:del>
      <w:del w:id="200084" w:author="Claude" w:date="2026-09-27T12:00:00Z">
        <w:r>
          <w:rPr>
            <w:rStyle w:val="FootnoteReference"/>
            <w:color w:val="000000" w:themeColor="text1"/>
          </w:rPr>
          <w:footnoteReference w:id="31"/>
        </w:r>
      </w:del>
      <w:del w:id="200085" w:author="Claude" w:date="2026-09-27T12:00:00Z">
        <w:r>
          <w:delTex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delText>
          <w:lastRenderedPageBreak/>
          <w:delText>or not a prospective client had a reasonable cause of action.”</w:delText>
        </w:r>
      </w:del>
      <w:del w:id="200086" w:author="Claude" w:date="2026-09-27T12:00:00Z">
        <w:r>
          <w:rPr>
            <w:rStyle w:val="FootnoteReference"/>
          </w:rPr>
          <w:footnoteReference w:id="32"/>
        </w:r>
      </w:del>
      <w:del w:id="200087" w:author="Claude" w:date="2026-09-27T12:00:00Z">
        <w:r>
          <w:delTex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delText>
        </w:r>
      </w:del>
      <w:del w:id="200088" w:author="Claude" w:date="2026-09-27T12:00:00Z">
        <w:r>
          <w:rPr>
            <w:rStyle w:val="FootnoteReference"/>
            <w:color w:val="000000" w:themeColor="text1"/>
          </w:rPr>
          <w:footnoteReference w:id="33"/>
        </w:r>
      </w:del>
    </w:p>
    <w:p w14:paraId="71ABACA8" w14:textId="220F5C96" w:rsidR="00254412" w:rsidRPr="00A9375B" w:rsidRDefault="00254412" w:rsidP="003D74D8">
      <w:pPr>
        <w:pStyle w:val="BodyTextFirstIndent"/>
        <w:spacing w:line="480" w:lineRule="auto"/>
        <w:jc w:val="both"/>
        <w:rPr>
          <w:del w:id="200094" w:author="Claude" w:date="2026-09-27T12:00:00Z"/>
        </w:rPr>
      </w:pPr>
      <w:del w:id="200090" w:author="Claude" w:date="2026-09-27T12:00:00Z">
        <w:r>
          <w:delTex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delText>
        </w:r>
      </w:del>
      <w:del w:id="200091" w:author="Claude" w:date="2026-09-27T12:00:00Z">
        <w:r>
          <w:rPr>
            <w:rStyle w:val="FootnoteReference"/>
            <w:color w:val="000000" w:themeColor="text1"/>
          </w:rPr>
          <w:footnoteReference w:id="34"/>
        </w:r>
      </w:del>
      <w:del w:id="200092" w:author="Claude" w:date="2026-09-27T12:00:00Z">
        <w:r>
          <w:delTex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delText>
        </w:r>
      </w:del>
      <w:del w:id="200093" w:author="Claude" w:date="2026-09-27T12:00:00Z">
        <w:r>
          <w:rPr>
            <w:rStyle w:val="FootnoteReference"/>
            <w:color w:val="000000" w:themeColor="text1"/>
          </w:rPr>
          <w:footnoteReference w:id="35"/>
        </w:r>
      </w:del>
    </w:p>
    <w:p w14:paraId="620BA2A3" w14:textId="42ABA214" w:rsidR="00254412" w:rsidRPr="00A9375B" w:rsidRDefault="00254412" w:rsidP="003D74D8">
      <w:pPr>
        <w:pStyle w:val="BodyTextFirstIndent"/>
        <w:spacing w:line="480" w:lineRule="auto"/>
        <w:jc w:val="both"/>
        <w:rPr>
          <w:del w:id="200116" w:author="Claude" w:date="2026-09-27T12:00:00Z"/>
        </w:rPr>
      </w:pPr>
      <w:del w:id="200095" w:author="Claude" w:date="2026-09-27T12:00:00Z">
        <w:r>
          <w:delTex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delText>
          <w:lastRenderedPageBreak/>
          <w:delText>practice where authoritative legal rules are unavailable.</w:delText>
        </w:r>
      </w:del>
      <w:del w:id="200096" w:author="Claude" w:date="2026-09-27T12:00:00Z">
        <w:r>
          <w:rPr>
            <w:rStyle w:val="FootnoteReference"/>
            <w:color w:val="000000" w:themeColor="text1"/>
          </w:rPr>
          <w:footnoteReference w:id="36"/>
        </w:r>
      </w:del>
      <w:del w:id="200097" w:author="Claude" w:date="2026-09-27T12:00:00Z">
        <w:r>
          <w:delText xml:space="preserve"> Fish do not talk about water.</w:delText>
        </w:r>
      </w:del>
      <w:del w:id="200098" w:author="Claude" w:date="2026-09-27T12:00:00Z">
        <w:r>
          <w:rPr>
            <w:rStyle w:val="FootnoteReference"/>
            <w:color w:val="000000" w:themeColor="text1"/>
          </w:rPr>
          <w:footnoteReference w:id="37"/>
        </w:r>
      </w:del>
      <w:del w:id="200099" w:author="Claude" w:date="2026-09-27T12:00:00Z">
        <w:r>
          <w:delText xml:space="preserve"> In a secularized society divine oaths are impractical, because “modern societies don’t believe ordeals are </w:delText>
        </w:r>
      </w:del>
      <w:del w:id="200100" w:author="Claude" w:date="2026-09-27T12:00:00Z">
        <w:r>
          <w:rPr>
            <w:i/>
            <w:iCs/>
          </w:rPr>
          <w:delText>iudicia</w:delText>
        </w:r>
      </w:del>
      <w:del w:id="200101" w:author="Claude" w:date="2026-09-27T12:00:00Z">
        <w:r>
          <w:delText xml:space="preserve"> </w:delText>
        </w:r>
      </w:del>
      <w:del w:id="200102" w:author="Claude" w:date="2026-09-27T12:00:00Z">
        <w:r>
          <w:rPr>
            <w:i/>
            <w:iCs/>
          </w:rPr>
          <w:delText>Dei</w:delText>
        </w:r>
      </w:del>
      <w:del w:id="200103" w:author="Claude" w:date="2026-09-27T12:00:00Z">
        <w:r>
          <w:delText>, which ordeals require to work” (</w:delText>
        </w:r>
      </w:del>
      <w:del w:id="200104" w:author="Claude" w:date="2026-09-27T12:00:00Z">
        <w:r>
          <w:rPr>
            <w:i/>
            <w:iCs/>
          </w:rPr>
          <w:delText>iudicia</w:delText>
        </w:r>
      </w:del>
      <w:del w:id="200105" w:author="Claude" w:date="2026-09-27T12:00:00Z">
        <w:r>
          <w:delText xml:space="preserve"> </w:delText>
        </w:r>
      </w:del>
      <w:del w:id="200106" w:author="Claude" w:date="2026-09-27T12:00:00Z">
        <w:r>
          <w:rPr>
            <w:i/>
            <w:iCs/>
          </w:rPr>
          <w:delText>Dei</w:delText>
        </w:r>
      </w:del>
      <w:del w:id="200107" w:author="Claude" w:date="2026-09-27T12:00:00Z">
        <w:r>
          <w:delText xml:space="preserve"> is a term meaning “judgments of God,” referring to the superstition that God miraculously intervenes to condemn the guilty and exonerate the innocent).</w:delText>
        </w:r>
      </w:del>
      <w:del w:id="200108" w:author="Claude" w:date="2026-09-27T12:00:00Z">
        <w:r>
          <w:rPr>
            <w:rStyle w:val="FootnoteReference"/>
            <w:color w:val="000000" w:themeColor="text1"/>
          </w:rPr>
          <w:footnoteReference w:id="38"/>
        </w:r>
      </w:del>
      <w:del w:id="200109" w:author="Claude" w:date="2026-09-27T12:00:00Z">
        <w:r>
          <w:delText xml:space="preserve"> While other societies have adapted to this cultural transition</w:delText>
        </w:r>
      </w:del>
      <w:del w:id="200110" w:author="Claude" w:date="2026-09-27T12:00:00Z">
        <w:r>
          <w:rPr>
            <w:rStyle w:val="FootnoteReference"/>
            <w:color w:val="000000" w:themeColor="text1"/>
          </w:rPr>
          <w:footnoteReference w:id="39"/>
        </w:r>
      </w:del>
      <w:del w:id="200111" w:author="Claude" w:date="2026-09-27T12:00:00Z">
        <w:r>
          <w:delText xml:space="preserve">, a series </w:delText>
          <w:lastRenderedPageBreak/>
          <w:delText>of historical circumstances unique to American society</w:delText>
        </w:r>
      </w:del>
      <w:del w:id="200112" w:author="Claude" w:date="2026-09-27T12:00:00Z">
        <w:r>
          <w:rPr>
            <w:rStyle w:val="FootnoteReference"/>
            <w:color w:val="000000" w:themeColor="text1"/>
          </w:rPr>
          <w:footnoteReference w:id="40"/>
        </w:r>
      </w:del>
      <w:del w:id="200113" w:author="Claude" w:date="2026-09-27T12:00:00Z">
        <w:r>
          <w:delText xml:space="preserve"> means that the oath “once was the principal source of ethical regulation of lawyers, but it is now an often overlooked part of the labyrinth of laws and standards governing lawyer conduct.”</w:delText>
        </w:r>
      </w:del>
      <w:del w:id="200114" w:author="Claude" w:date="2026-09-27T12:00:00Z">
        <w:r>
          <w:rPr>
            <w:rStyle w:val="FootnoteReference"/>
            <w:color w:val="000000" w:themeColor="text1"/>
          </w:rPr>
          <w:footnoteReference w:id="41"/>
        </w:r>
      </w:del>
      <w:del w:id="200115" w:author="Claude" w:date="2026-09-27T12:00:00Z">
        <w:r>
          <w:delText xml:space="preserve"> What follows are just a few examples of how the concept of the oath persists in modern practice.</w:delText>
        </w:r>
      </w:del>
    </w:p>
    <w:p w14:paraId="74803279" w14:textId="4D75BB32" w:rsidR="00254412" w:rsidRPr="00A9375B" w:rsidRDefault="00254412" w:rsidP="003D74D8">
      <w:pPr>
        <w:pStyle w:val="BodyTextFirstIndent"/>
        <w:spacing w:line="480" w:lineRule="auto"/>
        <w:jc w:val="both"/>
        <w:rPr>
          <w:del w:id="200128" w:author="Claude" w:date="2026-09-27T12:00:00Z"/>
        </w:rPr>
      </w:pPr>
      <w:del w:id="200117" w:author="Claude" w:date="2026-09-27T12:00:00Z">
        <w:r>
          <w:delTex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delText>
        </w:r>
      </w:del>
      <w:del w:id="200118" w:author="Claude" w:date="2026-09-27T12:00:00Z">
        <w:r>
          <w:rPr>
            <w:rStyle w:val="FootnoteReference"/>
            <w:color w:val="000000" w:themeColor="text1"/>
          </w:rPr>
          <w:footnoteReference w:id="42"/>
        </w:r>
      </w:del>
      <w:del w:id="200119" w:author="Claude" w:date="2026-09-27T12:00:00Z">
        <w:r>
          <w:delText xml:space="preserve"> In modern Greece, unlike the ABA’s oath, which evolved to permit any defense deemed “honestly debatable”</w:delText>
        </w:r>
      </w:del>
      <w:del w:id="200120" w:author="Claude" w:date="2026-09-27T12:00:00Z">
        <w:r>
          <w:rPr>
            <w:rStyle w:val="FootnoteReference"/>
            <w:color w:val="000000" w:themeColor="text1"/>
          </w:rPr>
          <w:footnoteReference w:id="43"/>
        </w:r>
      </w:del>
      <w:del w:id="200121" w:author="Claude" w:date="2026-09-27T12:00:00Z">
        <w:r>
          <w:delText xml:space="preserve"> regardless of its content, Article 116 of the Greek Code of Civil Procedure states a general duty to tell the truth and to conduct litigation according to “good faith and morality.”</w:delText>
        </w:r>
      </w:del>
      <w:del w:id="200122" w:author="Claude" w:date="2026-09-27T12:00:00Z">
        <w:r>
          <w:rPr>
            <w:rStyle w:val="FootnoteReference"/>
            <w:color w:val="000000" w:themeColor="text1"/>
          </w:rPr>
          <w:footnoteReference w:id="44"/>
        </w:r>
      </w:del>
      <w:del w:id="200123" w:author="Claude" w:date="2026-09-27T12:00:00Z">
        <w:r>
          <w:delText xml:space="preserve"> By imposing a positive “duty to tell the truth,” the modern Greek code echoes the ancient extra-statutory norm that viewed the abuse of legal procedure not as zealous advocacy, but as the act of a “common enemy” who threatens the moral fabric of the community.</w:delText>
        </w:r>
      </w:del>
      <w:del w:id="200124" w:author="Claude" w:date="2026-09-27T12:00:00Z">
        <w:r>
          <w:rPr>
            <w:rStyle w:val="FootnoteReference"/>
            <w:color w:val="000000" w:themeColor="text1"/>
          </w:rPr>
          <w:footnoteReference w:id="45"/>
        </w:r>
      </w:del>
      <w:del w:id="200125" w:author="Claude" w:date="2026-09-27T12:00:00Z">
        <w:r>
          <w:delText xml:space="preserve"> In modern </w:delText>
          <w:lastRenderedPageBreak/>
          <w:delText>Rome, the calumny oath, discussed above, “remain[s] embedded in modern [romano-canonical] procedural codes.”</w:delText>
        </w:r>
      </w:del>
      <w:del w:id="200126" w:author="Claude" w:date="2026-09-27T12:00:00Z">
        <w:r>
          <w:rPr>
            <w:rStyle w:val="FootnoteReference"/>
            <w:color w:val="000000" w:themeColor="text1"/>
          </w:rPr>
          <w:footnoteReference w:id="46"/>
        </w:r>
      </w:del>
      <w:del w:id="200127" w:author="Claude" w:date="2026-09-27T12:00:00Z">
        <w:r>
          <w:delText xml:space="preserve"> </w:delText>
        </w:r>
      </w:del>
    </w:p>
    <w:p w14:paraId="751D41D1" w14:textId="14D9A907" w:rsidR="00254412" w:rsidRPr="00A9375B" w:rsidRDefault="00254412" w:rsidP="003D74D8">
      <w:pPr>
        <w:pStyle w:val="BodyTextFirstIndent"/>
        <w:spacing w:line="480" w:lineRule="auto"/>
        <w:jc w:val="both"/>
        <w:rPr>
          <w:del w:id="200139" w:author="Claude" w:date="2026-09-27T12:00:00Z"/>
        </w:rPr>
      </w:pPr>
      <w:del w:id="200129" w:author="Claude" w:date="2026-09-27T12:00:00Z">
        <w:r>
          <w:delTex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delText>
        </w:r>
      </w:del>
      <w:del w:id="200130" w:author="Claude" w:date="2026-09-27T12:00:00Z">
        <w:r>
          <w:rPr>
            <w:rStyle w:val="FootnoteReference"/>
            <w:color w:val="000000" w:themeColor="text1"/>
          </w:rPr>
          <w:footnoteReference w:id="47"/>
        </w:r>
      </w:del>
      <w:del w:id="200131" w:author="Claude" w:date="2026-09-27T12:00:00Z">
        <w:r>
          <w:delText xml:space="preserve"> This practice parallels the traditional authority of a village elder restoring communal harmony through deference, face-saving, and relational obligation.</w:delText>
        </w:r>
      </w:del>
      <w:del w:id="200132" w:author="Claude" w:date="2026-09-27T12:00:00Z">
        <w:r>
          <w:rPr>
            <w:rStyle w:val="FootnoteReference"/>
            <w:color w:val="000000" w:themeColor="text1"/>
          </w:rPr>
          <w:footnoteReference w:id="48"/>
        </w:r>
      </w:del>
      <w:del w:id="200133" w:author="Claude" w:date="2026-09-27T12:00:00Z">
        <w:r>
          <w:delText> At the grassroots level, People’s Mediation Committees rooted in Confucian community ordering continue to function as a pre-adjudicative filter, preventing tens of thousands of civil disputes from escalating into criminal matters each year.</w:delText>
        </w:r>
      </w:del>
      <w:del w:id="200134" w:author="Claude" w:date="2026-09-27T12:00:00Z">
        <w:r>
          <w:rPr>
            <w:rStyle w:val="FootnoteReference"/>
            <w:color w:val="000000" w:themeColor="text1"/>
          </w:rPr>
          <w:footnoteReference w:id="49"/>
        </w:r>
      </w:del>
      <w:del w:id="200135" w:author="Claude" w:date="2026-09-27T12:00:00Z">
        <w:r>
          <w:delText xml:space="preserve"> And in England, where dispute resolution through arbitration and mediation predates the common law itself, medieval lovedays evolved into formalized commercial arbitration through the procedural mechanism of penal bonds.</w:delText>
        </w:r>
      </w:del>
      <w:del w:id="200136" w:author="Claude" w:date="2026-09-27T12:00:00Z">
        <w:r>
          <w:rPr>
            <w:rStyle w:val="FootnoteReference"/>
            <w:color w:val="000000" w:themeColor="text1"/>
          </w:rPr>
          <w:footnoteReference w:id="50"/>
        </w:r>
      </w:del>
      <w:del w:id="200137" w:author="Claude" w:date="2026-09-27T12:00:00Z">
        <w:r>
          <w:delText xml:space="preserve"> Unlike the United States’ placement of ADR forums on the same track as litigation, Parliament’s </w:delText>
          <w:lastRenderedPageBreak/>
          <w:delText>uninterrupted support for pro-arbitration statutes from 1698 through the present has sustained a statutory policy favoring arbitration.</w:delText>
        </w:r>
      </w:del>
      <w:del w:id="200138" w:author="Claude" w:date="2026-09-27T12:00:00Z">
        <w:r>
          <w:rPr>
            <w:rStyle w:val="FootnoteReference"/>
            <w:color w:val="000000" w:themeColor="text1"/>
          </w:rPr>
          <w:footnoteReference w:id="51"/>
        </w:r>
      </w:del>
    </w:p>
    <w:p w14:paraId="5CF63D47" w14:textId="1607AF9E" w:rsidR="004F5266" w:rsidRPr="00A9375B" w:rsidRDefault="009D146A" w:rsidP="003D74D8">
      <w:pPr>
        <w:pStyle w:val="BodyTextFirstIndent"/>
        <w:spacing w:line="480" w:lineRule="auto"/>
        <w:jc w:val="both"/>
        <w:rPr>
          <w:del w:id="200147" w:author="Claude" w:date="2026-09-27T12:00:00Z"/>
        </w:rPr>
      </w:pPr>
      <w:del w:id="200140" w:author="Claude" w:date="2026-09-27T12:00:00Z">
        <w:r>
          <w:delText>QCMs have served, and in much of the world continue to serve, an indispensable purpose. They preserve the formal system for genuinely meritorious claims by imposing existential costs on those who would advance a grievance without first having it tested. 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Modern American ADR has flattened this geometry entirely, compressing both tracks onto a single post-filing plane where negotiation, mediation, arbitration, and litigation sit side by side, distinguished only by procedure and never by whether the underlying claim merited externalization in the first place.</w:delText>
        </w:r>
      </w:del>
      <w:del w:id="200141" w:author="Claude" w:date="2026-09-27T12:00:00Z">
        <w:r>
          <w:rPr>
            <w:rStyle w:val="FootnoteReference"/>
            <w:color w:val="000000" w:themeColor="text1"/>
          </w:rPr>
          <w:footnoteReference w:id="52"/>
        </w:r>
      </w:del>
      <w:del w:id="200142" w:author="Claude" w:date="2026-09-27T12:00:00Z">
        <w:r>
          <w:delText xml:space="preserve"> The choice among these forums is merely a choice among post-</w:delText>
          <w:lastRenderedPageBreak/>
          <w:delTex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bookmarkStart w:id="7" w:name="_Ref222081948"/>
      <w:del w:id="200143" w:author="Claude" w:date="2026-09-27T12:00:00Z">
        <w:r>
          <w:rPr>
            <w:rStyle w:val="FootnoteReference"/>
            <w:color w:val="000000" w:themeColor="text1"/>
          </w:rPr>
          <w:footnoteReference w:id="53"/>
        </w:r>
      </w:del>
      <w:bookmarkEnd w:id="7"/>
      <w:del w:id="200144" w:author="Claude" w:date="2026-09-27T12:00:00Z">
        <w:r>
          <w:delText xml:space="preserve"> This is not to say that every claim belongs in an informal forum;  some grievances can obtain full relief only through formal adjudication, and Deliberative </w:delText>
          <w:lastRenderedPageBreak/>
          <w:delText>Bodies that elect to seek it are entitled to that choice—but that choice is best made after, not instead of, testing the claim.</w:delText>
        </w:r>
      </w:del>
      <w:del w:id="200145" w:author="Claude" w:date="2026-09-27T12:00:00Z">
        <w:r>
          <w:rPr>
            <w:rStyle w:val="FootnoteReference"/>
            <w:color w:val="000000" w:themeColor="text1"/>
          </w:rPr>
          <w:footnoteReference w:id="54"/>
        </w:r>
      </w:del>
      <w:del w:id="200146" w:author="Claude" w:date="2026-09-27T12:00:00Z">
        <w:r>
          <w:delText xml:space="preserve"> I have represented this collapse in the following figure. </w:delText>
        </w:r>
      </w:del>
    </w:p>
    <w:p w14:paraId="23927515" w14:textId="513243E6" w:rsidR="009F0FBF" w:rsidRPr="00A9375B" w:rsidRDefault="00C303BD" w:rsidP="003D74D8">
      <w:pPr>
        <w:spacing w:line="480" w:lineRule="auto"/>
        <w:jc w:val="both"/>
        <w:rPr>
          <w:del w:id="200150" w:author="Claude" w:date="2026-09-27T12:00:00Z"/>
          <w:color w:val="000000" w:themeColor="text1"/>
        </w:rPr>
      </w:pPr>
      <w:del w:id="200148" w:author="Claude" w:date="2026-09-27T12:00:00Z">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del>
      <w:del w:id="200149" w:author="Claude" w:date="2026-09-27T12:00:00Z">
        <w:r>
          <w:rPr>
            <w:rStyle w:val="FootnoteReference"/>
            <w:color w:val="000000" w:themeColor="text1"/>
          </w:rPr>
          <w:footnoteReference w:id="55"/>
        </w:r>
      </w:del>
    </w:p>
    <w:p w14:paraId="27B6B39D" w14:textId="386995A4" w:rsidR="00321619" w:rsidRPr="00A9375B" w:rsidRDefault="009D146A" w:rsidP="003D74D8">
      <w:pPr>
        <w:pStyle w:val="BodyTextFirstIndent"/>
        <w:spacing w:line="480" w:lineRule="auto"/>
        <w:jc w:val="both"/>
        <w:rPr>
          <w:del w:id="200158" w:author="Claude" w:date="2026-09-27T12:00:00Z"/>
        </w:rPr>
      </w:pPr>
      <w:del w:id="200151" w:author="Claude" w:date="2026-09-27T12:00:00Z">
        <w:r>
          <w:delText xml:space="preserve">Why do I turn to history when I could instead focus this Note entirely on the present? The short answer is persuasiveness, but the longer answer is that a particular kind of persuasiveness is required. The cognitive biases that afflict modern Deliberative Bodies also impacted every Deliberative Body in recorded history, and the societies examined in this Note understood this and built institutions accordingly. To convince modern Deliberative Bodies that they should change the manner in which they conceptualize disputes as a process of looking outward, I cannot usefully cite scholarship and empirical studies that conclusively establish the benefits of testing one’s claim before filing it, for these studies, sound as they are, speak only in the idiom of the system that </w:delText>
          <w:lastRenderedPageBreak/>
          <w:delText>produced the deficiency. 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delText>
        </w:r>
      </w:del>
      <w:bookmarkStart w:id="8" w:name="_Ref217223724"/>
      <w:del w:id="200152" w:author="Claude" w:date="2026-09-27T12:00:00Z">
        <w:r>
          <w:delText>”</w:delText>
        </w:r>
      </w:del>
      <w:del w:id="200153" w:author="Claude" w:date="2026-09-27T12:00:00Z">
        <w:r>
          <w:rPr>
            <w:rStyle w:val="FootnoteReference"/>
            <w:color w:val="000000" w:themeColor="text1"/>
          </w:rPr>
          <w:footnoteReference w:id="56"/>
        </w:r>
      </w:del>
      <w:bookmarkEnd w:id="8"/>
      <w:del w:id="200154" w:author="Claude" w:date="2026-09-27T12:00:00Z">
        <w:r>
          <w:delText xml:space="preserve"> Rather, I submit that groupthink (the cause of poor litigation strategy) can be avoided only if Deliberative Bodies cultivate the ideological diversity required to question those terms before filing. My approach also adheres to current Supreme Court jurisprudence , which asks whether a modern practice is “relevantly similar” to what tradition permits, “apply[ing] faithfully the balance struck by the founding generation to modern circumstances.”</w:delText>
        </w:r>
      </w:del>
      <w:del w:id="200155" w:author="Claude" w:date="2026-09-27T12:00:00Z">
        <w:r>
          <w:rPr>
            <w:rStyle w:val="FootnoteReference"/>
            <w:color w:val="000000" w:themeColor="text1"/>
          </w:rPr>
          <w:footnoteReference w:id="57"/>
        </w:r>
      </w:del>
      <w:del w:id="200156" w:author="Claude" w:date="2026-09-27T12:00:00Z">
        <w:r>
          <w:delTex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delText>
        </w:r>
      </w:del>
      <w:bookmarkStart w:id="9" w:name="_Ref222160954"/>
      <w:del w:id="200157" w:author="Claude" w:date="2026-09-27T12:00:00Z">
        <w:r>
          <w:rPr>
            <w:rStyle w:val="FootnoteReference"/>
            <w:color w:val="000000" w:themeColor="text1"/>
          </w:rPr>
          <w:footnoteReference w:id="58"/>
        </w:r>
      </w:del>
      <w:bookmarkEnd w:id="9"/>
    </w:p>
    <w:p w14:paraId="0D8319CC" w14:textId="77777777" w:rsidR="00CC4B9B" w:rsidRPr="00A9375B" w:rsidRDefault="00CC4B9B" w:rsidP="003D74D8">
      <w:pPr>
        <w:pStyle w:val="BodyTextFirstIndent"/>
        <w:spacing w:line="480" w:lineRule="auto"/>
        <w:ind w:firstLine="0"/>
        <w:jc w:val="both"/>
        <w:rPr>
          <w:del w:id="200159" w:author="Claude" w:date="2026-09-27T12:00:00Z"/>
        </w:rPr>
      </w:pPr>
    </w:p>
    <w:p w14:paraId="723AE123" w14:textId="186CD35F" w:rsidR="00CC4B9B" w:rsidRPr="00A9375B" w:rsidRDefault="00CC4B9B" w:rsidP="003D74D8">
      <w:pPr>
        <w:pStyle w:val="BodyTextFirstIndent"/>
        <w:numPr>
          <w:ilvl w:val="0"/>
          <w:numId w:val="33"/>
        </w:numPr>
        <w:spacing w:line="480" w:lineRule="auto"/>
        <w:jc w:val="both"/>
        <w:rPr>
          <w:del w:id="200161" w:author="Claude" w:date="2026-09-27T12:00:00Z"/>
          <w:i/>
          <w:iCs/>
        </w:rPr>
      </w:pPr>
      <w:del w:id="200160" w:author="Claude" w:date="2026-09-27T12:00:00Z">
        <w:r>
          <w:rPr>
            <w:i/>
            <w:iCs/>
          </w:rPr>
          <w:delText>Lawyers File Disputes Without Testing Them Because of Three Historical Reasons</w:delText>
        </w:r>
      </w:del>
    </w:p>
    <w:p w14:paraId="37C06446" w14:textId="77777777" w:rsidR="003B6B60" w:rsidRPr="00A9375B" w:rsidRDefault="003B6B60" w:rsidP="003D74D8">
      <w:pPr>
        <w:pStyle w:val="BodyTextFirstIndent"/>
        <w:spacing w:line="480" w:lineRule="auto"/>
        <w:ind w:left="360" w:firstLine="0"/>
        <w:jc w:val="both"/>
        <w:rPr>
          <w:del w:id="200162" w:author="Claude" w:date="2026-09-27T12:00:00Z"/>
        </w:rPr>
      </w:pPr>
    </w:p>
    <w:p w14:paraId="11F3F2D2" w14:textId="5859F504" w:rsidR="00BD7E7F" w:rsidRPr="00A9375B" w:rsidRDefault="00BD7E7F" w:rsidP="003D74D8">
      <w:pPr>
        <w:pStyle w:val="BodyTextFirstIndent2"/>
        <w:spacing w:line="480" w:lineRule="auto"/>
        <w:ind w:left="0"/>
        <w:jc w:val="both"/>
        <w:rPr>
          <w:del w:id="200166" w:author="Claude" w:date="2026-09-27T12:00:00Z"/>
        </w:rPr>
      </w:pPr>
      <w:del w:id="200163" w:author="Claude" w:date="2026-09-27T12:00:00Z">
        <w:r>
          <w:lastRenderedPageBreak/>
          <w:delTex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delText>
        </w:r>
      </w:del>
      <w:del w:id="200164" w:author="Claude" w:date="2026-09-27T12:00:00Z">
        <w:r>
          <w:rPr>
            <w:rStyle w:val="FootnoteReference"/>
            <w:color w:val="000000" w:themeColor="text1"/>
          </w:rPr>
          <w:footnoteReference w:id="59"/>
        </w:r>
      </w:del>
      <w:del w:id="200165" w:author="Claude" w:date="2026-09-27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An introduction to each of the three developments follows, along with an explanation of how each contributes to the creation of cognitive bias. </w:delText>
        </w:r>
      </w:del>
    </w:p>
    <w:p w14:paraId="001CF5B8" w14:textId="77777777" w:rsidR="00BD7E7F" w:rsidRPr="00A9375B" w:rsidRDefault="00BD7E7F" w:rsidP="003D74D8">
      <w:pPr>
        <w:pStyle w:val="BodyTextFirstIndent2"/>
        <w:spacing w:line="480" w:lineRule="auto"/>
        <w:ind w:left="0" w:firstLine="0"/>
        <w:jc w:val="both"/>
        <w:rPr>
          <w:del w:id="200167" w:author="Claude" w:date="2026-09-27T12:00:00Z"/>
        </w:rPr>
      </w:pPr>
    </w:p>
    <w:p w14:paraId="269B0113" w14:textId="425210F0" w:rsidR="00C708D7" w:rsidRPr="00A9375B" w:rsidRDefault="00C708D7" w:rsidP="003D74D8">
      <w:pPr>
        <w:pStyle w:val="BodyTextFirstIndent2"/>
        <w:numPr>
          <w:ilvl w:val="0"/>
          <w:numId w:val="35"/>
        </w:numPr>
        <w:spacing w:line="480" w:lineRule="auto"/>
        <w:jc w:val="both"/>
        <w:rPr>
          <w:del w:id="200169" w:author="Claude" w:date="2026-09-27T12:00:00Z"/>
          <w:i/>
          <w:iCs/>
          <w:smallCaps/>
        </w:rPr>
      </w:pPr>
      <w:del w:id="200168" w:author="Claude" w:date="2026-09-27T12:00:00Z">
        <w:r>
          <w:rPr>
            <w:i/>
            <w:iCs/>
            <w:smallCaps/>
          </w:rPr>
          <w:delText>First Historical Development – Choice of Lawyers Role</w:delText>
        </w:r>
      </w:del>
    </w:p>
    <w:p w14:paraId="2CEAD5CA" w14:textId="77777777" w:rsidR="00B57D67" w:rsidRPr="00A9375B" w:rsidRDefault="00B57D67" w:rsidP="003D74D8">
      <w:pPr>
        <w:pStyle w:val="BodyTextFirstIndent2"/>
        <w:spacing w:line="480" w:lineRule="auto"/>
        <w:ind w:left="720" w:firstLine="0"/>
        <w:jc w:val="both"/>
        <w:rPr>
          <w:del w:id="200170" w:author="Claude" w:date="2026-09-27T12:00:00Z"/>
        </w:rPr>
      </w:pPr>
    </w:p>
    <w:p w14:paraId="483DFA56" w14:textId="051B8A0E" w:rsidR="00094246" w:rsidRPr="00A9375B" w:rsidRDefault="00B663C8" w:rsidP="003D74D8">
      <w:pPr>
        <w:pStyle w:val="BodyTextFirstIndent2"/>
        <w:spacing w:line="480" w:lineRule="auto"/>
        <w:ind w:left="0"/>
        <w:jc w:val="both"/>
        <w:rPr>
          <w:del w:id="200175" w:author="Claude" w:date="2026-09-27T12:00:00Z"/>
        </w:rPr>
      </w:pPr>
      <w:del w:id="200171" w:author="Claude" w:date="2026-09-27T12:00:00Z">
        <w:r>
          <w:delTex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delText>
        </w:r>
      </w:del>
      <w:del w:id="200172" w:author="Claude" w:date="2026-09-27T12:00:00Z">
        <w:r>
          <w:rPr>
            <w:rStyle w:val="FootnoteReference"/>
            <w:color w:val="000000" w:themeColor="text1"/>
          </w:rPr>
          <w:footnoteReference w:id="60"/>
        </w:r>
      </w:del>
      <w:del w:id="200173" w:author="Claude" w:date="2026-09-27T12:00:00Z">
        <w:r>
          <w:delText xml:space="preserve"> George Sharswood cast him as a zealous advocate: “the lawyer, who refuses his professional assistance because in his judgment the case is unjust and indefensible, usurps the functions of both judge and jury.”</w:delText>
        </w:r>
      </w:del>
      <w:del w:id="200174" w:author="Claude" w:date="2026-09-27T12:00:00Z">
        <w:r>
          <w:rPr>
            <w:rStyle w:val="FootnoteReference"/>
          </w:rPr>
          <w:footnoteReference w:id="61"/>
        </w:r>
      </w:del>
    </w:p>
    <w:p w14:paraId="7B0E8787" w14:textId="689D5FE7" w:rsidR="000B08B7" w:rsidRPr="00A9375B" w:rsidRDefault="00B663C8" w:rsidP="003D74D8">
      <w:pPr>
        <w:pStyle w:val="BodyTextFirstIndent"/>
        <w:spacing w:line="480" w:lineRule="auto"/>
        <w:jc w:val="both"/>
        <w:rPr>
          <w:del w:id="200185" w:author="Claude" w:date="2026-09-27T12:00:00Z"/>
        </w:rPr>
      </w:pPr>
      <w:del w:id="200176" w:author="Claude" w:date="2026-09-27T12:00:00Z">
        <w:r>
          <w:lastRenderedPageBreak/>
          <w:delText>The profession adopted Sharswood’s view as “the basis for the Canons [which] later evolved into the Model Code and the Model Rules.”</w:delText>
        </w:r>
      </w:del>
      <w:del w:id="200177" w:author="Claude" w:date="2026-09-27T12:00:00Z">
        <w:r>
          <w:rPr>
            <w:rStyle w:val="FootnoteReference"/>
          </w:rPr>
          <w:footnoteReference w:id="62"/>
        </w:r>
      </w:del>
      <w:del w:id="200178" w:author="Claude" w:date="2026-09-27T12:00:00Z">
        <w:r>
          <w:delText xml:space="preserve"> As a result, “one byproduct of an adversary model is that it polarizes the participants, imposing pressures on them to dogmatically pursue their own perceived interests or their own assessments of the proper outcomes of their cases”.</w:delText>
        </w:r>
      </w:del>
      <w:del w:id="200179" w:author="Claude" w:date="2026-09-27T12:00:00Z">
        <w:r>
          <w:rPr>
            <w:rStyle w:val="FootnoteReference"/>
            <w:color w:val="000000" w:themeColor="text1"/>
          </w:rPr>
          <w:footnoteReference w:id="63"/>
        </w:r>
      </w:del>
      <w:del w:id="200180" w:author="Claude" w:date="2026-09-27T12:00:00Z">
        <w:r>
          <w:delText xml:space="preserve"> The Model Code and Model Rules carried Sharswood’s principle that “the responsibility for advising as to questionable transactions, for bringing questionable suits, for urging questionable defenses, [was] the lawyer's responsibility.”</w:delText>
        </w:r>
      </w:del>
      <w:del w:id="200181" w:author="Claude" w:date="2026-09-27T12:00:00Z">
        <w:r>
          <w:rPr>
            <w:rStyle w:val="FootnoteReference"/>
          </w:rPr>
          <w:footnoteReference w:id="64"/>
        </w:r>
      </w:del>
      <w:del w:id="200182" w:author="Claude" w:date="2026-09-27T12:00:00Z">
        <w:r>
          <w:delText xml:space="preserve"> Delegating case assessment to the lawyer’s sole province proved particularly improvident in an era in which “private interests were primary” and “[w]hether a lawyer behaved ethically became a test of private conscience, not public honor.”</w:delText>
        </w:r>
      </w:del>
      <w:del w:id="200183" w:author="Claude" w:date="2026-09-27T12:00:00Z">
        <w:r>
          <w:rPr>
            <w:rStyle w:val="FootnoteReference"/>
          </w:rPr>
          <w:footnoteReference w:id="65"/>
        </w:r>
      </w:del>
      <w:del w:id="200184" w:author="Claude" w:date="2026-09-27T12:00:00Z">
        <w:r>
          <w:delText xml:space="preserve"> </w:delText>
        </w:r>
      </w:del>
    </w:p>
    <w:p w14:paraId="7126D178" w14:textId="46504588" w:rsidR="000B08B7" w:rsidRPr="00A9375B" w:rsidRDefault="00D70590" w:rsidP="003D74D8">
      <w:pPr>
        <w:pStyle w:val="BodyTextFirstIndent"/>
        <w:spacing w:line="480" w:lineRule="auto"/>
        <w:jc w:val="both"/>
        <w:rPr>
          <w:del w:id="200199" w:author="Claude" w:date="2026-09-27T12:00:00Z"/>
        </w:rPr>
      </w:pPr>
      <w:del w:id="200186" w:author="Claude" w:date="2026-09-27T12:00:00Z">
        <w:r>
          <w:delText>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delText>
        </w:r>
      </w:del>
      <w:del w:id="200187" w:author="Claude" w:date="2026-09-27T12:00:00Z">
        <w:r>
          <w:rPr>
            <w:rStyle w:val="FootnoteReference"/>
          </w:rPr>
          <w:footnoteReference w:id="66"/>
        </w:r>
      </w:del>
      <w:del w:id="200188" w:author="Claude" w:date="2026-09-27T12:00:00Z">
        <w:r>
          <w:delText xml:space="preserve"> Today Holger Spamann finds that law students develop this dogmatic thinking within forty minutes of being assigned an </w:delText>
          <w:lastRenderedPageBreak/>
          <w:delText>advocacy role,</w:delText>
        </w:r>
      </w:del>
      <w:del w:id="200189" w:author="Claude" w:date="2026-09-27T12:00:00Z">
        <w:r>
          <w:rPr>
            <w:rStyle w:val="FootnoteReference"/>
            <w:color w:val="000000" w:themeColor="text1"/>
          </w:rPr>
          <w:footnoteReference w:id="67"/>
        </w:r>
      </w:del>
      <w:del w:id="200190" w:author="Claude" w:date="2026-09-27T12:00:00Z">
        <w:r>
          <w:delText xml:space="preserve"> with the legal mandate of zealous advocacy “bias[ing] a range of judgments automatically and without conscious control.”</w:delText>
        </w:r>
      </w:del>
      <w:del w:id="200191" w:author="Claude" w:date="2026-09-27T12:00:00Z">
        <w:r>
          <w:rPr>
            <w:rStyle w:val="FootnoteReference"/>
            <w:color w:val="000000" w:themeColor="text1"/>
          </w:rPr>
          <w:footnoteReference w:id="68"/>
        </w:r>
      </w:del>
      <w:del w:id="200192" w:author="Claude" w:date="2026-09-27T12:00:00Z">
        <w:r>
          <w:delText xml:space="preserve"> In part, this occurs because the mere act of placing people in hypercompetitive roles impairs one’s ability to assess situations objectively.</w:delText>
        </w:r>
      </w:del>
      <w:del w:id="200193" w:author="Claude" w:date="2026-09-27T12:00:00Z">
        <w:r>
          <w:rPr>
            <w:rStyle w:val="FootnoteReference"/>
            <w:color w:val="000000" w:themeColor="text1"/>
          </w:rPr>
          <w:footnoteReference w:id="69"/>
        </w:r>
      </w:del>
      <w:del w:id="200194" w:author="Claude" w:date="2026-09-27T12:00:00Z">
        <w:r>
          <w:delText xml:space="preserve"> “[z]eal might cloud the mind of the advocate, undermining their sensitivity to the sensibilities of their audience and blinding them to the weaknesses of their argument.”</w:delText>
        </w:r>
      </w:del>
      <w:del w:id="200195" w:author="Claude" w:date="2026-09-27T12:00:00Z">
        <w:r>
          <w:rPr>
            <w:rStyle w:val="FootnoteReference"/>
          </w:rPr>
          <w:footnoteReference w:id="70"/>
        </w:r>
      </w:del>
      <w:del w:id="200196" w:author="Claude" w:date="2026-09-27T12:00:00Z">
        <w:r>
          <w:delText xml:space="preserve"> Such bias is so pervasive that advocates cannot provide an objective assessment of their case even when they become aware of the bias itself.</w:delText>
        </w:r>
      </w:del>
      <w:del w:id="200197" w:author="Claude" w:date="2026-09-27T12:00:00Z">
        <w:r>
          <w:rPr>
            <w:rStyle w:val="FootnoteReference"/>
            <w:color w:val="000000" w:themeColor="text1"/>
          </w:rPr>
          <w:footnoteReference w:id="71"/>
        </w:r>
      </w:del>
      <w:del w:id="200198" w:author="Claude" w:date="2026-09-27T12:00:00Z">
        <w:r>
          <w:delText xml:space="preserve"> </w:delText>
        </w:r>
      </w:del>
    </w:p>
    <w:p w14:paraId="7BE1216F" w14:textId="77777777" w:rsidR="003B6B60" w:rsidRPr="00A9375B" w:rsidRDefault="003B6B60" w:rsidP="003D74D8">
      <w:pPr>
        <w:pStyle w:val="BodyTextFirstIndent"/>
        <w:spacing w:line="480" w:lineRule="auto"/>
        <w:jc w:val="both"/>
        <w:rPr>
          <w:del w:id="200200" w:author="Claude" w:date="2026-09-27T12:00:00Z"/>
        </w:rPr>
      </w:pPr>
    </w:p>
    <w:p w14:paraId="127FCD55" w14:textId="15DF79E0" w:rsidR="00C708D7" w:rsidRPr="00A9375B" w:rsidRDefault="00C708D7" w:rsidP="003D74D8">
      <w:pPr>
        <w:pStyle w:val="BodyTextFirstIndent2"/>
        <w:numPr>
          <w:ilvl w:val="0"/>
          <w:numId w:val="35"/>
        </w:numPr>
        <w:spacing w:line="480" w:lineRule="auto"/>
        <w:jc w:val="both"/>
        <w:rPr>
          <w:del w:id="200202" w:author="Claude" w:date="2026-09-27T12:00:00Z"/>
          <w:i/>
          <w:iCs/>
          <w:smallCaps/>
        </w:rPr>
      </w:pPr>
      <w:del w:id="200201" w:author="Claude" w:date="2026-09-27T12:00:00Z">
        <w:r>
          <w:rPr>
            <w:i/>
            <w:iCs/>
            <w:smallCaps/>
          </w:rPr>
          <w:delText>Second Historical Development – Institutional Capacity for Disputes</w:delText>
        </w:r>
      </w:del>
    </w:p>
    <w:p w14:paraId="0A9C7419" w14:textId="77777777" w:rsidR="00B57D67" w:rsidRPr="00A9375B" w:rsidRDefault="00B57D67" w:rsidP="003D74D8">
      <w:pPr>
        <w:pStyle w:val="BodyTextFirstIndent2"/>
        <w:spacing w:line="480" w:lineRule="auto"/>
        <w:ind w:left="720" w:firstLine="0"/>
        <w:jc w:val="both"/>
        <w:rPr>
          <w:del w:id="200203" w:author="Claude" w:date="2026-09-27T12:00:00Z"/>
        </w:rPr>
      </w:pPr>
    </w:p>
    <w:p w14:paraId="1C1689F2" w14:textId="5F3727E8" w:rsidR="00B573FE" w:rsidRPr="00A9375B" w:rsidRDefault="00B663C8" w:rsidP="003D74D8">
      <w:pPr>
        <w:pStyle w:val="BodyTextFirstIndent"/>
        <w:spacing w:line="480" w:lineRule="auto"/>
        <w:jc w:val="both"/>
        <w:rPr>
          <w:del w:id="200213" w:author="Claude" w:date="2026-09-27T12:00:00Z"/>
        </w:rPr>
      </w:pPr>
      <w:del w:id="200204" w:author="Claude" w:date="2026-09-27T12:00:00Z">
        <w:r>
          <w:delText>Second, attitudes toward court alternatives vacillated from the nation’s founding to the Progressive Era. 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delText>
        </w:r>
      </w:del>
      <w:del w:id="200205" w:author="Claude" w:date="2026-09-27T12:00:00Z">
        <w:r>
          <w:rPr>
            <w:rStyle w:val="FootnoteReference"/>
          </w:rPr>
          <w:footnoteReference w:id="72"/>
        </w:r>
      </w:del>
      <w:del w:id="200206" w:author="Claude" w:date="2026-09-27T12:00:00Z">
        <w:r>
          <w:delText xml:space="preserve"> Although “one rarely finds a legislative history as unambiguous as the FAA’s,” the Supreme Court disregarded this intent to transform a modest procedural framework into an all-encompassing system of mandated ADR.</w:delText>
        </w:r>
      </w:del>
      <w:del w:id="200207" w:author="Claude" w:date="2026-09-27T12:00:00Z">
        <w:r>
          <w:rPr>
            <w:rStyle w:val="FootnoteReference"/>
          </w:rPr>
          <w:footnoteReference w:id="73"/>
        </w:r>
      </w:del>
      <w:del w:id="200208" w:author="Claude" w:date="2026-09-27T12:00:00Z">
        <w:r>
          <w:delTex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delText>
        </w:r>
      </w:del>
      <w:del w:id="200209" w:author="Claude" w:date="2026-09-27T12:00:00Z">
        <w:r>
          <w:rPr>
            <w:rStyle w:val="FootnoteReference"/>
          </w:rPr>
          <w:footnoteReference w:id="74"/>
        </w:r>
      </w:del>
      <w:del w:id="200210" w:author="Claude" w:date="2026-09-27T12:00:00Z">
        <w:r>
          <w:delText xml:space="preserve"> After initial experiments with </w:delText>
          <w:lastRenderedPageBreak/>
          <w:delText>multi-door courthouses failed because courts lacked both infrastructure and methodology, the legal system subsumed ADR into a single system of “litigotiation,” in which litigation and ADR are now “inseparably entwined” as standard, legalized steps in the process.</w:delText>
        </w:r>
      </w:del>
      <w:del w:id="200211" w:author="Claude" w:date="2026-09-27T12:00:00Z">
        <w:r>
          <w:rPr>
            <w:rStyle w:val="FootnoteReference"/>
          </w:rPr>
          <w:footnoteReference w:id="75"/>
        </w:r>
      </w:del>
      <w:del w:id="200212" w:author="Claude" w:date="2026-09-27T12:00:00Z">
        <w:r>
          <w:delText xml:space="preserve"> As Amos Gabrieli and Michal Alberstein describe it,  </w:delText>
        </w:r>
      </w:del>
    </w:p>
    <w:p w14:paraId="1A5B2E00" w14:textId="7875095D" w:rsidR="00B573FE" w:rsidRPr="00A9375B" w:rsidRDefault="00B573FE" w:rsidP="003D74D8">
      <w:pPr>
        <w:pStyle w:val="BodyTextFirstIndent"/>
        <w:spacing w:line="480" w:lineRule="auto"/>
        <w:ind w:left="720" w:right="720" w:firstLine="0"/>
        <w:jc w:val="both"/>
        <w:rPr>
          <w:del w:id="200216" w:author="Claude" w:date="2026-09-27T12:00:00Z"/>
        </w:rPr>
      </w:pPr>
      <w:del w:id="200214" w:author="Claude" w:date="2026-09-27T12:00:00Z">
        <w:r>
          <w:delTex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delText>
        </w:r>
      </w:del>
      <w:del w:id="200215" w:author="Claude" w:date="2026-09-27T12:00:00Z">
        <w:r>
          <w:rPr>
            <w:rStyle w:val="FootnoteReference"/>
          </w:rPr>
          <w:footnoteReference w:id="76"/>
        </w:r>
      </w:del>
    </w:p>
    <w:p w14:paraId="2A95E1B8" w14:textId="147426F6" w:rsidR="002914DE" w:rsidRPr="00A9375B" w:rsidRDefault="00143D39" w:rsidP="003D74D8">
      <w:pPr>
        <w:pStyle w:val="BodyTextFirstIndent"/>
        <w:spacing w:line="480" w:lineRule="auto"/>
        <w:jc w:val="both"/>
        <w:rPr>
          <w:del w:id="200232" w:author="Claude" w:date="2026-09-27T12:00:00Z"/>
        </w:rPr>
      </w:pPr>
      <w:del w:id="200217" w:author="Claude" w:date="2026-09-27T12:00:00Z">
        <w:r>
          <w:delText>Unsurprisingly, with today’s generous pleading standards, modern Deliberative Bodies can circumvent any assessment of their cases’ legal and factual merit and instead focus on efficiently pursuing “settlement through mobilizing the court process.”</w:delText>
        </w:r>
      </w:del>
      <w:del w:id="200218" w:author="Claude" w:date="2026-09-27T12:00:00Z">
        <w:r>
          <w:rPr>
            <w:rStyle w:val="FootnoteReference"/>
          </w:rPr>
          <w:footnoteReference w:id="77"/>
        </w:r>
      </w:del>
      <w:del w:id="200219" w:author="Claude" w:date="2026-09-27T12:00:00Z">
        <w:r>
          <w:delText xml:space="preserve"> When Deliberative Bodies orient themselves around this goal, the trouble follows. In big law firms, the practice of delegating </w:delText>
          <w:lastRenderedPageBreak/>
          <w:delText>casework to inexperienced associates—who lack the judgment to recognize what matters and the incentive to report bad facts—means decision-making partners often decide a case is ripe for externalization based on information that was never tested to begin with.</w:delText>
        </w:r>
      </w:del>
      <w:del w:id="200220" w:author="Claude" w:date="2026-09-27T12:00:00Z">
        <w:r>
          <w:rPr>
            <w:rStyle w:val="FootnoteReference"/>
          </w:rPr>
          <w:footnoteReference w:id="78"/>
        </w:r>
      </w:del>
      <w:del w:id="200221" w:author="Claude" w:date="2026-09-27T12:00:00Z">
        <w:r>
          <w:delText xml:space="preserve"> This bureaucratic division is further exacerbated by a legal culture in which attorneys specialize in a narrow area of law, whose members experience their shared beliefs as objective fact and attribute bias only to outsider</w:delText>
        </w:r>
      </w:del>
      <w:del w:id="200222" w:author="Claude" w:date="2026-09-27T12:00:00Z">
        <w:r>
          <w:rPr>
            <w:color w:val="000000" w:themeColor="text1"/>
          </w:rPr>
          <w:delText>s.</w:delText>
        </w:r>
      </w:del>
      <w:del w:id="200223" w:author="Claude" w:date="2026-09-27T12:00:00Z">
        <w:r>
          <w:rPr>
            <w:rStyle w:val="FootnoteReference"/>
            <w:color w:val="000000" w:themeColor="text1"/>
          </w:rPr>
          <w:footnoteReference w:id="79"/>
        </w:r>
      </w:del>
      <w:del w:id="200224" w:author="Claude" w:date="2026-09-27T12:00:00Z">
        <w:r>
          <w:rPr>
            <w:color w:val="000000" w:themeColor="text1"/>
          </w:rPr>
          <w:delText xml:space="preserve"> </w:delText>
        </w:r>
      </w:del>
      <w:del w:id="200225" w:author="Claude" w:date="2026-09-27T12:00:00Z">
        <w:r>
          <w:delText>Within specialized practice groups, most firms experience insufficient employee voice, particularly regarding decisions employees perceive as unwise.</w:delText>
        </w:r>
      </w:del>
      <w:bookmarkStart w:id="10" w:name="_Ref222258968"/>
      <w:del w:id="200226" w:author="Claude" w:date="2026-09-27T12:00:00Z">
        <w:r>
          <w:rPr>
            <w:rStyle w:val="FootnoteReference"/>
          </w:rPr>
          <w:footnoteReference w:id="80"/>
        </w:r>
      </w:del>
      <w:bookmarkEnd w:id="10"/>
      <w:del w:id="200227" w:author="Claude" w:date="2026-09-27T12:00:00Z">
        <w:r>
          <w:delText xml:space="preserve"> Most importantly, unlike accounting or medicine, law firms often lack rigorous peer-review policies, relying instead on highly subjective professional judgment and deference to individual attorneys.</w:delText>
        </w:r>
      </w:del>
      <w:del w:id="200228" w:author="Claude" w:date="2026-09-27T12:00:00Z">
        <w:r>
          <w:rPr>
            <w:rStyle w:val="FootnoteReference"/>
          </w:rPr>
          <w:footnoteReference w:id="81"/>
        </w:r>
      </w:del>
      <w:del w:id="200229" w:author="Claude" w:date="2026-09-27T12:00:00Z">
        <w:r>
          <w:delText xml:space="preserve"> Especially regarding leadership, most leaders neither seek nor receive honest feedback, and most law firms fail to institutionalize assessments from subordinates.</w:delText>
        </w:r>
      </w:del>
      <w:del w:id="200230" w:author="Claude" w:date="2026-09-27T12:00:00Z">
        <w:r>
          <w:rPr>
            <w:rStyle w:val="FootnoteReference"/>
          </w:rPr>
          <w:footnoteReference w:id="82"/>
        </w:r>
      </w:del>
      <w:del w:id="200231" w:author="Claude" w:date="2026-09-27T12:00:00Z">
        <w:r>
          <w:delText xml:space="preserve"> </w:delText>
        </w:r>
      </w:del>
    </w:p>
    <w:p w14:paraId="6ABFCDDF" w14:textId="77777777" w:rsidR="00435F10" w:rsidRPr="00A9375B" w:rsidRDefault="00435F10" w:rsidP="003D74D8">
      <w:pPr>
        <w:pStyle w:val="BodyTextFirstIndent"/>
        <w:spacing w:line="480" w:lineRule="auto"/>
        <w:jc w:val="both"/>
        <w:rPr>
          <w:del w:id="200233" w:author="Claude" w:date="2026-09-27T12:00:00Z"/>
        </w:rPr>
      </w:pPr>
    </w:p>
    <w:p w14:paraId="3380AB83" w14:textId="3B8098D6" w:rsidR="00C708D7" w:rsidRPr="00A9375B" w:rsidRDefault="00C708D7" w:rsidP="003D74D8">
      <w:pPr>
        <w:pStyle w:val="BodyTextFirstIndent2"/>
        <w:numPr>
          <w:ilvl w:val="0"/>
          <w:numId w:val="35"/>
        </w:numPr>
        <w:spacing w:line="480" w:lineRule="auto"/>
        <w:jc w:val="both"/>
        <w:rPr>
          <w:del w:id="200235" w:author="Claude" w:date="2026-09-27T12:00:00Z"/>
          <w:i/>
          <w:iCs/>
          <w:smallCaps/>
        </w:rPr>
      </w:pPr>
      <w:del w:id="200234" w:author="Claude" w:date="2026-09-27T12:00:00Z">
        <w:r>
          <w:rPr>
            <w:i/>
            <w:iCs/>
            <w:smallCaps/>
          </w:rPr>
          <w:lastRenderedPageBreak/>
          <w:delText>Third Historical Development – Monetization of Disputes</w:delText>
        </w:r>
      </w:del>
    </w:p>
    <w:p w14:paraId="3AE1F961" w14:textId="77777777" w:rsidR="00435F10" w:rsidRPr="00A9375B" w:rsidRDefault="00435F10" w:rsidP="003D74D8">
      <w:pPr>
        <w:pStyle w:val="BodyTextFirstIndent2"/>
        <w:spacing w:line="480" w:lineRule="auto"/>
        <w:ind w:left="720" w:firstLine="0"/>
        <w:jc w:val="both"/>
        <w:rPr>
          <w:del w:id="200236" w:author="Claude" w:date="2026-09-27T12:00:00Z"/>
        </w:rPr>
      </w:pPr>
    </w:p>
    <w:p w14:paraId="3F51F8F5" w14:textId="011ED286" w:rsidR="00EB1107" w:rsidRPr="00A9375B" w:rsidRDefault="00B663C8" w:rsidP="003D74D8">
      <w:pPr>
        <w:pStyle w:val="BodyTextFirstIndent"/>
        <w:spacing w:line="480" w:lineRule="auto"/>
        <w:jc w:val="both"/>
        <w:rPr>
          <w:del w:id="200244" w:author="Claude" w:date="2026-09-27T12:00:00Z"/>
        </w:rPr>
      </w:pPr>
      <w:del w:id="200237" w:author="Claude" w:date="2026-09-27T12:00:00Z">
        <w:r>
          <w:delText>Third, fixed attorney rates dominated much of American legal history. Then “discovery focused lawyers’ efforts on pretrial maneuvering rather than trials,” and “during the 1960s and early 1970s, much of the legal profession switched to hourly billing.”</w:delText>
        </w:r>
      </w:del>
      <w:del w:id="200238" w:author="Claude" w:date="2026-09-27T12:00:00Z">
        <w:r>
          <w:rPr>
            <w:rStyle w:val="FootnoteReference"/>
          </w:rPr>
          <w:footnoteReference w:id="83"/>
        </w:r>
      </w:del>
      <w:del w:id="200239" w:author="Claude" w:date="2026-09-27T12:00:00Z">
        <w:r>
          <w:delTex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delText>
        </w:r>
      </w:del>
      <w:del w:id="200240" w:author="Claude" w:date="2026-09-27T12:00:00Z">
        <w:r>
          <w:rPr>
            <w:rStyle w:val="FootnoteReference"/>
          </w:rPr>
          <w:footnoteReference w:id="84"/>
        </w:r>
      </w:del>
      <w:del w:id="200241" w:author="Claude" w:date="2026-09-27T12:00:00Z">
        <w:r>
          <w:delText xml:space="preserve"> By creating an incentive structure where pretrial maneuvering is lucrative regardless of a case’s ultimate success, the hourly model effectively removes the financial penalty for indulging in cognitive biases,</w:delText>
        </w:r>
      </w:del>
      <w:del w:id="200242" w:author="Claude" w:date="2026-09-27T12:00:00Z">
        <w:r>
          <w:rPr>
            <w:rStyle w:val="FootnoteReference"/>
          </w:rPr>
          <w:footnoteReference w:id="85"/>
        </w:r>
      </w:del>
      <w:del w:id="200243" w:author="Claude" w:date="2026-09-27T12:00:00Z">
        <w:r>
          <w:delText xml:space="preserve"> as explained by one scholar:</w:delText>
        </w:r>
      </w:del>
    </w:p>
    <w:p w14:paraId="0297D412" w14:textId="5D99454D" w:rsidR="00AA189D" w:rsidRPr="00A9375B" w:rsidRDefault="00EB1107" w:rsidP="003D74D8">
      <w:pPr>
        <w:pStyle w:val="BodyTextFirstIndent"/>
        <w:spacing w:line="480" w:lineRule="auto"/>
        <w:ind w:left="720" w:right="720" w:firstLine="0"/>
        <w:jc w:val="both"/>
        <w:rPr>
          <w:del w:id="200247" w:author="Claude" w:date="2026-09-27T12:00:00Z"/>
        </w:rPr>
      </w:pPr>
      <w:del w:id="200245" w:author="Claude" w:date="2026-09-27T12:00:00Z">
        <w:r>
          <w:delTex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delText>
          <w:lastRenderedPageBreak/>
          <w:delText>. . . . [L]awyers may engage in wishful thinking: They might believe a certain outcome is probable simply because of a desire to reach it”</w:delText>
        </w:r>
      </w:del>
      <w:del w:id="200246" w:author="Claude" w:date="2026-09-27T12:00:00Z">
        <w:r>
          <w:rPr>
            <w:rStyle w:val="FootnoteReference"/>
            <w:color w:val="000000" w:themeColor="text1"/>
          </w:rPr>
          <w:footnoteReference w:id="86"/>
        </w:r>
      </w:del>
    </w:p>
    <w:p w14:paraId="1A93AD5B" w14:textId="55193EE0" w:rsidR="00B06079" w:rsidRPr="00A9375B" w:rsidRDefault="00667707" w:rsidP="003D74D8">
      <w:pPr>
        <w:pStyle w:val="BodyTextFirstIndent"/>
        <w:spacing w:line="480" w:lineRule="auto"/>
        <w:jc w:val="both"/>
        <w:rPr>
          <w:del w:id="200259" w:author="Claude" w:date="2026-09-27T12:00:00Z"/>
        </w:rPr>
      </w:pPr>
      <w:del w:id="200248" w:author="Claude" w:date="2026-09-27T12:00:00Z">
        <w:r>
          <w:delText>Professor Ian Weinstein concurs, further claiming that, as a result of overconfidence, “[t]oo many lawyers . . . have been sorely tempted to accept an early decision to go to trial. . . . It can be very satisfying to stride into the courtroom and demand an early trial date.”</w:delText>
        </w:r>
      </w:del>
      <w:del w:id="200249" w:author="Claude" w:date="2026-09-27T12:00:00Z">
        <w:r>
          <w:rPr>
            <w:rStyle w:val="FootnoteReference"/>
            <w:color w:val="000000" w:themeColor="text1"/>
          </w:rPr>
          <w:footnoteReference w:id="87"/>
        </w:r>
      </w:del>
      <w:del w:id="200250" w:author="Claude" w:date="2026-09-27T12:00:00Z">
        <w:r>
          <w:delText xml:space="preserve"> This overconfidence leads practitioners to weigh evidence supporting their prior beliefs more heavily than evidence contradicting them—confirmation bias.</w:delText>
        </w:r>
      </w:del>
      <w:del w:id="200251" w:author="Claude" w:date="2026-09-27T12:00:00Z">
        <w:r>
          <w:rPr>
            <w:rStyle w:val="FootnoteReference"/>
            <w:color w:val="000000" w:themeColor="text1"/>
          </w:rPr>
          <w:footnoteReference w:id="88"/>
        </w:r>
      </w:del>
      <w:del w:id="200252" w:author="Claude" w:date="2026-09-27T12:00:00Z">
        <w:r>
          <w:delText xml:space="preserve"> If lawyers focus exclusively on selecting the optimal external forum rather than scrutinizing their claims, “the motivation to achieve a certain case outcome may lead lawyers to discount the assessment of the external party if it does not fit with their preferred belief.”</w:delText>
        </w:r>
      </w:del>
      <w:del w:id="200253" w:author="Claude" w:date="2026-09-27T12:00:00Z">
        <w:r>
          <w:rPr>
            <w:rStyle w:val="FootnoteReference"/>
            <w:color w:val="000000" w:themeColor="text1"/>
          </w:rPr>
          <w:footnoteReference w:id="89"/>
        </w:r>
      </w:del>
      <w:del w:id="200254" w:author="Claude" w:date="2026-09-27T12:00:00Z">
        <w:r>
          <w:delText xml:space="preserve"> Even if an attorney is not rushing into the courtroom, the trouble remains: “to be really good at doing law, one has to have serious blind spots and a stunningly selective sense </w:delText>
          <w:lastRenderedPageBreak/>
          <w:delText>of curiosity.”</w:delText>
        </w:r>
      </w:del>
      <w:del w:id="200255" w:author="Claude" w:date="2026-09-27T12:00:00Z">
        <w:r>
          <w:rPr>
            <w:rStyle w:val="FootnoteReference"/>
            <w:color w:val="000000" w:themeColor="text1"/>
          </w:rPr>
          <w:footnoteReference w:id="90"/>
        </w:r>
      </w:del>
      <w:del w:id="200256" w:author="Claude" w:date="2026-09-27T12:00:00Z">
        <w:r>
          <w:delText xml:space="preserve"> And some of the most high-profile senior partners excel at “dismissing or reframing adverse precedent that fails to suit the position they want to take.”</w:delText>
        </w:r>
      </w:del>
      <w:del w:id="200257" w:author="Claude" w:date="2026-09-27T12:00:00Z">
        <w:r>
          <w:rPr>
            <w:rStyle w:val="FootnoteReference"/>
            <w:color w:val="000000" w:themeColor="text1"/>
          </w:rPr>
          <w:footnoteReference w:id="91"/>
        </w:r>
      </w:del>
      <w:del w:id="200258" w:author="Claude" w:date="2026-09-27T12:00:00Z">
        <w:r>
          <w:delText xml:space="preserve"> </w:delText>
        </w:r>
      </w:del>
    </w:p>
    <w:p w14:paraId="18D80D89" w14:textId="448DF081" w:rsidR="00556D4F" w:rsidRPr="00A9375B" w:rsidRDefault="001A6B9B" w:rsidP="003D74D8">
      <w:pPr>
        <w:pStyle w:val="BodyTextFirstIndent"/>
        <w:spacing w:line="480" w:lineRule="auto"/>
        <w:jc w:val="both"/>
        <w:rPr>
          <w:del w:id="200261" w:author="Claude" w:date="2026-09-27T12:00:00Z"/>
        </w:rPr>
      </w:pPr>
      <w:del w:id="200260" w:author="Claude" w:date="2026-09-27T12:00:00Z">
        <w:r>
          <w:delText>Combined, these three historical circumstances—the profession’s choice of zealous advocacy, the unique American institutional capacity for disputes, and the culture of billable hours—have produced a present in which:</w:delText>
        </w:r>
      </w:del>
    </w:p>
    <w:p w14:paraId="6EA39F71" w14:textId="55030E39" w:rsidR="00D13E93" w:rsidRPr="00A9375B" w:rsidRDefault="00556D4F" w:rsidP="003D74D8">
      <w:pPr>
        <w:pStyle w:val="BodyTextFirstIndent"/>
        <w:spacing w:line="480" w:lineRule="auto"/>
        <w:ind w:left="720" w:right="720" w:firstLine="0"/>
        <w:jc w:val="both"/>
        <w:rPr>
          <w:del w:id="200264" w:author="Claude" w:date="2026-09-27T12:00:00Z"/>
        </w:rPr>
      </w:pPr>
      <w:del w:id="200262" w:author="Claude" w:date="2026-09-27T12:00:00Z">
        <w:r>
          <w:delText>“the combat mode of advocacy is far more expensive than effective . . . although earnest, forceful, and devoted representation is both zealous and proper, Rambo and kamikaze lawyers lead themselves and their clients to zealous extinction.”</w:delText>
        </w:r>
      </w:del>
      <w:del w:id="200263" w:author="Claude" w:date="2026-09-27T12:00:00Z">
        <w:r>
          <w:rPr>
            <w:rStyle w:val="FootnoteReference"/>
          </w:rPr>
          <w:footnoteReference w:id="92"/>
        </w:r>
      </w:del>
    </w:p>
    <w:p w14:paraId="763DBA5B" w14:textId="215187B3" w:rsidR="008969CF" w:rsidRPr="00FB4F49" w:rsidRDefault="00FB4F49" w:rsidP="003D74D8">
      <w:pPr>
        <w:pStyle w:val="BodyTextFirstIndent"/>
        <w:spacing w:line="480" w:lineRule="auto"/>
        <w:jc w:val="both"/>
        <w:rPr>
          <w:del w:id="200277" w:author="Claude" w:date="2026-09-27T12:00:00Z"/>
        </w:rPr>
      </w:pPr>
      <w:del w:id="200265" w:author="Claude" w:date="2026-09-27T12:00:00Z">
        <w:r>
          <w:delText>Put simply, history impacts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Yet the modern Quality Control Mechanism proposed in this Note can neutralize these biases: authentic dissent generated by a cognitively diverse team.</w:delText>
        </w:r>
      </w:del>
      <w:del w:id="200266" w:author="Claude" w:date="2026-09-27T12:00:00Z">
        <w:r>
          <w:rPr>
            <w:rStyle w:val="FootnoteReference"/>
            <w:color w:val="000000" w:themeColor="text1"/>
          </w:rPr>
          <w:footnoteReference w:id="93"/>
        </w:r>
      </w:del>
      <w:del w:id="200267" w:author="Claude" w:date="2026-09-27T12:00:00Z">
        <w:r>
          <w:delTex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delText>
        </w:r>
      </w:del>
      <w:del w:id="200268" w:author="Claude" w:date="2026-09-27T12:00:00Z">
        <w:r>
          <w:rPr>
            <w:rStyle w:val="FootnoteReference"/>
          </w:rPr>
          <w:footnoteReference w:id="94"/>
        </w:r>
      </w:del>
      <w:del w:id="200269" w:author="Claude" w:date="2026-09-27T12:00:00Z">
        <w:r>
          <w:delText xml:space="preserve"> Unfortunately, a high </w:delText>
          <w:lastRenderedPageBreak/>
          <w:delText>degree of psychological safety “is the exception in organizations, not the norm.”</w:delText>
        </w:r>
      </w:del>
      <w:del w:id="200270" w:author="Claude" w:date="2026-09-27T12:00:00Z">
        <w:r>
          <w:rPr>
            <w:rStyle w:val="FootnoteReference"/>
          </w:rPr>
          <w:footnoteReference w:id="95"/>
        </w:r>
      </w:del>
      <w:del w:id="200271" w:author="Claude" w:date="2026-09-27T12:00:00Z">
        <w:r>
          <w:delTex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delText>
        </w:r>
      </w:del>
      <w:del w:id="200272" w:author="Claude" w:date="2026-09-27T12:00:00Z">
        <w:r>
          <w:rPr>
            <w:rStyle w:val="FootnoteReference"/>
            <w:color w:val="000000" w:themeColor="text1"/>
          </w:rPr>
          <w:footnoteReference w:id="96"/>
        </w:r>
      </w:del>
      <w:del w:id="200273" w:author="Claude" w:date="2026-09-27T12:00:00Z">
        <w:r>
          <w:delText xml:space="preserve"> A Deliberative Body serves its own interest by considering my suggestions, as research demonstrates that a team’s output quality improves </w:delText>
        </w:r>
      </w:del>
      <w:del w:id="200274" w:author="Claude" w:date="2026-09-27T12:00:00Z">
        <w:r>
          <w:rPr>
            <w:iCs/>
          </w:rPr>
          <w:delText>through the inclusion of authentic dissent.</w:delText>
        </w:r>
      </w:del>
      <w:del w:id="200275" w:author="Claude" w:date="2026-09-27T12:00:00Z">
        <w:r>
          <w:rPr>
            <w:rStyle w:val="FootnoteReference"/>
            <w:iCs/>
          </w:rPr>
          <w:footnoteReference w:id="97"/>
        </w:r>
      </w:del>
      <w:del w:id="200276" w:author="Claude" w:date="2026-09-27T12:00:00Z">
        <w:r>
          <w:rPr>
            <w:iCs/>
          </w:rPr>
          <w:delText xml:space="preserve"> </w:delText>
        </w:r>
      </w:del>
    </w:p>
    <w:p w14:paraId="307E9CF2" w14:textId="77777777" w:rsidR="00CC4B9B" w:rsidRPr="00A9375B" w:rsidRDefault="00CC4B9B" w:rsidP="003D74D8">
      <w:pPr>
        <w:pStyle w:val="BodyTextFirstIndent"/>
        <w:spacing w:line="480" w:lineRule="auto"/>
        <w:ind w:firstLine="0"/>
        <w:jc w:val="both"/>
        <w:rPr>
          <w:del w:id="200278" w:author="Claude" w:date="2026-09-27T12:00:00Z"/>
        </w:rPr>
      </w:pPr>
    </w:p>
    <w:p w14:paraId="35CCEF55" w14:textId="3F17F672" w:rsidR="00CC4B9B" w:rsidRPr="00A9375B" w:rsidRDefault="00CC4B9B" w:rsidP="003D74D8">
      <w:pPr>
        <w:pStyle w:val="BodyTextFirstIndent"/>
        <w:numPr>
          <w:ilvl w:val="0"/>
          <w:numId w:val="33"/>
        </w:numPr>
        <w:spacing w:line="480" w:lineRule="auto"/>
        <w:jc w:val="both"/>
        <w:rPr>
          <w:del w:id="200280" w:author="Claude" w:date="2026-09-27T12:00:00Z"/>
          <w:i/>
          <w:iCs/>
        </w:rPr>
      </w:pPr>
      <w:del w:id="200279" w:author="Claude" w:date="2026-09-27T12:00:00Z">
        <w:r>
          <w:rPr>
            <w:i/>
            <w:iCs/>
          </w:rPr>
          <w:delText>Roadmap</w:delText>
        </w:r>
      </w:del>
    </w:p>
    <w:p w14:paraId="29745895" w14:textId="77777777" w:rsidR="00CC4B9B" w:rsidRPr="00A9375B" w:rsidRDefault="00CC4B9B" w:rsidP="003D74D8">
      <w:pPr>
        <w:pStyle w:val="BodyTextFirstIndent"/>
        <w:spacing w:line="480" w:lineRule="auto"/>
        <w:ind w:left="360" w:firstLine="0"/>
        <w:jc w:val="both"/>
        <w:rPr>
          <w:del w:id="200281" w:author="Claude" w:date="2026-09-27T12:00:00Z"/>
        </w:rPr>
      </w:pPr>
    </w:p>
    <w:p w14:paraId="72E87728" w14:textId="3CF53CEE" w:rsidR="00765972" w:rsidRPr="00A9375B" w:rsidRDefault="00D13E93" w:rsidP="003D74D8">
      <w:pPr>
        <w:pStyle w:val="BodyTextFirstIndent"/>
        <w:spacing w:line="480" w:lineRule="auto"/>
        <w:jc w:val="both"/>
        <w:rPr>
          <w:del w:id="200295" w:author="Claude" w:date="2026-09-27T12:00:00Z"/>
        </w:rPr>
      </w:pPr>
      <w:del w:id="200282" w:author="Claude" w:date="2026-09-27T12:00:00Z">
        <w:r>
          <w:delText xml:space="preserve">This Note proceeds in eight parts, each building toward a reconceptualization of alternative dispute resolution. Section II examines </w:delText>
        </w:r>
      </w:del>
      <w:del w:id="200283" w:author="Claude" w:date="2026-09-27T12:00:00Z">
        <w:r>
          <w:rPr>
            <w:i/>
            <w:iCs/>
          </w:rPr>
          <w:delText>United States v. Skrmetti</w:delText>
        </w:r>
      </w:del>
      <w:del w:id="200284" w:author="Claude" w:date="2026-09-27T12:00:00Z">
        <w:r>
          <w:delText xml:space="preserve"> as a paradigmatic failure of </w:delText>
          <w:lastRenderedPageBreak/>
          <w:delText>insular advocacy, demonstrating how the absence of internal dissent mechanisms led to predictable strategic errors that rigorous pre-externalization scrutiny could have avoided.</w:delText>
        </w:r>
      </w:del>
      <w:del w:id="200285" w:author="Claude" w:date="2026-09-27T12:00:00Z">
        <w:r>
          <w:rPr>
            <w:rStyle w:val="FootnoteReference"/>
          </w:rPr>
          <w:footnoteReference w:id="98"/>
        </w:r>
      </w:del>
      <w:del w:id="200286" w:author="Claude" w:date="2026-09-27T12:00:00Z">
        <w:r>
          <w:delText xml:space="preserve"> The substance of this case implicates a contested area of law and policy. The analytical focus is </w:delText>
        </w:r>
      </w:del>
      <w:del w:id="200287" w:author="Claude" w:date="2026-09-27T12:00:00Z">
        <w:r>
          <w:rPr>
            <w:i/>
            <w:iCs/>
          </w:rPr>
          <w:delText>not</w:delText>
        </w:r>
      </w:del>
      <w:del w:id="200288" w:author="Claude" w:date="2026-09-27T12:00:00Z">
        <w:r>
          <w:delText xml:space="preserve"> on any policies advanced in litigation, but rather on a narrower institutional question: whether the claims would have been externalized had they been subjected to rigorous internal scrutiny. Any criticisms in Section II relate </w:delText>
        </w:r>
      </w:del>
      <w:del w:id="200289" w:author="Claude" w:date="2026-09-27T12:00:00Z">
        <w:r>
          <w:rPr>
            <w:i/>
            <w:iCs/>
          </w:rPr>
          <w:delText>solely</w:delText>
        </w:r>
      </w:del>
      <w:del w:id="200290" w:author="Claude" w:date="2026-09-27T12:00:00Z">
        <w:r>
          <w:delText xml:space="preserve"> to that narrow institutional focus and and readers should not take them for a critique of the plaintiffs or their cause. 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Section IV analyzes the Constitutional Convention of 1787 as historical evidence that, even when all the preconditions for groupthink are present, deliberate institutional design can successfully prevent it. The Convention enacted “rules devised to free the delegates to float new ideas, change their minds, alter course, and flexibly respond to new arguments, evidence, and proposals without fear of recrimination”.</w:delText>
        </w:r>
      </w:del>
      <w:del w:id="200291" w:author="Claude" w:date="2026-09-27T12:00:00Z">
        <w:r>
          <w:rPr>
            <w:rStyle w:val="FootnoteReference"/>
          </w:rPr>
          <w:footnoteReference w:id="99"/>
        </w:r>
      </w:del>
      <w:del w:id="200292" w:author="Claude" w:date="2026-09-27T12:00:00Z">
        <w:r>
          <w:delText xml:space="preserve"> Section V traces the 2,500-year history of pre-filing dispute resolution across Ancient Near Eastern, Classical Greek, </w:delText>
          <w:lastRenderedPageBreak/>
          <w:delText>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del w:id="200293" w:author="Claude" w:date="2026-09-27T12:00:00Z">
        <w:r>
          <w:rPr>
            <w:rStyle w:val="FootnoteReference"/>
          </w:rPr>
          <w:footnoteReference w:id="100"/>
        </w:r>
      </w:del>
      <w:del w:id="200294" w:author="Claude" w:date="2026-09-27T12:00:00Z">
        <w:r>
          <w:delText xml:space="preserve"> Section VII explores, in psychology and practice, why modern Deliberative Bodies fail to implement QCMs, and details how modern legal teams can return to their historical roots by cultivating authentic dissent. This penultimate section concludes with the Note’s final case study, demonstrating how Theodore Olson and David Boies employed rigorous pre-filing scrutiny and structured deliberations in their successful marriage-equality challenge to California’s Proposition 8. Finally, Section VIII concludes with thoughts on the future of ADR.</w:delText>
        </w:r>
      </w:del>
    </w:p>
    <w:bookmarkEnd w:id="0"/>
    <w:bookmarkEnd w:id="1"/>
    <w:p w14:paraId="22584AC8" w14:textId="77777777" w:rsidR="00D67340" w:rsidRDefault="00D67340" w:rsidP="003D74D8">
      <w:pPr>
        <w:pStyle w:val="BodyTextFirstIndent"/>
        <w:spacing w:line="480" w:lineRule="auto"/>
        <w:jc w:val="both"/>
        <w:rPr>
          <w:del w:id="200296" w:author="Claude" w:date="2026-09-27T12:00:00Z"/>
        </w:rPr>
      </w:pPr>
    </w:p>
    <w:p w14:paraId="5DE35276" w14:textId="77777777" w:rsidR="001B515B" w:rsidRDefault="001B515B" w:rsidP="003D74D8">
      <w:pPr>
        <w:pStyle w:val="BodyTextFirstIndent"/>
        <w:spacing w:line="480" w:lineRule="auto"/>
        <w:jc w:val="both"/>
        <w:rPr>
          <w:del w:id="200297" w:author="Claude" w:date="2026-09-27T12:00:00Z"/>
        </w:rPr>
      </w:pPr>
    </w:p>
    <w:p w14:paraId="3782EF45" w14:textId="77777777" w:rsidR="001B515B" w:rsidRPr="00A9375B" w:rsidRDefault="001B515B" w:rsidP="003D74D8">
      <w:pPr>
        <w:pStyle w:val="BodyTextFirstIndent"/>
        <w:spacing w:line="480" w:lineRule="auto"/>
        <w:jc w:val="both"/>
        <w:rPr>
          <w:del w:id="200298" w:author="Claude" w:date="2026-09-27T12:00:00Z"/>
        </w:rPr>
      </w:pPr>
    </w:p>
    <w:p w14:paraId="61A8A953" w14:textId="3CA3F21B" w:rsidR="00105CBB" w:rsidRPr="00A9375B" w:rsidRDefault="00EB057E" w:rsidP="003D74D8">
      <w:pPr>
        <w:pStyle w:val="ListParagraph"/>
        <w:numPr>
          <w:ilvl w:val="0"/>
          <w:numId w:val="31"/>
        </w:numPr>
        <w:spacing w:line="480" w:lineRule="auto"/>
        <w:jc w:val="center"/>
        <w:rPr>
          <w:del w:id="200302" w:author="Claude" w:date="2026-09-27T12:00:00Z"/>
          <w:smallCaps/>
          <w:color w:val="000000" w:themeColor="text1"/>
        </w:rPr>
      </w:pPr>
      <w:del w:id="200299" w:author="Claude" w:date="2026-09-27T12:00:00Z">
        <w:r>
          <w:rPr>
            <w:smallCaps/>
            <w:color w:val="000000" w:themeColor="text1"/>
          </w:rPr>
          <w:delText xml:space="preserve">When Insular Advocacy Fails: The </w:delText>
        </w:r>
      </w:del>
      <w:del w:id="200300" w:author="Claude" w:date="2026-09-27T12:00:00Z">
        <w:r>
          <w:rPr>
            <w:i/>
            <w:iCs/>
            <w:smallCaps/>
            <w:color w:val="000000" w:themeColor="text1"/>
          </w:rPr>
          <w:delText>Skrmetti</w:delText>
        </w:r>
      </w:del>
      <w:del w:id="200301" w:author="Claude" w:date="2026-09-27T12:00:00Z">
        <w:r>
          <w:rPr>
            <w:smallCaps/>
            <w:color w:val="000000" w:themeColor="text1"/>
          </w:rPr>
          <w:delText xml:space="preserve"> Case</w:delText>
        </w:r>
      </w:del>
    </w:p>
    <w:p w14:paraId="0E9D7308" w14:textId="77777777" w:rsidR="00B41952" w:rsidRPr="00A9375B" w:rsidRDefault="00B41952" w:rsidP="003D74D8">
      <w:pPr>
        <w:spacing w:line="480" w:lineRule="auto"/>
        <w:jc w:val="both"/>
        <w:rPr>
          <w:del w:id="200303" w:author="Claude" w:date="2026-09-27T12:00:00Z"/>
          <w:color w:val="000000" w:themeColor="text1"/>
        </w:rPr>
      </w:pPr>
    </w:p>
    <w:p w14:paraId="38BC76F7" w14:textId="3BD09587" w:rsidR="00B41952" w:rsidRPr="00A9375B" w:rsidRDefault="00EB057E" w:rsidP="003D74D8">
      <w:pPr>
        <w:pStyle w:val="ListParagraph"/>
        <w:numPr>
          <w:ilvl w:val="0"/>
          <w:numId w:val="8"/>
        </w:numPr>
        <w:spacing w:line="480" w:lineRule="auto"/>
        <w:jc w:val="both"/>
        <w:rPr>
          <w:del w:id="200305" w:author="Claude" w:date="2026-09-27T12:00:00Z"/>
          <w:i/>
          <w:iCs/>
          <w:color w:val="000000" w:themeColor="text1"/>
        </w:rPr>
      </w:pPr>
      <w:del w:id="200304" w:author="Claude" w:date="2026-09-27T12:00:00Z">
        <w:r>
          <w:rPr>
            <w:i/>
            <w:iCs/>
            <w:color w:val="000000" w:themeColor="text1"/>
          </w:rPr>
          <w:delText>The Litigation and Its Predictable Defeat</w:delText>
        </w:r>
      </w:del>
    </w:p>
    <w:p w14:paraId="648F7DC5" w14:textId="77777777" w:rsidR="00D67340" w:rsidRPr="00A9375B" w:rsidRDefault="00D67340" w:rsidP="003D74D8">
      <w:pPr>
        <w:spacing w:line="480" w:lineRule="auto"/>
        <w:ind w:left="360"/>
        <w:jc w:val="both"/>
        <w:rPr>
          <w:del w:id="200306" w:author="Claude" w:date="2026-09-27T12:00:00Z"/>
          <w:i/>
          <w:iCs/>
          <w:color w:val="000000" w:themeColor="text1"/>
        </w:rPr>
      </w:pPr>
    </w:p>
    <w:p w14:paraId="1D7B58AD" w14:textId="3172E695" w:rsidR="00744906" w:rsidRPr="00A9375B" w:rsidRDefault="00C97DF2" w:rsidP="003D74D8">
      <w:pPr>
        <w:pStyle w:val="BodyTextFirstIndent"/>
        <w:spacing w:line="480" w:lineRule="auto"/>
        <w:jc w:val="both"/>
        <w:rPr>
          <w:del w:id="200333" w:author="Claude" w:date="2026-09-27T12:00:00Z"/>
        </w:rPr>
      </w:pPr>
      <w:bookmarkStart w:id="11" w:name="OLE_LINK5"/>
      <w:bookmarkStart w:id="12" w:name="OLE_LINK6"/>
      <w:del w:id="200307" w:author="Claude" w:date="2026-09-27T12:00:00Z">
        <w:r>
          <w:lastRenderedPageBreak/>
          <w:delText xml:space="preserve">The Plaintiffs’ case in </w:delText>
        </w:r>
      </w:del>
      <w:del w:id="200308" w:author="Claude" w:date="2026-09-27T12:00:00Z">
        <w:r>
          <w:rPr>
            <w:i/>
            <w:iCs/>
          </w:rPr>
          <w:delText>United States v.</w:delText>
        </w:r>
      </w:del>
      <w:del w:id="200309" w:author="Claude" w:date="2026-09-27T12:00:00Z">
        <w:r>
          <w:delText xml:space="preserve"> </w:delText>
        </w:r>
      </w:del>
      <w:del w:id="200310" w:author="Claude" w:date="2026-09-27T12:00:00Z">
        <w:r>
          <w:rPr>
            <w:i/>
            <w:iCs/>
          </w:rPr>
          <w:delText>Skrmetti</w:delText>
        </w:r>
      </w:del>
      <w:del w:id="200311" w:author="Claude" w:date="2026-09-27T12:00:00Z">
        <w:r>
          <w:delText xml:space="preserve"> was a predictable loss</w:delText>
        </w:r>
      </w:del>
      <w:bookmarkEnd w:id="11"/>
      <w:bookmarkEnd w:id="12"/>
      <w:del w:id="200312" w:author="Claude" w:date="2026-09-27T12:00:00Z">
        <w:r>
          <w:delText>.</w:delText>
        </w:r>
      </w:del>
      <w:bookmarkStart w:id="13" w:name="_Ref214051262"/>
      <w:del w:id="200313" w:author="Claude" w:date="2026-09-27T12:00:00Z">
        <w:r>
          <w:rPr>
            <w:rStyle w:val="FootnoteReference"/>
            <w:color w:val="000000" w:themeColor="text1"/>
          </w:rPr>
          <w:footnoteReference w:id="101"/>
        </w:r>
      </w:del>
      <w:bookmarkEnd w:id="13"/>
      <w:del w:id="200314" w:author="Claude" w:date="2026-09-27T12:00:00Z">
        <w:r>
          <w:delText xml:space="preserve"> The case did not solely involve a conservative Court voting against progressive interests.</w:delText>
        </w:r>
      </w:del>
      <w:bookmarkStart w:id="14" w:name="_Ref214051272"/>
      <w:del w:id="200315" w:author="Claude" w:date="2026-09-27T12:00:00Z">
        <w:r>
          <w:rPr>
            <w:rStyle w:val="FootnoteReference"/>
            <w:color w:val="000000" w:themeColor="text1"/>
          </w:rPr>
          <w:footnoteReference w:id="102"/>
        </w:r>
      </w:del>
      <w:bookmarkEnd w:id="14"/>
      <w:del w:id="200316" w:author="Claude" w:date="2026-09-27T12:00:00Z">
        <w:r>
          <w:delText xml:space="preserve"> Skrmetti arose from a decade</w:delText>
        </w:r>
      </w:del>
      <w:del w:id="200317" w:author="Claude" w:date="2026-09-27T12:00:00Z">
        <w:r>
          <w:rPr>
            <w:i/>
            <w:iCs/>
          </w:rPr>
          <w:delText xml:space="preserve"> of rapid legal and cultural change.</w:delText>
        </w:r>
      </w:del>
      <w:del w:id="200318" w:author="Claude" w:date="2026-09-27T12:00:00Z">
        <w:r>
          <w:rPr>
            <w:rStyle w:val="FootnoteReference"/>
            <w:color w:val="000000" w:themeColor="text1"/>
          </w:rPr>
          <w:footnoteReference w:id="103"/>
        </w:r>
      </w:del>
      <w:del w:id="200319" w:author="Claude" w:date="2026-09-27T12:00:00Z">
        <w:r>
          <w:delText xml:space="preserve"> Unlike in the corporate sphere, where a jeans advertisement can mobilize social media activists who pressure the alleged infringer to capitulate,</w:delText>
        </w:r>
      </w:del>
      <w:del w:id="200320" w:author="Claude" w:date="2026-09-27T12:00:00Z">
        <w:r>
          <w:rPr>
            <w:rStyle w:val="FootnoteReference"/>
            <w:color w:val="000000" w:themeColor="text1"/>
          </w:rPr>
          <w:delText xml:space="preserve"> </w:delText>
          <w:footnoteReference w:id="104"/>
        </w:r>
      </w:del>
      <w:del w:id="200321" w:author="Claude" w:date="2026-09-27T12:00:00Z">
        <w:r>
          <w:delText>courts are, by design and in practice, insulated from such campaigns.</w:delText>
        </w:r>
      </w:del>
      <w:del w:id="200322" w:author="Claude" w:date="2026-09-27T12:00:00Z">
        <w:r>
          <w:rPr>
            <w:rStyle w:val="FootnoteReference"/>
            <w:color w:val="000000" w:themeColor="text1"/>
          </w:rPr>
          <w:footnoteReference w:id="105"/>
        </w:r>
      </w:del>
      <w:del w:id="200323" w:author="Claude" w:date="2026-09-27T12:00:00Z">
        <w:r>
          <w:delText xml:space="preserve"> The Skrmetti Plaintiffs’ </w:delText>
          <w:lastRenderedPageBreak/>
          <w:delText>lead advocate, Chase Strangio of the ACLU, brought this culture’s habits into the legal sphere, as he “was a big part of that online world that was so incredibly vicious…in trying to suppress the speech of people who disagree[d]” on the trans rights movement.</w:delText>
        </w:r>
      </w:del>
      <w:bookmarkStart w:id="15" w:name="_Ref219036269"/>
      <w:del w:id="200324" w:author="Claude" w:date="2026-09-27T12:00:00Z">
        <w:r>
          <w:rPr>
            <w:rStyle w:val="FootnoteReference"/>
            <w:color w:val="000000" w:themeColor="text1"/>
          </w:rPr>
          <w:footnoteReference w:id="106"/>
        </w:r>
      </w:del>
      <w:bookmarkEnd w:id="15"/>
      <w:del w:id="200325" w:author="Claude" w:date="2026-09-27T12:00:00Z">
        <w:r>
          <w:delText xml:space="preserve"> Strangio, who had “a reputation that did not tolerate dissent,” allowed the ACLU’s </w:delText>
        </w:r>
      </w:del>
      <w:del w:id="200326" w:author="Claude" w:date="2026-09-27T12:00:00Z">
        <w:r>
          <w:rPr>
            <w:i/>
            <w:iCs/>
          </w:rPr>
          <w:delText xml:space="preserve">Skrmetti </w:delText>
        </w:r>
      </w:del>
      <w:del w:id="200327" w:author="Claude" w:date="2026-09-27T12:00:00Z">
        <w:r>
          <w:delText>strategy to become an echo chamber suffused with internal strife.</w:delText>
        </w:r>
      </w:del>
      <w:del w:id="200328" w:author="Claude" w:date="2026-09-27T12:00:00Z">
        <w:r>
          <w:rPr>
            <w:rStyle w:val="FootnoteReference"/>
            <w:color w:val="000000" w:themeColor="text1"/>
          </w:rPr>
          <w:footnoteReference w:id="107"/>
        </w:r>
      </w:del>
      <w:del w:id="200329" w:author="Claude" w:date="2026-09-27T12:00:00Z">
        <w:r>
          <w:delText xml:space="preserve">  One ACLU lawyer observed that “a dogmatism descends sometimes” and that “you hesitate before you question a belief that is ascendant among your peer group</w:delText>
        </w:r>
      </w:del>
      <w:bookmarkStart w:id="16" w:name="_Ref214050774"/>
      <w:del w:id="200330" w:author="Claude" w:date="2026-09-27T12:00:00Z">
        <w:r>
          <w:delText>.”</w:delText>
        </w:r>
      </w:del>
      <w:bookmarkStart w:id="17" w:name="_Ref217233450"/>
      <w:del w:id="200331" w:author="Claude" w:date="2026-09-27T12:00:00Z">
        <w:r>
          <w:rPr>
            <w:rStyle w:val="FootnoteReference"/>
          </w:rPr>
          <w:footnoteReference w:id="108"/>
        </w:r>
      </w:del>
      <w:bookmarkEnd w:id="17"/>
      <w:del w:id="200332" w:author="Claude" w:date="2026-09-27T12:00:00Z">
        <w:r>
          <w:rPr>
            <w:rStyle w:val="FootnoteReference"/>
            <w:color w:val="000000" w:themeColor="text1"/>
          </w:rPr>
          <w:delText xml:space="preserve"> </w:delText>
        </w:r>
      </w:del>
      <w:bookmarkEnd w:id="16"/>
    </w:p>
    <w:p w14:paraId="3C3BA6AB" w14:textId="0B3A276B" w:rsidR="00C97DF2" w:rsidRPr="00A9375B" w:rsidRDefault="00744906" w:rsidP="003D74D8">
      <w:pPr>
        <w:pStyle w:val="BodyText"/>
        <w:spacing w:after="0" w:line="480" w:lineRule="auto"/>
        <w:ind w:firstLine="360"/>
        <w:jc w:val="both"/>
        <w:rPr>
          <w:del w:id="200361" w:author="Claude" w:date="2026-09-27T12:00:00Z"/>
        </w:rPr>
      </w:pPr>
      <w:del w:id="200334" w:author="Claude" w:date="2026-09-27T12:00:00Z">
        <w:r>
          <w:lastRenderedPageBreak/>
          <w:delText xml:space="preserve">This culture yielded three flaws in the </w:delText>
        </w:r>
      </w:del>
      <w:del w:id="200335" w:author="Claude" w:date="2026-09-27T12:00:00Z">
        <w:r>
          <w:rPr>
            <w:i/>
            <w:iCs/>
          </w:rPr>
          <w:delText xml:space="preserve">Skrmetti </w:delText>
        </w:r>
      </w:del>
      <w:del w:id="200336" w:author="Claude" w:date="2026-09-27T12:00:00Z">
        <w:r>
          <w:delText>advocacy that an outsider could have exposed had the ACLU welcomed dissent.</w:delText>
        </w:r>
      </w:del>
      <w:del w:id="200337" w:author="Claude" w:date="2026-09-27T12:00:00Z">
        <w:r>
          <w:rPr>
            <w:rStyle w:val="FootnoteReference"/>
            <w:color w:val="000000" w:themeColor="text1"/>
          </w:rPr>
          <w:delText xml:space="preserve"> </w:delText>
          <w:footnoteReference w:id="109"/>
        </w:r>
      </w:del>
      <w:del w:id="200338" w:author="Claude" w:date="2026-09-27T12:00:00Z">
        <w:r>
          <w:delText xml:space="preserve"> First, the ACLU rejected incrementalism.</w:delText>
        </w:r>
      </w:del>
      <w:del w:id="200339" w:author="Claude" w:date="2026-09-27T12:00:00Z">
        <w:r>
          <w:rPr>
            <w:rStyle w:val="FootnoteReference"/>
            <w:color w:val="000000" w:themeColor="text1"/>
          </w:rPr>
          <w:footnoteReference w:id="110"/>
        </w:r>
      </w:del>
      <w:del w:id="200340" w:author="Claude" w:date="2026-09-27T12:00:00Z">
        <w:r>
          <w:delText xml:space="preserve"> Second, it relied heavily on unproven “science.”</w:delText>
        </w:r>
      </w:del>
      <w:del w:id="200341" w:author="Claude" w:date="2026-09-27T12:00:00Z">
        <w:r>
          <w:rPr>
            <w:rStyle w:val="FootnoteReference"/>
            <w:color w:val="000000" w:themeColor="text1"/>
          </w:rPr>
          <w:footnoteReference w:id="111"/>
        </w:r>
      </w:del>
      <w:del w:id="200342" w:author="Claude" w:date="2026-09-27T12:00:00Z">
        <w:r>
          <w:delText xml:space="preserve"> Third, the actual legal theories proved unpersuasive.</w:delText>
        </w:r>
      </w:del>
      <w:del w:id="200343" w:author="Claude" w:date="2026-09-27T12:00:00Z">
        <w:r>
          <w:rPr>
            <w:rStyle w:val="FootnoteReference"/>
            <w:color w:val="000000" w:themeColor="text1"/>
          </w:rPr>
          <w:footnoteReference w:id="112"/>
        </w:r>
      </w:del>
      <w:del w:id="200344" w:author="Claude" w:date="2026-09-27T12:00:00Z">
        <w:r>
          <w:delText xml:space="preserve"> The </w:delText>
          <w:lastRenderedPageBreak/>
          <w:delText>Supreme Court rejected the sex-classification theory and upheld S.B. 1 under rational-basis review, expressly declining to resolve the scientific dispute.</w:delText>
        </w:r>
      </w:del>
      <w:del w:id="200345" w:author="Claude" w:date="2026-09-27T12:00:00Z">
        <w:r>
          <w:rPr>
            <w:rStyle w:val="FootnoteReference"/>
            <w:color w:val="000000" w:themeColor="text1"/>
          </w:rPr>
          <w:footnoteReference w:id="113"/>
        </w:r>
      </w:del>
      <w:del w:id="200346" w:author="Claude" w:date="2026-09-27T12:00:00Z">
        <w:r>
          <w:delText xml:space="preserve"> </w:delText>
        </w:r>
      </w:del>
      <w:del w:id="200347" w:author="Claude" w:date="2026-09-27T12:00:00Z">
        <w:r>
          <w:rPr>
            <w:i/>
            <w:iCs/>
          </w:rPr>
          <w:delText>Skrmetti</w:delText>
        </w:r>
      </w:del>
      <w:del w:id="200348" w:author="Claude" w:date="2026-09-27T12:00:00Z">
        <w:r>
          <w:delText xml:space="preserve"> is a recent, but by no means the only, example of how groupthink wrecks legal strategy, invites predictable defeat, depletes judicial resources, and undermines clients’ causes.</w:delText>
        </w:r>
      </w:del>
      <w:del w:id="200349" w:author="Claude" w:date="2026-09-27T12:00:00Z">
        <w:r>
          <w:rPr>
            <w:rStyle w:val="FootnoteReference"/>
            <w:color w:val="000000" w:themeColor="text1"/>
          </w:rPr>
          <w:footnoteReference w:id="114"/>
        </w:r>
      </w:del>
      <w:del w:id="200350" w:author="Claude" w:date="2026-09-27T12:00:00Z">
        <w:r>
          <w:delText xml:space="preserve"> The Strangio-led trans rights movement “didn’t just lose on some of the key issues . . . but lost an enormous amount of background goodwill.”</w:delText>
        </w:r>
      </w:del>
      <w:del w:id="200351" w:author="Claude" w:date="2026-09-27T12:00:00Z">
        <w:r>
          <w:rPr>
            <w:rStyle w:val="FootnoteReference"/>
            <w:color w:val="000000" w:themeColor="text1"/>
          </w:rPr>
          <w:footnoteReference w:id="115"/>
        </w:r>
      </w:del>
      <w:del w:id="200352" w:author="Claude" w:date="2026-09-27T12:00:00Z">
        <w:r>
          <w:delText xml:space="preserve"> In a post-</w:delText>
        </w:r>
      </w:del>
      <w:del w:id="200353" w:author="Claude" w:date="2026-09-27T12:00:00Z">
        <w:r>
          <w:rPr>
            <w:i/>
            <w:iCs/>
          </w:rPr>
          <w:delText>Skrmetti</w:delText>
        </w:r>
      </w:del>
      <w:del w:id="200354" w:author="Claude" w:date="2026-09-27T12:00:00Z">
        <w:r>
          <w:delText xml:space="preserve"> interview, </w:delText>
        </w:r>
      </w:del>
      <w:bookmarkStart w:id="18" w:name="OLE_LINK1"/>
      <w:bookmarkStart w:id="19" w:name="OLE_LINK2"/>
      <w:del w:id="200355" w:author="Claude" w:date="2026-09-27T12:00:00Z">
        <w:r>
          <w:delText xml:space="preserve">Strangio </w:delText>
        </w:r>
      </w:del>
      <w:bookmarkEnd w:id="18"/>
      <w:bookmarkEnd w:id="19"/>
      <w:del w:id="200356" w:author="Claude" w:date="2026-09-27T12:00:00Z">
        <w:r>
          <w:delText xml:space="preserve">acknowledged these shortcomings, showed himself a litigator willing to learn, and made </w:delText>
        </w:r>
      </w:del>
      <w:del w:id="200357" w:author="Claude" w:date="2026-09-27T12:00:00Z">
        <w:r>
          <w:rPr>
            <w:i/>
            <w:iCs/>
          </w:rPr>
          <w:delText>Skrmetti</w:delText>
        </w:r>
      </w:del>
      <w:del w:id="200358" w:author="Claude" w:date="2026-09-27T12:00:00Z">
        <w:r>
          <w:delText xml:space="preserve"> a case study in how pervasive groupthink is.</w:delText>
        </w:r>
      </w:del>
      <w:del w:id="200359" w:author="Claude" w:date="2026-09-27T12:00:00Z">
        <w:r>
          <w:rPr>
            <w:rStyle w:val="FootnoteReference"/>
            <w:color w:val="000000" w:themeColor="text1"/>
          </w:rPr>
          <w:footnoteReference w:id="116"/>
        </w:r>
      </w:del>
      <w:del w:id="200360" w:author="Claude" w:date="2026-09-27T12:00:00Z">
        <w:r>
          <w:delText xml:space="preserve"> Why would Strangio—and why would our modern system of post-claim dispute resolution, divested of the QCMs that once compelled such testing—neglect internal dissent? </w:delText>
        </w:r>
      </w:del>
    </w:p>
    <w:p w14:paraId="39EF3F72" w14:textId="64EBCD7D" w:rsidR="00C97DF2" w:rsidRPr="00A9375B" w:rsidRDefault="00C97DF2" w:rsidP="003D74D8">
      <w:pPr>
        <w:pStyle w:val="BodyTextFirstIndent"/>
        <w:spacing w:line="480" w:lineRule="auto"/>
        <w:jc w:val="both"/>
        <w:rPr>
          <w:del w:id="200373" w:author="Claude" w:date="2026-09-27T12:00:00Z"/>
        </w:rPr>
      </w:pPr>
      <w:del w:id="200362" w:author="Claude" w:date="2026-09-27T12:00:00Z">
        <w:r>
          <w:delText>In March 2023, Tennessee enacted S.B. 1, prohibiting healthcare providers from prescribing puberty blockers or hormones or performing surgeries to help minors transition to a gender different from their biological sex.</w:delText>
        </w:r>
      </w:del>
      <w:del w:id="200363" w:author="Claude" w:date="2026-09-27T12:00:00Z">
        <w:r>
          <w:rPr>
            <w:rStyle w:val="FootnoteReference"/>
            <w:color w:val="000000" w:themeColor="text1"/>
          </w:rPr>
          <w:footnoteReference w:id="117"/>
        </w:r>
      </w:del>
      <w:del w:id="200364" w:author="Claude" w:date="2026-09-27T12:00:00Z">
        <w:r>
          <w:delText xml:space="preserve"> The law’s preamble recited detailed legislative findings on health risks, evidentiary gaps, and irreversible harm associated with such treatments.</w:delText>
        </w:r>
      </w:del>
      <w:del w:id="200365" w:author="Claude" w:date="2026-09-27T12:00:00Z">
        <w:r>
          <w:rPr>
            <w:rStyle w:val="FootnoteReference"/>
            <w:color w:val="000000" w:themeColor="text1"/>
          </w:rPr>
          <w:footnoteReference w:id="118"/>
        </w:r>
      </w:del>
      <w:del w:id="200366" w:author="Claude" w:date="2026-09-27T12:00:00Z">
        <w:r>
          <w:delText xml:space="preserve"> S.B. 1 </w:delText>
          <w:lastRenderedPageBreak/>
          <w:delText>joined roughly a dozen similar state laws then in force, including Alabama’s, which had been challenged by the same LGBTQ legal organizations and the United States that later appeared in Skrmetti.</w:delText>
        </w:r>
      </w:del>
      <w:del w:id="200367" w:author="Claude" w:date="2026-09-27T12:00:00Z">
        <w:r>
          <w:rPr>
            <w:rStyle w:val="FootnoteReference"/>
            <w:color w:val="000000" w:themeColor="text1"/>
          </w:rPr>
          <w:footnoteReference w:id="119"/>
        </w:r>
      </w:del>
      <w:del w:id="200368" w:author="Claude" w:date="2026-09-27T12:00:00Z">
        <w:r>
          <w:delText xml:space="preserve"> The Plaintiffs in </w:delText>
        </w:r>
      </w:del>
      <w:del w:id="200369" w:author="Claude" w:date="2026-09-27T12:00:00Z">
        <w:r>
          <w:rPr>
            <w:i/>
            <w:iCs/>
          </w:rPr>
          <w:delText>Eknes-Tucker v. Marshall</w:delText>
        </w:r>
      </w:del>
      <w:del w:id="200370" w:author="Claude" w:date="2026-09-27T12:00:00Z">
        <w:r>
          <w:delText xml:space="preserve"> ultimately dismissed their own case after court-ordered discovery revealed documents that one New York Times commentator said “would shock you.”</w:delText>
        </w:r>
      </w:del>
      <w:del w:id="200371" w:author="Claude" w:date="2026-09-27T12:00:00Z">
        <w:r>
          <w:rPr>
            <w:rStyle w:val="FootnoteReference"/>
            <w:color w:val="000000" w:themeColor="text1"/>
          </w:rPr>
          <w:footnoteReference w:id="120"/>
        </w:r>
      </w:del>
      <w:del w:id="200372" w:author="Claude" w:date="2026-09-27T12:00:00Z">
        <w:r>
          <w:delText xml:space="preserve">  </w:delText>
        </w:r>
      </w:del>
    </w:p>
    <w:p w14:paraId="242E3F84" w14:textId="45371511" w:rsidR="001D4FB2" w:rsidRPr="00A9375B" w:rsidRDefault="00113623" w:rsidP="003D74D8">
      <w:pPr>
        <w:pStyle w:val="BodyTextFirstIndent"/>
        <w:spacing w:line="480" w:lineRule="auto"/>
        <w:jc w:val="both"/>
        <w:rPr>
          <w:del w:id="200384" w:author="Claude" w:date="2026-09-27T12:00:00Z"/>
        </w:rPr>
      </w:pPr>
      <w:del w:id="200374" w:author="Claude" w:date="2026-09-27T12:00:00Z">
        <w:r>
          <w:delText xml:space="preserve">The documents unearthed in </w:delText>
        </w:r>
      </w:del>
      <w:del w:id="200375" w:author="Claude" w:date="2026-09-27T12:00:00Z">
        <w:r>
          <w:rPr>
            <w:i/>
            <w:iCs/>
          </w:rPr>
          <w:delText xml:space="preserve">Marshall </w:delText>
        </w:r>
      </w:del>
      <w:del w:id="200376" w:author="Claude" w:date="2026-09-27T12:00:00Z">
        <w:r>
          <w:delText>involved the World Professional Association for Transgender Health (WPATH), the organization whose standards of care the advocates in the Alabama litigation invoked as an expert consensus, and whose SOC-8 the Skrmetti Plaintiffs later urged courts to credit.</w:delText>
        </w:r>
      </w:del>
      <w:del w:id="200377" w:author="Claude" w:date="2026-09-27T12:00:00Z">
        <w:r>
          <w:rPr>
            <w:rStyle w:val="FootnoteReference"/>
            <w:color w:val="000000" w:themeColor="text1"/>
          </w:rPr>
          <w:footnoteReference w:id="121"/>
        </w:r>
      </w:del>
      <w:del w:id="200378" w:author="Claude" w:date="2026-09-27T12:00:00Z">
        <w:r>
          <w:delText xml:space="preserve"> These SOCs specified the available treatment types and varied by the </w:delText>
          <w:lastRenderedPageBreak/>
          <w:delText>patient’s developmental stage.</w:delText>
        </w:r>
      </w:del>
      <w:del w:id="200379" w:author="Claude" w:date="2026-09-27T12:00:00Z">
        <w:r>
          <w:rPr>
            <w:rStyle w:val="FootnoteReference"/>
            <w:color w:val="000000" w:themeColor="text1"/>
          </w:rPr>
          <w:footnoteReference w:id="122"/>
        </w:r>
      </w:del>
      <w:del w:id="200380" w:author="Claude" w:date="2026-09-27T12:00:00Z">
        <w:r>
          <w:delTex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delText>
        </w:r>
      </w:del>
      <w:del w:id="200381" w:author="Claude" w:date="2026-09-27T12:00:00Z">
        <w:r>
          <w:rPr>
            <w:rStyle w:val="FootnoteReference"/>
            <w:color w:val="000000" w:themeColor="text1"/>
          </w:rPr>
          <w:footnoteReference w:id="123"/>
        </w:r>
      </w:del>
      <w:del w:id="200382" w:author="Claude" w:date="2026-09-27T12:00:00Z">
        <w:r>
          <w:delText xml:space="preserve"> Yet WPATH’s own members undermined these claims: their internal communications revealed that the standards arose from “an ideological activist-driven process and not a scientific-driven process.”</w:delText>
        </w:r>
      </w:del>
      <w:del w:id="200383" w:author="Claude" w:date="2026-09-27T12:00:00Z">
        <w:r>
          <w:rPr>
            <w:rStyle w:val="FootnoteReference"/>
            <w:color w:val="000000" w:themeColor="text1"/>
          </w:rPr>
          <w:footnoteReference w:id="124"/>
        </w:r>
      </w:del>
    </w:p>
    <w:p w14:paraId="479B8493" w14:textId="5A2C5FF9" w:rsidR="002161F5" w:rsidRPr="00A9375B" w:rsidRDefault="00527ADC" w:rsidP="003D74D8">
      <w:pPr>
        <w:pStyle w:val="BodyTextFirstIndent"/>
        <w:spacing w:line="480" w:lineRule="auto"/>
        <w:jc w:val="both"/>
        <w:rPr>
          <w:del w:id="200395" w:author="Claude" w:date="2026-09-27T12:00:00Z"/>
        </w:rPr>
      </w:pPr>
      <w:del w:id="200385" w:author="Claude" w:date="2026-09-27T12:00:00Z">
        <w:r>
          <w:delText>The composition and process behind SOC-8 were not scientific.</w:delText>
        </w:r>
      </w:del>
      <w:bookmarkStart w:id="20" w:name="_Ref214050853"/>
      <w:del w:id="200386" w:author="Claude" w:date="2026-09-27T12:00:00Z">
        <w:r>
          <w:delText xml:space="preserve"> One hundred nineteen current WPATH members authored the guidelines. Dr. Marci Bowers testified that it was “important” for each author to be an advocate for transitioning treatments before the guidelines were created.</w:delText>
        </w:r>
      </w:del>
      <w:del w:id="200387" w:author="Claude" w:date="2026-09-27T12:00:00Z">
        <w:r>
          <w:rPr>
            <w:rStyle w:val="FootnoteReference"/>
            <w:color w:val="000000" w:themeColor="text1"/>
          </w:rPr>
          <w:footnoteReference w:id="125"/>
        </w:r>
      </w:del>
      <w:bookmarkEnd w:id="20"/>
      <w:del w:id="200388" w:author="Claude" w:date="2026-09-27T12:00:00Z">
        <w:r>
          <w:delText xml:space="preserve"> Many of these authors regularly served as expert witnesses, advocating in court for the procedures those standards endorsed.</w:delText>
        </w:r>
      </w:del>
      <w:bookmarkStart w:id="21" w:name="_Ref214050720"/>
      <w:del w:id="200389" w:author="Claude" w:date="2026-09-27T12:00:00Z">
        <w:r>
          <w:rPr>
            <w:rStyle w:val="FootnoteReference"/>
            <w:color w:val="000000" w:themeColor="text1"/>
          </w:rPr>
          <w:footnoteReference w:id="126"/>
        </w:r>
      </w:del>
      <w:bookmarkEnd w:id="21"/>
      <w:del w:id="200390" w:author="Claude" w:date="2026-09-27T12:00:00Z">
        <w:r>
          <w:delText xml:space="preserve"> Dr. Eli Coleman, the chair of WPATH’s SOC-8 guideline committee, </w:delText>
          <w:lastRenderedPageBreak/>
          <w:delText>testified that he thought it was “ethically justifiable” for the authors to “advocate for language changes [in SOC-8] to strengthen [their] position in court.”</w:delText>
        </w:r>
      </w:del>
      <w:del w:id="200391" w:author="Claude" w:date="2026-09-27T12:00:00Z">
        <w:r>
          <w:rPr>
            <w:rStyle w:val="FootnoteReference"/>
            <w:color w:val="000000" w:themeColor="text1"/>
          </w:rPr>
          <w:footnoteReference w:id="127"/>
        </w:r>
      </w:del>
      <w:del w:id="200392" w:author="Claude" w:date="2026-09-27T12:00:00Z">
        <w:r>
          <w:delText xml:space="preserve"> Another team member wrote, “[m]y hope with these SoC is that they land in such a way as to have serious effect in the law and policy settings.”</w:delText>
        </w:r>
      </w:del>
      <w:del w:id="200393" w:author="Claude" w:date="2026-09-27T12:00:00Z">
        <w:r>
          <w:rPr>
            <w:rStyle w:val="FootnoteReference"/>
            <w:color w:val="000000" w:themeColor="text1"/>
          </w:rPr>
          <w:footnoteReference w:id="128"/>
        </w:r>
      </w:del>
      <w:del w:id="200394" w:author="Claude" w:date="2026-09-27T12:00:00Z">
        <w:r>
          <w:delText xml:space="preserve"> </w:delText>
        </w:r>
      </w:del>
    </w:p>
    <w:p w14:paraId="404D54EA" w14:textId="62C174FA" w:rsidR="00C0099B" w:rsidRPr="00A9375B" w:rsidRDefault="00105CBB" w:rsidP="003D74D8">
      <w:pPr>
        <w:pStyle w:val="BodyTextFirstIndent"/>
        <w:spacing w:line="480" w:lineRule="auto"/>
        <w:jc w:val="both"/>
        <w:rPr>
          <w:del w:id="200403" w:author="Claude" w:date="2026-09-27T12:00:00Z"/>
        </w:rPr>
      </w:pPr>
      <w:del w:id="200396" w:author="Claude" w:date="2026-09-27T12:00:00Z">
        <w:r>
          <w:delTex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delText>
        </w:r>
      </w:del>
      <w:del w:id="200397" w:author="Claude" w:date="2026-09-27T12:00:00Z">
        <w:r>
          <w:rPr>
            <w:rStyle w:val="FootnoteReference"/>
            <w:color w:val="000000" w:themeColor="text1"/>
          </w:rPr>
          <w:footnoteReference w:id="129"/>
        </w:r>
      </w:del>
      <w:del w:id="200398" w:author="Claude" w:date="2026-09-27T12:00:00Z">
        <w:r>
          <w:delText xml:space="preserve"> The Biden Administration’s Assistant Secretary for Health met regularly with WPATH’s leaders during the drafting and received an embargoed copy of the completed draft.</w:delText>
        </w:r>
      </w:del>
      <w:del w:id="200399" w:author="Claude" w:date="2026-09-27T12:00:00Z">
        <w:r>
          <w:rPr>
            <w:rStyle w:val="FootnoteReference"/>
            <w:color w:val="000000" w:themeColor="text1"/>
          </w:rPr>
          <w:footnoteReference w:id="130"/>
        </w:r>
      </w:del>
      <w:del w:id="200400" w:author="Claude" w:date="2026-09-27T12:00:00Z">
        <w:r>
          <w:delText xml:space="preserve"> Under political pressure from her and others, WPATH acquiesced and removed the age minimums from SOC-8.</w:delText>
        </w:r>
      </w:del>
      <w:del w:id="200401" w:author="Claude" w:date="2026-09-27T12:00:00Z">
        <w:r>
          <w:rPr>
            <w:rStyle w:val="FootnoteReference"/>
            <w:color w:val="000000" w:themeColor="text1"/>
          </w:rPr>
          <w:footnoteReference w:id="131"/>
        </w:r>
      </w:del>
      <w:del w:id="200402" w:author="Claude" w:date="2026-09-27T12:00:00Z">
        <w:r>
          <w:delText xml:space="preserve"> </w:delText>
        </w:r>
      </w:del>
    </w:p>
    <w:p w14:paraId="2C155791" w14:textId="79910250" w:rsidR="007E3419" w:rsidRPr="00A9375B" w:rsidRDefault="00A168B3" w:rsidP="003D74D8">
      <w:pPr>
        <w:pStyle w:val="BodyTextFirstIndent"/>
        <w:spacing w:line="480" w:lineRule="auto"/>
        <w:jc w:val="both"/>
        <w:rPr>
          <w:del w:id="200422" w:author="Claude" w:date="2026-09-27T12:00:00Z"/>
        </w:rPr>
      </w:pPr>
      <w:del w:id="200404" w:author="Claude" w:date="2026-09-27T12:00:00Z">
        <w:r>
          <w:lastRenderedPageBreak/>
          <w:delText xml:space="preserve">During discovery in </w:delText>
        </w:r>
      </w:del>
      <w:del w:id="200405" w:author="Claude" w:date="2026-09-27T12:00:00Z">
        <w:r>
          <w:rPr>
            <w:i/>
            <w:iCs/>
          </w:rPr>
          <w:delText>Marshall</w:delText>
        </w:r>
      </w:del>
      <w:del w:id="200406" w:author="Claude" w:date="2026-09-27T12:00:00Z">
        <w:r>
          <w:delText>, a legal team led by the ACLU and Lambda Legal initiated Skrmetti by challenging S.B. 1 in federal court.</w:delText>
        </w:r>
      </w:del>
      <w:del w:id="200407" w:author="Claude" w:date="2026-09-27T12:00:00Z">
        <w:r>
          <w:rPr>
            <w:rStyle w:val="FootnoteReference"/>
            <w:color w:val="000000" w:themeColor="text1"/>
          </w:rPr>
          <w:footnoteReference w:id="132"/>
        </w:r>
      </w:del>
      <w:del w:id="200408" w:author="Claude" w:date="2026-09-27T12:00:00Z">
        <w:r>
          <w:delText xml:space="preserve"> The </w:delText>
        </w:r>
      </w:del>
      <w:del w:id="200409" w:author="Claude" w:date="2026-09-27T12:00:00Z">
        <w:r>
          <w:rPr>
            <w:i/>
            <w:iCs/>
          </w:rPr>
          <w:delText>Skrmetti</w:delText>
        </w:r>
      </w:del>
      <w:del w:id="200410" w:author="Claude" w:date="2026-09-27T12:00:00Z">
        <w:r>
          <w:delText xml:space="preserve"> Plaintiffs obtained a preliminary injunction, which the Sixth Circuit reversed on appeal.</w:delText>
        </w:r>
      </w:del>
      <w:del w:id="200411" w:author="Claude" w:date="2026-09-27T12:00:00Z">
        <w:r>
          <w:rPr>
            <w:rStyle w:val="FootnoteReference"/>
            <w:color w:val="000000" w:themeColor="text1"/>
          </w:rPr>
          <w:footnoteReference w:id="133"/>
        </w:r>
      </w:del>
      <w:del w:id="200412" w:author="Claude" w:date="2026-09-27T12:00:00Z">
        <w:r>
          <w:delTex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delText>
        </w:r>
      </w:del>
      <w:del w:id="200413" w:author="Claude" w:date="2026-09-27T12:00:00Z">
        <w:r>
          <w:rPr>
            <w:rStyle w:val="FootnoteReference"/>
            <w:color w:val="000000" w:themeColor="text1"/>
          </w:rPr>
          <w:footnoteReference w:id="134"/>
        </w:r>
      </w:del>
      <w:del w:id="200414" w:author="Claude" w:date="2026-09-27T12:00:00Z">
        <w:r>
          <w:delText xml:space="preserve"> Nevertheless, he did not find sex discrimination because “the laws regulate sex-transition treatments for all minors, regardless of sex.”</w:delText>
        </w:r>
      </w:del>
      <w:del w:id="200415" w:author="Claude" w:date="2026-09-27T12:00:00Z">
        <w:r>
          <w:rPr>
            <w:rStyle w:val="FootnoteReference"/>
            <w:color w:val="000000" w:themeColor="text1"/>
          </w:rPr>
          <w:footnoteReference w:id="135"/>
        </w:r>
      </w:del>
      <w:del w:id="200416" w:author="Claude" w:date="2026-09-27T12:00:00Z">
        <w:r>
          <w:delText xml:space="preserve"> The United States petitioned for certiorari, and the Court granted review.</w:delText>
        </w:r>
      </w:del>
      <w:del w:id="200417" w:author="Claude" w:date="2026-09-27T12:00:00Z">
        <w:r>
          <w:rPr>
            <w:rStyle w:val="FootnoteReference"/>
            <w:color w:val="000000" w:themeColor="text1"/>
          </w:rPr>
          <w:footnoteReference w:id="136"/>
        </w:r>
      </w:del>
      <w:del w:id="200418" w:author="Claude" w:date="2026-09-27T12:00:00Z">
        <w:r>
          <w:delText xml:space="preserve"> Despite the damaging disclosures from </w:delText>
        </w:r>
      </w:del>
      <w:del w:id="200419" w:author="Claude" w:date="2026-09-27T12:00:00Z">
        <w:r>
          <w:rPr>
            <w:i/>
            <w:iCs/>
          </w:rPr>
          <w:delText>Marshall</w:delText>
        </w:r>
      </w:del>
      <w:del w:id="200420" w:author="Claude" w:date="2026-09-27T12:00:00Z">
        <w:r>
          <w:delText>, the United States continued to assert in its Supreme Court briefing that gender-affirming care remained supported by “the Nation’s major medical organizations,” and dismissed them as “out-of-context excerpts from the unadjudicated summary-judgment record in a different case.”</w:delText>
        </w:r>
      </w:del>
      <w:bookmarkStart w:id="22" w:name="_Ref214051247"/>
      <w:del w:id="200421" w:author="Claude" w:date="2026-09-27T12:00:00Z">
        <w:r>
          <w:rPr>
            <w:rStyle w:val="FootnoteReference"/>
            <w:color w:val="000000" w:themeColor="text1"/>
          </w:rPr>
          <w:footnoteReference w:id="137"/>
        </w:r>
      </w:del>
      <w:bookmarkEnd w:id="22"/>
    </w:p>
    <w:p w14:paraId="1B966ABE" w14:textId="6D2310BD" w:rsidR="00F5008C" w:rsidRPr="00A9375B" w:rsidRDefault="006B2A16" w:rsidP="003D74D8">
      <w:pPr>
        <w:pStyle w:val="BodyTextFirstIndent"/>
        <w:spacing w:line="480" w:lineRule="auto"/>
        <w:jc w:val="both"/>
        <w:rPr>
          <w:del w:id="200436" w:author="Claude" w:date="2026-09-27T12:00:00Z"/>
        </w:rPr>
      </w:pPr>
      <w:del w:id="200423" w:author="Claude" w:date="2026-09-27T12:00:00Z">
        <w:r>
          <w:delText xml:space="preserve">Beyond these evidentiary deficiencies, the legal theories in </w:delText>
        </w:r>
      </w:del>
      <w:del w:id="200424" w:author="Claude" w:date="2026-09-27T12:00:00Z">
        <w:r>
          <w:rPr>
            <w:i/>
            <w:iCs/>
          </w:rPr>
          <w:delText>Skrmetti</w:delText>
        </w:r>
      </w:del>
      <w:del w:id="200425" w:author="Claude" w:date="2026-09-27T12:00:00Z">
        <w:r>
          <w:delText xml:space="preserve"> were unpersuasive. Even before the Supreme Court heard oral arguments, commentators across the ideological spectrum (especially liberal ones whom one would expect in the Plaintiffs’ camp) questioned why anyone </w:delText>
          <w:lastRenderedPageBreak/>
          <w:delText>would have appealed the Sixth Circuit’s ruling.</w:delText>
        </w:r>
      </w:del>
      <w:del w:id="200426" w:author="Claude" w:date="2026-09-27T12:00:00Z">
        <w:r>
          <w:rPr>
            <w:rStyle w:val="FootnoteReference"/>
            <w:color w:val="000000" w:themeColor="text1"/>
          </w:rPr>
          <w:footnoteReference w:id="138"/>
        </w:r>
      </w:del>
      <w:del w:id="200427" w:author="Claude" w:date="2026-09-27T12:00:00Z">
        <w:r>
          <w:delText xml:space="preserve"> The Plaintiffs’ counsel wrote the </w:delText>
        </w:r>
      </w:del>
      <w:del w:id="200428" w:author="Claude" w:date="2026-09-27T12:00:00Z">
        <w:r>
          <w:rPr>
            <w:i/>
            <w:iCs/>
          </w:rPr>
          <w:delText>Skrmetti</w:delText>
        </w:r>
      </w:del>
      <w:del w:id="200429" w:author="Claude" w:date="2026-09-27T12:00:00Z">
        <w:r>
          <w:delText xml:space="preserve"> briefs hoping the Court would extend the reasoning of </w:delText>
        </w:r>
      </w:del>
      <w:del w:id="200430" w:author="Claude" w:date="2026-09-27T12:00:00Z">
        <w:r>
          <w:rPr>
            <w:i/>
            <w:iCs/>
          </w:rPr>
          <w:delText>Bostock v. Clayton County</w:delText>
        </w:r>
      </w:del>
      <w:del w:id="200431" w:author="Claude" w:date="2026-09-27T12:00:00Z">
        <w:r>
          <w:delText xml:space="preserve"> to this case.</w:delText>
        </w:r>
      </w:del>
      <w:del w:id="200432" w:author="Claude" w:date="2026-09-27T12:00:00Z">
        <w:r>
          <w:rPr>
            <w:rStyle w:val="FootnoteReference"/>
            <w:color w:val="000000" w:themeColor="text1"/>
          </w:rPr>
          <w:footnoteReference w:id="139"/>
        </w:r>
      </w:del>
      <w:del w:id="200433" w:author="Claude" w:date="2026-09-27T12:00:00Z">
        <w:r>
          <w:delText xml:space="preserve"> The Justices pressed counsel on whether Bostock’s Title VII reasoning could be carried into the equal-protection context at all.</w:delText>
        </w:r>
      </w:del>
      <w:del w:id="200434" w:author="Claude" w:date="2026-09-27T12:00:00Z">
        <w:r>
          <w:rPr>
            <w:rStyle w:val="FootnoteReference"/>
            <w:color w:val="000000" w:themeColor="text1"/>
          </w:rPr>
          <w:footnoteReference w:id="140"/>
        </w:r>
      </w:del>
      <w:del w:id="200435" w:author="Claude" w:date="2026-09-27T12:00:00Z">
        <w:r>
          <w:delText xml:space="preserve"> </w:delText>
        </w:r>
      </w:del>
    </w:p>
    <w:p w14:paraId="1967451A" w14:textId="3685DC39" w:rsidR="00EF33CF" w:rsidRPr="00A9375B" w:rsidRDefault="00105CBB" w:rsidP="003D74D8">
      <w:pPr>
        <w:pStyle w:val="BodyTextFirstIndent"/>
        <w:spacing w:line="480" w:lineRule="auto"/>
        <w:jc w:val="both"/>
        <w:rPr>
          <w:del w:id="200448" w:author="Claude" w:date="2026-09-27T12:00:00Z"/>
        </w:rPr>
      </w:pPr>
      <w:del w:id="200437" w:author="Claude" w:date="2026-09-27T12:00:00Z">
        <w:r>
          <w:rPr>
            <w:i/>
            <w:iCs/>
          </w:rPr>
          <w:delText>Bostock</w:delText>
        </w:r>
      </w:del>
      <w:del w:id="200438" w:author="Claude" w:date="2026-09-27T12:00:00Z">
        <w:r>
          <w:delText xml:space="preserve"> had</w:delText>
        </w:r>
      </w:del>
      <w:del w:id="200439" w:author="Claude" w:date="2026-09-27T12:00:00Z">
        <w:r>
          <w:rPr>
            <w:i/>
            <w:iCs/>
          </w:rPr>
          <w:delText xml:space="preserve"> </w:delText>
        </w:r>
      </w:del>
      <w:del w:id="200440" w:author="Claude" w:date="2026-09-27T12:00:00Z">
        <w:r>
          <w:delText>involved workplace discrimination claims by transgender and gay employees under Title VII, which prohibits adverse employment actions “because of” sex.</w:delText>
        </w:r>
      </w:del>
      <w:del w:id="200441" w:author="Claude" w:date="2026-09-27T12:00:00Z">
        <w:r>
          <w:rPr>
            <w:rStyle w:val="FootnoteReference"/>
            <w:color w:val="000000" w:themeColor="text1"/>
          </w:rPr>
          <w:footnoteReference w:id="141"/>
        </w:r>
      </w:del>
      <w:del w:id="200442" w:author="Claude" w:date="2026-09-27T12:00:00Z">
        <w:r>
          <w:delText xml:space="preserve"> Bostock’s counsel crafted their case for a textualist and conservative Court, and emphasized in their briefs that they were not seeking “a new meaning of what ‘sex’ is . . . rather, it is for a new application . . . the Court has already held that new applications of the text of Title VII are appropriate even when Congress did not envision them.”</w:delText>
        </w:r>
      </w:del>
      <w:del w:id="200443" w:author="Claude" w:date="2026-09-27T12:00:00Z">
        <w:r>
          <w:rPr>
            <w:rStyle w:val="FootnoteReference"/>
            <w:color w:val="000000" w:themeColor="text1"/>
          </w:rPr>
          <w:footnoteReference w:id="142"/>
        </w:r>
      </w:del>
      <w:del w:id="200444" w:author="Claude" w:date="2026-09-27T12:00:00Z">
        <w:r>
          <w:delText xml:space="preserve"> During oral argument, they continued this approach by urging the Court to “read the words of the statute.”</w:delText>
        </w:r>
      </w:del>
      <w:del w:id="200445" w:author="Claude" w:date="2026-09-27T12:00:00Z">
        <w:r>
          <w:rPr>
            <w:rStyle w:val="FootnoteReference"/>
            <w:color w:val="000000" w:themeColor="text1"/>
          </w:rPr>
          <w:footnoteReference w:id="143"/>
        </w:r>
      </w:del>
      <w:del w:id="200446" w:author="Claude" w:date="2026-09-27T12:00:00Z">
        <w:r>
          <w:delText xml:space="preserve"> Justice Gorsuch later adopted the precise reasoning they argued for, asserting that “when the express terms of a statute give us one answer and extratextual considerations suggest another, it’s no contest. Only the written word is the law, and all persons are entitled to its benefit.”</w:delText>
        </w:r>
      </w:del>
      <w:bookmarkStart w:id="23" w:name="_Ref214131455"/>
      <w:del w:id="200447" w:author="Claude" w:date="2026-09-27T12:00:00Z">
        <w:r>
          <w:rPr>
            <w:rStyle w:val="FootnoteReference"/>
            <w:color w:val="000000" w:themeColor="text1"/>
          </w:rPr>
          <w:footnoteReference w:id="144"/>
        </w:r>
      </w:del>
      <w:bookmarkEnd w:id="23"/>
    </w:p>
    <w:p w14:paraId="35E7E4DB" w14:textId="647E8574" w:rsidR="00E2020C" w:rsidRPr="00A9375B" w:rsidRDefault="00DB2DCD" w:rsidP="003D74D8">
      <w:pPr>
        <w:pStyle w:val="BodyTextFirstIndent"/>
        <w:spacing w:line="480" w:lineRule="auto"/>
        <w:jc w:val="both"/>
        <w:rPr>
          <w:del w:id="200456" w:author="Claude" w:date="2026-09-27T12:00:00Z"/>
        </w:rPr>
      </w:pPr>
      <w:del w:id="200449" w:author="Claude" w:date="2026-09-27T12:00:00Z">
        <w:r>
          <w:lastRenderedPageBreak/>
          <w:delText>The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delText>
        </w:r>
      </w:del>
      <w:del w:id="200450" w:author="Claude" w:date="2026-09-27T12:00:00Z">
        <w:r>
          <w:rPr>
            <w:rStyle w:val="FootnoteReference"/>
            <w:color w:val="000000" w:themeColor="text1"/>
          </w:rPr>
          <w:footnoteReference w:id="145"/>
        </w:r>
      </w:del>
      <w:del w:id="200451" w:author="Claude" w:date="2026-09-27T12:00:00Z">
        <w:r>
          <w:delText xml:space="preserve"> During oral argument, the Solicitor General suggested “this is an even easier sex classification than maybe the one the Court confronted in Bostock.”</w:delText>
        </w:r>
      </w:del>
      <w:bookmarkStart w:id="24" w:name="_Ref214051285"/>
      <w:del w:id="200452" w:author="Claude" w:date="2026-09-27T12:00:00Z">
        <w:r>
          <w:rPr>
            <w:rStyle w:val="FootnoteReference"/>
            <w:color w:val="000000" w:themeColor="text1"/>
          </w:rPr>
          <w:footnoteReference w:id="146"/>
        </w:r>
      </w:del>
      <w:bookmarkEnd w:id="24"/>
      <w:del w:id="200453" w:author="Claude" w:date="2026-09-27T12:00:00Z">
        <w:r>
          <w:delText xml:space="preserve"> The Plaintiffs had also pressed a parental-rights theory, but the Court granted only the United States’ petition, which raised equal protection alone, leaving it a single claim.</w:delText>
        </w:r>
      </w:del>
      <w:del w:id="200454" w:author="Claude" w:date="2026-09-27T12:00:00Z">
        <w:r>
          <w:rPr>
            <w:rStyle w:val="FootnoteReference"/>
            <w:color w:val="000000" w:themeColor="text1"/>
          </w:rPr>
          <w:footnoteReference w:id="147"/>
        </w:r>
      </w:del>
      <w:del w:id="200455" w:author="Claude" w:date="2026-09-27T12:00:00Z">
        <w:r>
          <w:delText xml:space="preserve"> Chief Justice Roberts, writing for the Court, rejected this argument:</w:delText>
        </w:r>
      </w:del>
    </w:p>
    <w:p w14:paraId="5466416E" w14:textId="50B264B8" w:rsidR="00E2020C" w:rsidRPr="00A9375B" w:rsidRDefault="00CE67E5" w:rsidP="003D74D8">
      <w:pPr>
        <w:pStyle w:val="BodyTextFirstIndent2"/>
        <w:spacing w:line="480" w:lineRule="auto"/>
        <w:ind w:left="720" w:right="720" w:firstLine="0"/>
        <w:jc w:val="both"/>
        <w:rPr>
          <w:del w:id="200464" w:author="Claude" w:date="2026-09-27T12:00:00Z"/>
        </w:rPr>
      </w:pPr>
      <w:del w:id="200457" w:author="Claude" w:date="2026-09-27T12:00:00Z">
        <w:r>
          <w:delText xml:space="preserve">“[u]nlike the homosexual male employee [in </w:delText>
        </w:r>
      </w:del>
      <w:del w:id="200458" w:author="Claude" w:date="2026-09-27T12:00:00Z">
        <w:r>
          <w:rPr>
            <w:i/>
            <w:iCs/>
          </w:rPr>
          <w:delText>Bostock</w:delText>
        </w:r>
      </w:del>
      <w:del w:id="200459" w:author="Claude" w:date="2026-09-27T12:00:00Z">
        <w:r>
          <w:delTex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delText>
        </w:r>
      </w:del>
      <w:del w:id="200460" w:author="Claude" w:date="2026-09-27T12:00:00Z">
        <w:r>
          <w:rPr>
            <w:i/>
            <w:iCs/>
          </w:rPr>
          <w:delText>Bostock,</w:delText>
        </w:r>
      </w:del>
      <w:del w:id="200461" w:author="Claude" w:date="2026-09-27T12:00:00Z">
        <w:r>
          <w:delText xml:space="preserve"> then, sex is simply not a but-for cause of SB1’s operation.”</w:delText>
        </w:r>
      </w:del>
      <w:del w:id="200462" w:author="Claude" w:date="2026-09-27T12:00:00Z">
        <w:r>
          <w:rPr>
            <w:rStyle w:val="FootnoteReference"/>
            <w:color w:val="000000" w:themeColor="text1"/>
          </w:rPr>
          <w:footnoteReference w:id="148"/>
        </w:r>
      </w:del>
      <w:del w:id="200463" w:author="Claude" w:date="2026-09-27T12:00:00Z">
        <w:r>
          <w:delText xml:space="preserve"> </w:delText>
        </w:r>
      </w:del>
    </w:p>
    <w:p w14:paraId="697BEF34" w14:textId="5E8D9503" w:rsidR="00B41952" w:rsidRPr="00A9375B" w:rsidRDefault="00E170D6" w:rsidP="003D74D8">
      <w:pPr>
        <w:pStyle w:val="BodyTextFirstIndent"/>
        <w:spacing w:line="480" w:lineRule="auto"/>
        <w:jc w:val="both"/>
        <w:rPr>
          <w:del w:id="200481" w:author="Claude" w:date="2026-09-27T12:00:00Z"/>
        </w:rPr>
      </w:pPr>
      <w:del w:id="200465" w:author="Claude" w:date="2026-09-27T12:00:00Z">
        <w:r>
          <w:delText>The Court rejected the equal-protection claim and devoted the rest of the opinion to rational-basis review.</w:delText>
        </w:r>
      </w:del>
      <w:del w:id="200466" w:author="Claude" w:date="2026-09-27T12:00:00Z">
        <w:r>
          <w:rPr>
            <w:rStyle w:val="FootnoteReference"/>
            <w:color w:val="000000" w:themeColor="text1"/>
          </w:rPr>
          <w:footnoteReference w:id="149"/>
        </w:r>
      </w:del>
      <w:del w:id="200467" w:author="Claude" w:date="2026-09-27T12:00:00Z">
        <w:r>
          <w:delText xml:space="preserve"> </w:delText>
        </w:r>
      </w:del>
      <w:bookmarkStart w:id="25" w:name="OLE_LINK3"/>
      <w:bookmarkStart w:id="26" w:name="OLE_LINK4"/>
      <w:del w:id="200468" w:author="Claude" w:date="2026-09-27T12:00:00Z">
        <w:r>
          <w:delText xml:space="preserve">In sum, the flawed </w:delText>
        </w:r>
      </w:del>
      <w:del w:id="200469" w:author="Claude" w:date="2026-09-27T12:00:00Z">
        <w:r>
          <w:rPr>
            <w:i/>
            <w:iCs/>
          </w:rPr>
          <w:delText>Bostock</w:delText>
        </w:r>
      </w:del>
      <w:del w:id="200470" w:author="Claude" w:date="2026-09-27T12:00:00Z">
        <w:r>
          <w:delText xml:space="preserve"> analogy and ideologically compromised science </w:delText>
          <w:lastRenderedPageBreak/>
          <w:delText>predictably foundered before the Court.</w:delText>
        </w:r>
      </w:del>
      <w:del w:id="200471" w:author="Claude" w:date="2026-09-27T12:00:00Z">
        <w:r>
          <w:rPr>
            <w:rStyle w:val="FootnoteReference"/>
            <w:color w:val="000000" w:themeColor="text1"/>
          </w:rPr>
          <w:footnoteReference w:id="150"/>
        </w:r>
      </w:del>
      <w:del w:id="200472" w:author="Claude" w:date="2026-09-27T12:00:00Z">
        <w:r>
          <w:delText xml:space="preserve"> But beyond the strategic challenges, </w:delText>
        </w:r>
      </w:del>
      <w:del w:id="200473" w:author="Claude" w:date="2026-09-27T12:00:00Z">
        <w:r>
          <w:rPr>
            <w:i/>
            <w:iCs/>
          </w:rPr>
          <w:delText>Skrmetti</w:delText>
        </w:r>
      </w:del>
      <w:del w:id="200474" w:author="Claude" w:date="2026-09-27T12:00:00Z">
        <w:r>
          <w:delText xml:space="preserve"> also illustrates how groupthink can pervade even well-resourced legal organizations when the cognitive biases of a cohesive team go uncontested. I concede that ideological diversity within the ACLU’s team might not have altered the outcome, the case demonstrates why welcoming dissenting perspectives advances clients’ best interests. The error was not in litigating but in failing to break the echo chamber in which the strategy was developed. Transgender individuals facing discrimination are entitled to their day in court, and the ACLU was entirely right to litigate on behalf of its clients. No informal forum could have provided the </w:delText>
        </w:r>
      </w:del>
      <w:del w:id="200475" w:author="Claude" w:date="2026-09-27T12:00:00Z">
        <w:r>
          <w:rPr>
            <w:i/>
            <w:iCs/>
          </w:rPr>
          <w:delText>Skrmetti</w:delText>
        </w:r>
      </w:del>
      <w:del w:id="200476" w:author="Claude" w:date="2026-09-27T12:00:00Z">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del w:id="200477" w:author="Claude" w:date="2026-09-27T12:00:00Z">
        <w:r>
          <w:rPr>
            <w:rStyle w:val="FootnoteReference"/>
            <w:color w:val="000000" w:themeColor="text1"/>
          </w:rPr>
          <w:footnoteReference w:id="151"/>
        </w:r>
      </w:del>
      <w:del w:id="200478" w:author="Claude" w:date="2026-09-27T12:00:00Z">
        <w:r>
          <w:delText xml:space="preserve"> </w:delText>
        </w:r>
      </w:del>
      <w:bookmarkEnd w:id="25"/>
      <w:bookmarkEnd w:id="26"/>
      <w:del w:id="200479" w:author="Claude" w:date="2026-09-27T12:00:00Z">
        <w:r>
          <w:delText>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delText>
        </w:r>
      </w:del>
      <w:del w:id="200480" w:author="Claude" w:date="2026-09-27T12:00:00Z">
        <w:r>
          <w:rPr>
            <w:rStyle w:val="FootnoteReference"/>
            <w:color w:val="000000" w:themeColor="text1"/>
          </w:rPr>
          <w:footnoteReference w:id="152"/>
        </w:r>
      </w:del>
    </w:p>
    <w:p w14:paraId="24F1C9F9" w14:textId="77777777" w:rsidR="00A726E0" w:rsidRPr="00A9375B" w:rsidRDefault="00A726E0" w:rsidP="003D74D8">
      <w:pPr>
        <w:pStyle w:val="BodyTextFirstIndent"/>
        <w:spacing w:line="480" w:lineRule="auto"/>
        <w:jc w:val="both"/>
        <w:rPr>
          <w:del w:id="200482" w:author="Claude" w:date="2026-09-27T12:00:00Z"/>
        </w:rPr>
      </w:pPr>
    </w:p>
    <w:p w14:paraId="2987BBA5" w14:textId="789A84EE" w:rsidR="00B41952" w:rsidRPr="00A9375B" w:rsidRDefault="005A4EE5" w:rsidP="003D74D8">
      <w:pPr>
        <w:pStyle w:val="ListParagraph"/>
        <w:numPr>
          <w:ilvl w:val="0"/>
          <w:numId w:val="8"/>
        </w:numPr>
        <w:spacing w:line="480" w:lineRule="auto"/>
        <w:jc w:val="both"/>
        <w:rPr>
          <w:del w:id="200484" w:author="Claude" w:date="2026-09-27T12:00:00Z"/>
          <w:color w:val="000000" w:themeColor="text1"/>
        </w:rPr>
      </w:pPr>
      <w:del w:id="200483" w:author="Claude" w:date="2026-09-27T12:00:00Z">
        <w:r>
          <w:rPr>
            <w:i/>
            <w:iCs/>
            <w:color w:val="000000" w:themeColor="text1"/>
          </w:rPr>
          <w:delText xml:space="preserve">Contrasting Case Study: NAACP Legal Defense Fund </w:delText>
        </w:r>
      </w:del>
    </w:p>
    <w:p w14:paraId="3EC80DA4" w14:textId="77777777" w:rsidR="005A4EE5" w:rsidRPr="00A9375B" w:rsidRDefault="005A4EE5" w:rsidP="003D74D8">
      <w:pPr>
        <w:pStyle w:val="ListParagraph"/>
        <w:spacing w:line="480" w:lineRule="auto"/>
        <w:jc w:val="both"/>
        <w:rPr>
          <w:del w:id="200485" w:author="Claude" w:date="2026-09-27T12:00:00Z"/>
          <w:color w:val="000000" w:themeColor="text1"/>
        </w:rPr>
      </w:pPr>
    </w:p>
    <w:p w14:paraId="4E0CA421" w14:textId="51626B46" w:rsidR="00A726E0" w:rsidRPr="00A9375B" w:rsidRDefault="00A726E0" w:rsidP="003D74D8">
      <w:pPr>
        <w:pStyle w:val="BodyTextFirstIndent"/>
        <w:spacing w:line="480" w:lineRule="auto"/>
        <w:jc w:val="both"/>
        <w:rPr>
          <w:del w:id="200493" w:author="Claude" w:date="2026-09-27T12:00:00Z"/>
          <w:lang w:bidi="en-US"/>
        </w:rPr>
      </w:pPr>
      <w:del w:id="200486" w:author="Claude" w:date="2026-09-27T12:00:00Z">
        <w:r>
          <w:delText xml:space="preserve">The LDF institutionalized adversarial self-testing during its two-decade campaign against school segregation. Charles Hamilton Houston, for example, established a tradition at Howard </w:delText>
          <w:lastRenderedPageBreak/>
          <w:delText>University Law School of presenting his facts and legal arguments to students and professors before every Supreme Court argument, and the professors assumed the roles of the nine Justices.</w:delText>
        </w:r>
      </w:del>
      <w:del w:id="200487" w:author="Claude" w:date="2026-09-27T12:00:00Z">
        <w:r>
          <w:rPr>
            <w:rStyle w:val="FootnoteReference"/>
            <w:color w:val="000000" w:themeColor="text1"/>
          </w:rPr>
          <w:footnoteReference w:id="153"/>
        </w:r>
      </w:del>
      <w:del w:id="200488" w:author="Claude" w:date="2026-09-27T12:00:00Z">
        <w:r>
          <w:delText xml:space="preserve"> These sessions fostered cognitive diversity by filling Howard’s largest meeting hall, closed to the public but open to every member of the faculty, the student body, and any friendly lawyer in Washington.</w:delText>
        </w:r>
      </w:del>
      <w:del w:id="200489" w:author="Claude" w:date="2026-09-27T12:00:00Z">
        <w:r>
          <w:rPr>
            <w:rStyle w:val="FootnoteReference"/>
            <w:color w:val="000000" w:themeColor="text1"/>
          </w:rPr>
          <w:footnoteReference w:id="154"/>
        </w:r>
      </w:del>
      <w:del w:id="200490" w:author="Claude" w:date="2026-09-27T12:00:00Z">
        <w:r>
          <w:delText xml:space="preserve"> Jack Greenberg recalled the result: “[N]either I nor any LDF lawyer was ever asked a question in actual argument that had not first been asked at the dry run—until Warren Burger became chief justice.”</w:delText>
        </w:r>
      </w:del>
      <w:del w:id="200491" w:author="Claude" w:date="2026-09-27T12:00:00Z">
        <w:r>
          <w:rPr>
            <w:rStyle w:val="FootnoteReference"/>
            <w:color w:val="000000" w:themeColor="text1"/>
          </w:rPr>
          <w:footnoteReference w:id="155"/>
        </w:r>
      </w:del>
      <w:del w:id="200492" w:author="Claude" w:date="2026-09-27T12:00:00Z">
        <w:r>
          <w:delText xml:space="preserve"> The NAACP convened pre-filing committees where a diverse board of lawyers stress-tested the proposed approach whenever the organization sought to make new law, as Marshall’s legal assistant Robert L. Carter put it:</w:delText>
        </w:r>
      </w:del>
    </w:p>
    <w:p w14:paraId="560170AF" w14:textId="7DEE7F04" w:rsidR="00A726E0" w:rsidRPr="00A9375B" w:rsidRDefault="00A726E0" w:rsidP="003D74D8">
      <w:pPr>
        <w:pStyle w:val="BodyTextFirstIndent2"/>
        <w:spacing w:line="480" w:lineRule="auto"/>
        <w:ind w:left="720" w:right="720" w:firstLine="0"/>
        <w:jc w:val="both"/>
        <w:rPr>
          <w:del w:id="200496" w:author="Claude" w:date="2026-09-27T12:00:00Z"/>
        </w:rPr>
      </w:pPr>
      <w:del w:id="200494" w:author="Claude" w:date="2026-09-27T12:00:00Z">
        <w:r>
          <w:delTex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law, all committed to ending segregation. There were no holds barred. Every idea or concept offered was subjected to close scrutiny </w:delText>
          <w:lastRenderedPageBreak/>
          <w:delText>and often to withering attack. If the proposition could not be successfully defended against attack by the committee, it was felt, it could not survive court testing.”</w:delText>
        </w:r>
      </w:del>
      <w:del w:id="200495" w:author="Claude" w:date="2026-09-27T12:00:00Z">
        <w:r>
          <w:rPr>
            <w:rStyle w:val="FootnoteReference"/>
          </w:rPr>
          <w:footnoteReference w:id="156"/>
        </w:r>
      </w:del>
    </w:p>
    <w:p w14:paraId="104CDC98" w14:textId="6C93EE22" w:rsidR="00A726E0" w:rsidRPr="00A9375B" w:rsidRDefault="00A726E0" w:rsidP="003D74D8">
      <w:pPr>
        <w:pStyle w:val="BodyTextFirstIndent"/>
        <w:spacing w:line="480" w:lineRule="auto"/>
        <w:jc w:val="both"/>
        <w:rPr>
          <w:del w:id="200506" w:author="Claude" w:date="2026-09-27T12:00:00Z"/>
        </w:rPr>
      </w:pPr>
      <w:del w:id="200497" w:author="Claude" w:date="2026-09-27T12:00:00Z">
        <w:r>
          <w:delText>One observer who watched Marshall argue a year after Sweatt v. Painter described him as “like a chess grandmaster playing against Frankfurter, a good club player”; “[h]aving faced the hardest questions at the practice rounds, Marshall was poised for the justices.”</w:delText>
        </w:r>
      </w:del>
      <w:del w:id="200498" w:author="Claude" w:date="2026-09-27T12:00:00Z">
        <w:r>
          <w:rPr>
            <w:rStyle w:val="FootnoteReference"/>
            <w:color w:val="000000" w:themeColor="text1"/>
          </w:rPr>
          <w:footnoteReference w:id="157"/>
        </w:r>
      </w:del>
      <w:del w:id="200499" w:author="Claude" w:date="2026-09-27T12:00:00Z">
        <w:r>
          <w:delText xml:space="preserve"> When historical research for the </w:delText>
        </w:r>
      </w:del>
      <w:del w:id="200500" w:author="Claude" w:date="2026-09-27T12:00:00Z">
        <w:r>
          <w:rPr>
            <w:i/>
            <w:iCs/>
          </w:rPr>
          <w:delText>Brown</w:delText>
        </w:r>
      </w:del>
      <w:del w:id="200501" w:author="Claude" w:date="2026-09-27T12:00:00Z">
        <w:r>
          <w:delText xml:space="preserve"> reargument produced ambiguous findings on the Fourteenth Amendment’s framers, Marshall convened his inner circle with two outside historians for a four-day intensive re-examination of the evidence. As Alfred H. Kelly put it, “the role I was expected to play was that of devil’s advocate, of a foil to prepare them all for the main event.”</w:delText>
        </w:r>
      </w:del>
      <w:del w:id="200502" w:author="Claude" w:date="2026-09-27T12:00:00Z">
        <w:r>
          <w:rPr>
            <w:rStyle w:val="FootnoteReference"/>
            <w:color w:val="000000" w:themeColor="text1"/>
          </w:rPr>
          <w:footnoteReference w:id="158"/>
        </w:r>
      </w:del>
      <w:del w:id="200503" w:author="Claude" w:date="2026-09-27T12:00:00Z">
        <w:r>
          <w:delTex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delText>
        </w:r>
      </w:del>
      <w:del w:id="200504" w:author="Claude" w:date="2026-09-27T12:00:00Z">
        <w:r>
          <w:rPr>
            <w:rStyle w:val="FootnoteReference"/>
            <w:color w:val="000000" w:themeColor="text1"/>
          </w:rPr>
          <w:footnoteReference w:id="159"/>
        </w:r>
      </w:del>
      <w:del w:id="200505" w:author="Claude" w:date="2026-09-27T12:00:00Z">
        <w:r>
          <w:delText xml:space="preserve"> David Krech, a social psychologist who worked with the LDF in Charleston, described Marshall in action during a trial-preparation session:</w:delText>
        </w:r>
      </w:del>
    </w:p>
    <w:p w14:paraId="6FB75FB9" w14:textId="2081C9E9" w:rsidR="00A726E0" w:rsidRPr="00A9375B" w:rsidRDefault="00A726E0" w:rsidP="003D74D8">
      <w:pPr>
        <w:pStyle w:val="BodyTextFirstIndent2"/>
        <w:spacing w:line="480" w:lineRule="auto"/>
        <w:ind w:left="720" w:right="720" w:firstLine="0"/>
        <w:jc w:val="both"/>
        <w:rPr>
          <w:del w:id="200509" w:author="Claude" w:date="2026-09-27T12:00:00Z"/>
        </w:rPr>
      </w:pPr>
      <w:del w:id="200507" w:author="Claude" w:date="2026-09-27T12:00:00Z">
        <w:r>
          <w:delTex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delText>
          <w:lastRenderedPageBreak/>
          <w:delText>thought, the staff member’s answer. The staff would then offer a rebuttal, Marshall would rebut the rebuttal, and this went on and on—between beer and sandwiches and coffee—to Marshall’s seemingly huge amusement.”</w:delText>
        </w:r>
      </w:del>
      <w:del w:id="200508" w:author="Claude" w:date="2026-09-27T12:00:00Z">
        <w:r>
          <w:rPr>
            <w:rStyle w:val="FootnoteReference"/>
            <w:color w:val="000000" w:themeColor="text1"/>
          </w:rPr>
          <w:footnoteReference w:id="160"/>
        </w:r>
      </w:del>
    </w:p>
    <w:p w14:paraId="165CD7FB" w14:textId="0F3745E4" w:rsidR="00CC616A" w:rsidRPr="00A9375B" w:rsidRDefault="00A726E0" w:rsidP="003D74D8">
      <w:pPr>
        <w:pStyle w:val="BodyTextFirstIndent"/>
        <w:spacing w:line="480" w:lineRule="auto"/>
        <w:jc w:val="both"/>
        <w:rPr>
          <w:del w:id="200517" w:author="Claude" w:date="2026-09-27T12:00:00Z"/>
        </w:rPr>
      </w:pPr>
      <w:del w:id="200510" w:author="Claude" w:date="2026-09-27T12:00:00Z">
        <w:r>
          <w:delText>Marshall’s genius lay in gathering brilliant minds, letting them debate freely, and extracting the best ideas while discarding the rest.</w:delText>
        </w:r>
      </w:del>
      <w:del w:id="200511" w:author="Claude" w:date="2026-09-27T12:00:00Z">
        <w:r>
          <w:rPr>
            <w:rStyle w:val="FootnoteReference"/>
            <w:color w:val="000000" w:themeColor="text1"/>
          </w:rPr>
          <w:footnoteReference w:id="161"/>
        </w:r>
      </w:del>
      <w:del w:id="200512" w:author="Claude" w:date="2026-09-27T12:00:00Z">
        <w:r>
          <w:delText xml:space="preserve"> When the committee’s most influential members attacked a staff proposal, it survived on its merits: as Carter recalled of the fight over social-science testimony, “Since they had nothing better to offer, I won the initial skirmish.”</w:delText>
        </w:r>
      </w:del>
      <w:del w:id="200513" w:author="Claude" w:date="2026-09-27T12:00:00Z">
        <w:r>
          <w:rPr>
            <w:rStyle w:val="FootnoteReference"/>
            <w:color w:val="000000" w:themeColor="text1"/>
          </w:rPr>
          <w:footnoteReference w:id="162"/>
        </w:r>
      </w:del>
      <w:del w:id="200514" w:author="Claude" w:date="2026-09-27T12:00:00Z">
        <w:r>
          <w:delText xml:space="preserve"> Participants absorbed Marshall’s culture and did not take attacks on their positions personally; as Carter recalled, Marshall “could be counted on to support whatever concept I proposed as long as I stood up to any attack leveled against it by our legal group.”</w:delText>
        </w:r>
      </w:del>
      <w:del w:id="200515" w:author="Claude" w:date="2026-09-27T12:00:00Z">
        <w:r>
          <w:rPr>
            <w:rStyle w:val="FootnoteReference"/>
            <w:color w:val="000000" w:themeColor="text1"/>
          </w:rPr>
          <w:footnoteReference w:id="163"/>
        </w:r>
      </w:del>
      <w:del w:id="200516" w:author="Claude" w:date="2026-09-27T12:00:00Z">
        <w:r>
          <w:delText xml:space="preserve"> </w:delText>
        </w:r>
      </w:del>
    </w:p>
    <w:p w14:paraId="4AF6274A" w14:textId="6EE20D97" w:rsidR="000210BA" w:rsidRPr="00A9375B" w:rsidRDefault="00CC616A" w:rsidP="003D74D8">
      <w:pPr>
        <w:pStyle w:val="BodyTextFirstIndent"/>
        <w:spacing w:line="480" w:lineRule="auto"/>
        <w:jc w:val="both"/>
        <w:rPr>
          <w:del w:id="200527" w:author="Claude" w:date="2026-09-27T12:00:00Z"/>
        </w:rPr>
      </w:pPr>
      <w:del w:id="200518" w:author="Claude" w:date="2026-09-27T12:00:00Z">
        <w:r>
          <w:delText>The NAACP’s campaign against school segregation was successful, but the story illustrates that dedicating time, energy, and resources to scrutinizing one’s claim before filing is a prerequisite for strong litigation, because it counteracts the cognitive biases that any cohesive team, however talented, will develop when united by a shared objective of rushing an untested dispute out the door.</w:delText>
        </w:r>
      </w:del>
      <w:del w:id="200519" w:author="Claude" w:date="2026-09-27T12:00:00Z">
        <w:r>
          <w:rPr>
            <w:rStyle w:val="FootnoteReference"/>
          </w:rPr>
          <w:footnoteReference w:id="164"/>
        </w:r>
      </w:del>
      <w:del w:id="200520" w:author="Claude" w:date="2026-09-27T12:00:00Z">
        <w:r>
          <w:delText xml:space="preserve"> Commentators who, like me, wish the ACLU had presented stronger arguments for their clients observe that “the ACLU could have benefitted from conservative team members—not to </w:delText>
          <w:lastRenderedPageBreak/>
          <w:delText>tell them that they were wrong on the law, but to tell them why this case was nothing like Bostock and why [the] conservative justice[s] could vote one way in Bostock and be nowhere in the realm of gettable for this case.”</w:delText>
        </w:r>
      </w:del>
      <w:del w:id="200521" w:author="Claude" w:date="2026-09-27T12:00:00Z">
        <w:r>
          <w:rPr>
            <w:rStyle w:val="FootnoteReference"/>
          </w:rPr>
          <w:footnoteReference w:id="165"/>
        </w:r>
      </w:del>
      <w:del w:id="200522" w:author="Claude" w:date="2026-09-27T12:00:00Z">
        <w:r>
          <w:delText xml:space="preserve"> A deliberative body set on the fuller relief of formal adjudication need not forsake that path, but it owes its clients the rigor of first confirming that its theory can withstand adversarial scrutiny.</w:delText>
        </w:r>
      </w:del>
      <w:del w:id="200523" w:author="Claude" w:date="2026-09-27T12:00:00Z">
        <w:r>
          <w:rPr>
            <w:rStyle w:val="FootnoteReference"/>
            <w:color w:val="000000" w:themeColor="text1"/>
          </w:rPr>
          <w:footnoteReference w:id="166"/>
        </w:r>
      </w:del>
      <w:del w:id="200524" w:author="Claude" w:date="2026-09-27T12:00:00Z">
        <w:r>
          <w:delText xml:space="preserve"> In the next section, I will explain that when Deliberative Bodies are homogeneous and share a goal of externalizing a dispute without first testing it, and without any independent informal forum to absorb the claims that testing would have filtered out, their unchecked cohesion causes groupthink—the organizational pathology in which cohesion around an untested litigation strategy forecloses the internal dissent that would have exposed its deficiencies before the adversarial arena did.</w:delText>
        </w:r>
      </w:del>
      <w:del w:id="200525" w:author="Claude" w:date="2026-09-27T12:00:00Z">
        <w:r>
          <w:rPr>
            <w:rStyle w:val="FootnoteReference"/>
            <w:color w:val="000000" w:themeColor="text1"/>
          </w:rPr>
          <w:footnoteReference w:id="167"/>
        </w:r>
      </w:del>
      <w:del w:id="200526" w:author="Claude" w:date="2026-09-27T12:00:00Z">
        <w:r>
          <w:delText xml:space="preserve"> </w:delText>
        </w:r>
      </w:del>
    </w:p>
    <w:p w14:paraId="63AE8852" w14:textId="77777777" w:rsidR="007531F5" w:rsidRPr="00A9375B" w:rsidRDefault="007531F5" w:rsidP="003D74D8">
      <w:pPr>
        <w:pStyle w:val="BodyTextFirstIndent"/>
        <w:spacing w:line="480" w:lineRule="auto"/>
        <w:ind w:firstLine="0"/>
        <w:jc w:val="both"/>
        <w:rPr>
          <w:del w:id="200528" w:author="Claude" w:date="2026-09-27T12:00:00Z"/>
        </w:rPr>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bookmarkStart w:id="27" w:name="_Ref214111358"/>
      <w:bookmarkEnd w:id="27"/>
      <w:r>
        <w:t xml:space="preserve">When Deliberative Bodies orient all strategic development toward externalizing claims without pre-filing case scrutiny, their cognitive biases operate freely—biases that formal courts, as a cost of entry, once counteracted by compelling the disputant to check them. </w:t>
      </w:r>
      <w:del w:id="100063" w:author="Claude" w:date="2026-09-26T12:00:00Z">
        <w:r>
          <w:delText>Psychologist Irving Janis coined “Groupthink” (the primary cause of deficient litigation strategy) in 1972 to denote a degradation of collective judgment in which the drive for agreement within a cohesive group supplants the realistic appraisal of alternative courses of action.</w:delText>
        </w:r>
      </w:del>
      <w:ins w:id="100064" w:author="Claude" w:date="2026-09-26T12:00:00Z">
        <w:r>
          <w:t>Cardozo saw it half a century before Janis. “The spirit of the age, as it is revealed to each of us,” he wrote in 1921, “is too often only the spirit of the group in which the accidents of birth or education or occupation or fellowship have given us a place.”</w:t>
        </w:r>
        <w:r>
          <w:rPr>
            <w:rStyle w:val="FootnoteReference"/>
            <w:color w:val="000000" w:themeColor="text1"/>
          </w:rPr>
          <w:footnoteReference w:id="704"/>
        </w:r>
        <w:r>
          <w:t xml:space="preserve">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ins>
      <w:r>
        <w:rPr>
          <w:rStyle w:val="FootnoteReference"/>
          <w:color w:val="000000" w:themeColor="text1"/>
        </w:rPr>
        <w:footnoteReference w:id="168"/>
      </w:r>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w:t>
      </w:r>
      <w:del w:id="100047" w:author="Claude" w:date="2026-09-26T12:00:00Z">
        <w:r>
          <w:delText>VII</w:delText>
        </w:r>
      </w:del>
      <w:ins w:id="100048" w:author="Claude" w:date="2026-09-26T12:00:00Z">
        <w:r>
          <w:t>VI</w:t>
        </w:r>
      </w:ins>
      <w:r>
        <w:t xml:space="preserve"> explains, Deliberative Bodies must impose that discipline themselves.</w:t>
      </w:r>
      <w:r>
        <w:rPr>
          <w:rStyle w:val="FootnoteReference"/>
          <w:color w:val="000000"/>
        </w:rPr>
        <w:footnoteReference w:id="188"/>
      </w:r>
      <w:r>
        <w:t xml:space="preserve"> The next subsection explains why, in the absence of pre-filing scrutiny, all levels 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2A95E1B8" w14:textId="147426F6" w:rsidR="002914DE" w:rsidRPr="00A9375B" w:rsidRDefault="00143D39" w:rsidP="003D74D8">
      <w:pPr>
        <w:pStyle w:val="BodyTextFirstIndent"/>
        <w:spacing w:line="480" w:lineRule="auto"/>
        <w:jc w:val="both"/>
        <w:rPr>
          <w:ins w:id="201745" w:author="Claude" w:date="2026-09-27T12:00:00Z"/>
        </w:rPr>
      </w:pPr>
      <w:ins w:id="201730" w:author="Claude" w:date="2026-09-27T12:00:00Z">
        <w:r>
          <w:t>Unsurprisingly, with today’s generous pleading standards, modern Deliberative Bodies can circumvent any assessment of their cases’ legal and factual merit and instead focus on efficiently pursuing “settlement through mobilizing the court process.”</w:t>
        </w:r>
      </w:ins>
      <w:ins w:id="201731" w:author="Claude" w:date="2026-09-27T12:00:00Z">
        <w:r>
          <w:rPr>
            <w:rStyle w:val="FootnoteReference"/>
          </w:rPr>
          <w:footnoteReference w:id="814"/>
        </w:r>
      </w:ins>
      <w:ins w:id="201732" w:author="Claude" w:date="2026-09-27T12:00:00Z">
        <w:r>
          <w:t xml:space="preserve"> When Deliberative Bodies orient themselves around this goal, the trouble follows. In big law firms, the practice of delegating </w:t>
          <w:t>casework to inexperienced associates—who lack the judgment to recognize what matters and the incentive to report bad facts—means decision-making partners often decide a case is ripe for externalization based on information that was never tested to begin with.</w:t>
        </w:r>
      </w:ins>
      <w:ins w:id="201733" w:author="Claude" w:date="2026-09-27T12:00:00Z">
        <w:r>
          <w:rPr>
            <w:rStyle w:val="FootnoteReference"/>
          </w:rPr>
          <w:footnoteReference w:id="815"/>
        </w:r>
      </w:ins>
      <w:ins w:id="201734" w:author="Claude" w:date="2026-09-27T12:00:00Z">
        <w:r>
          <w:t xml:space="preserve"> This bureaucratic division is further exacerbated by a legal culture in which attorneys specialize in a narrow area of law, whose members experience their shared beliefs as objective fact and attribute bias only to outsider</w:t>
        </w:r>
      </w:ins>
      <w:ins w:id="201735" w:author="Claude" w:date="2026-09-27T12:00:00Z">
        <w:r>
          <w:rPr>
            <w:color w:val="000000" w:themeColor="text1"/>
          </w:rPr>
          <w:t>s.</w:t>
        </w:r>
      </w:ins>
      <w:ins w:id="201736" w:author="Claude" w:date="2026-09-27T12:00:00Z">
        <w:r>
          <w:rPr>
            <w:rStyle w:val="FootnoteReference"/>
            <w:color w:val="000000" w:themeColor="text1"/>
          </w:rPr>
          <w:footnoteReference w:id="816"/>
        </w:r>
      </w:ins>
      <w:ins w:id="201737" w:author="Claude" w:date="2026-09-27T12:00:00Z">
        <w:r>
          <w:rPr>
            <w:color w:val="000000" w:themeColor="text1"/>
          </w:rPr>
          <w:t xml:space="preserve"> </w:t>
        </w:r>
      </w:ins>
      <w:ins w:id="201738" w:author="Claude" w:date="2026-09-27T12:00:00Z">
        <w:r>
          <w:t>Within specialized practice groups, most firms experience insufficient employee voice, particularly regarding decisions employees perceive as unwise.</w:t>
        </w:r>
      </w:ins>
      <w:ins w:id="201739" w:author="Claude" w:date="2026-09-27T12:00:00Z">
        <w:r>
          <w:rPr>
            <w:rStyle w:val="FootnoteReference"/>
          </w:rPr>
          <w:footnoteReference w:id="817"/>
        </w:r>
      </w:ins>
      <w:ins w:id="201740" w:author="Claude" w:date="2026-09-27T12:00:00Z">
        <w:r>
          <w:t xml:space="preserve"> Most importantly, unlike accounting or medicine, law firms often lack rigorous peer-review policies, relying instead on highly subjective professional judgment and deference to individual attorneys.</w:t>
        </w:r>
      </w:ins>
      <w:ins w:id="201741" w:author="Claude" w:date="2026-09-27T12:00:00Z">
        <w:r>
          <w:rPr>
            <w:rStyle w:val="FootnoteReference"/>
          </w:rPr>
          <w:footnoteReference w:id="818"/>
        </w:r>
      </w:ins>
      <w:ins w:id="201742" w:author="Claude" w:date="2026-09-27T12:00:00Z">
        <w:r>
          <w:t xml:space="preserve"> Especially regarding leadership, most leaders neither seek nor receive honest feedback, and most law firms fail to institutionalize assessments from subordinates.</w:t>
        </w:r>
      </w:ins>
      <w:ins w:id="201743" w:author="Claude" w:date="2026-09-27T12:00:00Z">
        <w:r>
          <w:rPr>
            <w:rStyle w:val="FootnoteReference"/>
          </w:rPr>
          <w:footnoteReference w:id="819"/>
        </w:r>
      </w:ins>
      <w:ins w:id="201744" w:author="Claude" w:date="2026-09-27T12:00:00Z">
        <w:r>
          <w:t xml:space="preserve"> </w:t>
        </w:r>
      </w:ins>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r>
        <w:t>The framers’ deliberative process turned diverse and conflicting initial positions into a durable constitutional framework. The</w:t>
      </w:r>
      <w:r>
        <w:rPr>
          <w:i/>
          <w:iCs/>
        </w:rPr>
        <w:t xml:space="preserve"> how and when of group deliberation was the</w:t>
      </w:r>
      <w:r>
        <w:t xml:space="preserve"> antidote to the </w:t>
        <w:lastRenderedPageBreak/>
        <w:t>antecedent conditions of groupthink and to the biases those conditions leave unchecked.</w:t>
      </w:r>
      <w:r>
        <w:rPr>
          <w:rStyle w:val="FootnoteReference"/>
          <w:color w:val="000000" w:themeColor="text1"/>
        </w:rPr>
        <w:footnoteReference w:id="279"/>
      </w:r>
      <w:r>
        <w:t xml:space="preserve"> Consider the Convention in the abstract. The Convention wastested its own claim (we need a new Constitution) for months </w:t>
      </w:r>
      <w:r>
        <w:rPr>
          <w:i/>
          <w:iCs/>
        </w:rPr>
        <w:t>before</w:t>
      </w:r>
      <w:r>
        <w:t xml:space="preserve"> presenting it to the public. 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bookmarkStart w:id="49" w:name="_Ref222260093"/>
      <w:r>
        <w:rPr>
          <w:rStyle w:val="FootnoteReference"/>
          <w:color w:val="000000" w:themeColor="text1"/>
        </w:rPr>
        <w:footnoteReference w:id="280"/>
      </w:r>
      <w:bookmarkEnd w:id="49"/>
      <w:r>
        <w:t xml:space="preserve"> Randolph shows how deliberately the delegates made their case defensible before externalizing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lastRenderedPageBreak/>
        <w:t>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By contrast, modern ADR has neither smith nor forge, and sends untempered claims out into the world. 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pPr>
        <w:pStyle w:val="BodyTextFirstIndent"/>
        <w:spacing w:line="480" w:lineRule="auto"/>
        <w:jc w:val="both"/>
        <w:rPr>
          <w:ins w:id="201781" w:author="Claude" w:date="2026-09-27T12:00:00Z"/>
        </w:rPr>
      </w:pPr>
      <w:ins w:id="201780" w:author="Claude" w:date="2026-09-27T12:00:00Z">
        <w:r>
          <w:t>Why history, when the present would do? Because on this point the present cannot persuade. The cognitive biases that afflict modern Deliberative Bodies afflicted every Deliberative Body in recorded history, and the societies surveyed here understood as much and built their institutions accordingly. I could cite the empirical studies that establish the benefits of testing a claim before filing it. They are sound, but they speak in the idiom of the system that produced the deficiency. What the history shows is that the practice I advocate is no academic novelty but the recovery of something so embedded in human dispute resolution that its absence, not its presence, is the anomaly requiring explanation. In this I reject the “dominant supposition” that a law review note must “prescribe more law” or “address the world in the terms and categories constructed by the official legal apparatus.”</w:t>
        </w:r>
        <w:r>
          <w:rPr>
            <w:rStyle w:val="FootnoteReference"/>
            <w:color w:val="000000" w:themeColor="text1"/>
          </w:rPr>
          <w:footnoteReference w:id="820"/>
        </w:r>
        <w:r>
          <w:t xml:space="preserve"> The method is, moreover, the Supreme Court’s own, which asks whether a modern practice is “relevantly similar” to what tradition permits, “apply[ing] faithfully the balance struck by the founding generation to modern circumstances.”</w:t>
        </w:r>
        <w:r>
          <w:rPr>
            <w:rStyle w:val="FootnoteReference"/>
            <w:color w:val="000000" w:themeColor="text1"/>
          </w:rPr>
          <w:footnoteReference w:id="821"/>
        </w:r>
        <w:r>
          <w:t xml:space="preserve"> The evolutionary psychologists have arrived, by another road, at the same place. “It makes sense to look for arguments for our opinions before we find ourselves called upon to state them,” Hugo Mercier and Dan Sperber write. “If the search for arguments is successful, we will be ready. If not, then perhaps it might be better to adopt a weaker position, one that is easier to defend.”</w:t>
        </w:r>
        <w:r>
          <w:rPr>
            <w:rStyle w:val="FootnoteReference"/>
            <w:color w:val="000000" w:themeColor="text1"/>
          </w:rPr>
          <w:footnoteReference w:id="822"/>
        </w:r>
        <w:r>
          <w:t xml:space="preserve"> So the reader should not dismiss ancient practice as irrelevant to a modern law office. What we know and think about conflict resolution “is not a new fountain gushing fresh from the barren rock of the unknown at the stroke of the rod of our own intellect; it is a stream which flows by us and through us, fed by the far-off rivulets of long ago.”</w:t>
        </w:r>
        <w:r>
          <w:rPr>
            <w:rStyle w:val="FootnoteReference"/>
            <w:color w:val="000000" w:themeColor="text1"/>
          </w:rPr>
          <w:footnoteReference w:id="823"/>
        </w:r>
      </w:ins>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mixed panels, offering disputants a choice of where to bring their dispute after testing it.</w:t>
      </w:r>
      <w:r>
        <w:rPr>
          <w:rStyle w:val="FootnoteReference"/>
          <w:color w:val="000000" w:themeColor="text1"/>
        </w:rPr>
        <w:footnoteReference w:id="290"/>
      </w:r>
      <w:r>
        <w:t xml:space="preserve"> What is remarkable about these societies’ earliest experiments in dispute resolution is how effectively they sorted strong claims to the formal system and weak claims to the informal system. 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t>
      </w:r>
      <w:del w:id="100060" w:author="Claude" w:date="2026-09-26T12:00:00Z">
        <w:r>
          <w:delText xml:space="preserve">When claims that could only be resolved in the formal system (such as the </w:delText>
        </w:r>
        <w:r>
          <w:rPr>
            <w:i/>
            <w:iCs/>
          </w:rPr>
          <w:delText>Skrmetti</w:delText>
        </w:r>
        <w:r>
          <w:delText xml:space="preserve"> case) appeared weak after disputants tested them, they sought ways to improve their facts, law, and case strategy. </w:delText>
        </w:r>
      </w:del>
      <w:ins w:id="100061" w:author="Claude" w:date="2026-09-26T12:00:00Z">
        <w:r>
          <w:t>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r>
          <w:rPr>
            <w:rStyle w:val="FootnoteReference"/>
            <w:color w:val="000000" w:themeColor="text1"/>
          </w:rPr>
          <w:footnoteReference w:id="708"/>
        </w:r>
        <w:r>
          <w:t xml:space="preserve"> Where the QCM took the form of an oath invoking misfortune, it signaled a disputant was “therefore tak[ing] a costly risk, thereby honestly communicating one’s desire to obtain a given verdict.”</w:t>
        </w:r>
        <w:r>
          <w:rPr>
            <w:rStyle w:val="FootnoteReference"/>
            <w:color w:val="000000" w:themeColor="text1"/>
          </w:rPr>
          <w:footnoteReference w:id="709"/>
        </w:r>
        <w:r>
          <w:t xml:space="preserve"> When claims that could only be resolved in the formal system (such as the </w:t>
        </w:r>
        <w:r>
          <w:rPr>
            <w:i/>
          </w:rPr>
          <w:t>Skrmetti</w:t>
        </w:r>
        <w:r>
          <w:t xml:space="preserve"> case) appeared weak after disputants tested them, they sought ways to improve their facts, law, and case strategy. </w:t>
        </w:r>
      </w:ins>
      <w:r>
        <w:t xml:space="preserve">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r>
        <w:lastRenderedPageBreak/>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bookmarkStart w:id="51" w:name="_Ref214118354"/>
      <w:r>
        <w:t xml:space="preserve"> </w:t>
      </w:r>
      <w:bookmarkEnd w:id="51"/>
      <w:r>
        <w:t>The oath separated the two parallel forums and was so feared that the mere prospect of swearing it was sometimes enough to induce the parties to reach a compromise.</w:t>
      </w:r>
      <w:r>
        <w:rPr>
          <w:rStyle w:val="FootnoteReference"/>
          <w:color w:val="000000" w:themeColor="text1"/>
        </w:rPr>
        <w:footnoteReference w:id="292"/>
      </w:r>
      <w:r>
        <w:t xml:space="preserve"> In testing the </w:t>
        <w:lastRenderedPageBreak/>
        <w:t>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w:t>
        <w:lastRenderedPageBreak/>
        <w:t>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w:t>
        <w:lastRenderedPageBreak/>
        <w:t>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r>
        <w:t xml:space="preserve"> The oath and the disputes centered on it show how formal forums, QCMs, and informal forums operated in tandem. 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7F8C2B82" w14:textId="50A370BB" w:rsidR="00655A0D" w:rsidRPr="00A9375B" w:rsidRDefault="003E09AC" w:rsidP="003D74D8">
      <w:pPr>
        <w:pStyle w:val="BodyTextFirstIndent"/>
        <w:spacing w:line="480" w:lineRule="auto"/>
        <w:jc w:val="both"/>
        <w:rPr>
          <w:ins w:id="201869" w:author="Claude" w:date="2026-09-27T12:00:00Z"/>
        </w:rPr>
      </w:pPr>
      <w:ins w:id="201852" w:author="Claude" w:date="2026-09-27T12:00:00Z">
        <w:r>
          <w:t>A hypothetical will illustrate how the oath operated in practice. The characters and events are fictional; the historical records behind them are not. The setting is Mesopotamia circa 1800 BCE, in the city of Larsa.</w:t>
        </w:r>
      </w:ins>
      <w:ins w:id="201853" w:author="Claude" w:date="2026-09-27T12:00:00Z">
        <w:r>
          <w:rPr>
            <w:rStyle w:val="FootnoteReference"/>
            <w:color w:val="000000" w:themeColor="text1"/>
          </w:rPr>
          <w:footnoteReference w:id="824"/>
        </w:r>
      </w:ins>
      <w:ins w:id="201854" w:author="Claude" w:date="2026-09-27T12:00:00Z">
        <w:r>
          <w:t xml:space="preserve"> A farmer named Shamash-iddin and his family believed their neighbor Warad-Sin had diverted irrigation water from the shared canal, leaving Shamash-iddin’s </w:t>
          <w:t>barley fields to wither.</w:t>
        </w:r>
      </w:ins>
      <w:ins w:id="201855" w:author="Claude" w:date="2026-09-27T12:00:00Z">
        <w:r>
          <w:rPr>
            <w:rStyle w:val="FootnoteReference"/>
            <w:color w:val="000000" w:themeColor="text1"/>
          </w:rPr>
          <w:footnoteReference w:id="825"/>
        </w:r>
      </w:ins>
      <w:ins w:id="201856" w:author="Claude" w:date="2026-09-27T12:00:00Z">
        <w:r>
          <w:t xml:space="preserve"> Before Shamash-iddin would even consider bringing a formal claim before the assembly</w:t>
        </w:r>
      </w:ins>
      <w:ins w:id="201857" w:author="Claude" w:date="2026-09-27T12:00:00Z">
        <w:r>
          <w:rPr>
            <w:rStyle w:val="FootnoteReference"/>
            <w:color w:val="000000" w:themeColor="text1"/>
          </w:rPr>
          <w:footnoteReference w:id="826"/>
        </w:r>
      </w:ins>
      <w:ins w:id="201858" w:author="Claude" w:date="2026-09-27T12:00:00Z">
        <w:r>
          <w:t>—a process requiring a sworn oath before the gods with the risk of divine punishment for baseless claims—he would first test the strength of his claim by presenting his grievance to the neighborhood council of elders.</w:t>
        </w:r>
      </w:ins>
      <w:ins w:id="201859" w:author="Claude" w:date="2026-09-27T12:00:00Z">
        <w:r>
          <w:rPr>
            <w:rStyle w:val="FootnoteReference"/>
            <w:color w:val="000000" w:themeColor="text1"/>
          </w:rPr>
          <w:footnoteReference w:id="827"/>
        </w:r>
      </w:ins>
      <w:ins w:id="201860" w:author="Claude" w:date="2026-09-27T12:00:00Z">
        <w:r>
          <w:t xml:space="preserve"> Shamash-iddin was confident that someone had intentionally diverted the water because levels remained too low this late into the season. Yet his theory fell apart once presented to the council.</w:t>
        </w:r>
      </w:ins>
      <w:ins w:id="201861" w:author="Claude" w:date="2026-09-27T12:00:00Z">
        <w:r>
          <w:rPr>
            <w:rStyle w:val="FootnoteReference"/>
            <w:color w:val="000000" w:themeColor="text1"/>
          </w:rPr>
          <w:footnoteReference w:id="828"/>
        </w:r>
      </w:ins>
      <w:ins w:id="201862" w:author="Claude" w:date="2026-09-27T12:00:00Z">
        <w:r>
          <w:t xml:space="preserve"> One of these elders owned adjacent fields and benefited from the same canal, another was Warad-Sin’s cousin, and a third had previously </w:t>
          <w:t>disputed a property boundary with Shamash-iddin.</w:t>
        </w:r>
      </w:ins>
      <w:ins w:id="201863" w:author="Claude" w:date="2026-09-27T12:00:00Z">
        <w:r>
          <w:rPr>
            <w:rStyle w:val="FootnoteReference"/>
            <w:color w:val="000000" w:themeColor="text1"/>
          </w:rPr>
          <w:footnoteReference w:id="829"/>
        </w:r>
      </w:ins>
      <w:ins w:id="201864" w:author="Claude" w:date="2026-09-27T12:00:00Z">
        <w:r>
          <w:t xml:space="preserve"> The cousin challenged the timeline, the adjacent landowner noted that all farmers faced low water this season, and the rival asked why, if Warad-Sin was stealing water, his own barley looked equally parched.</w:t>
        </w:r>
      </w:ins>
      <w:ins w:id="201865" w:author="Claude" w:date="2026-09-27T12:00:00Z">
        <w:r>
          <w:rPr>
            <w:rStyle w:val="FootnoteReference"/>
            <w:color w:val="000000" w:themeColor="text1"/>
          </w:rPr>
          <w:footnoteReference w:id="830"/>
        </w:r>
      </w:ins>
      <w:ins w:id="201866" w:author="Claude" w:date="2026-09-27T12:00:00Z">
        <w:r>
          <w:t xml:space="preserve"> Confronted with these challenges, Shamash-iddin conceded that his claim was baseless and never brought it.</w:t>
        </w:r>
      </w:ins>
      <w:ins w:id="201867" w:author="Claude" w:date="2026-09-27T12:00:00Z">
        <w:r>
          <w:rPr>
            <w:rStyle w:val="FootnoteReference"/>
            <w:color w:val="000000" w:themeColor="text1"/>
          </w:rPr>
          <w:footnoteReference w:id="831"/>
        </w:r>
      </w:ins>
      <w:ins w:id="201868" w:author="Claude" w:date="2026-09-27T12:00:00Z">
        <w:r>
          <w:t xml:space="preserve"> </w:t>
        </w:r>
      </w:ins>
    </w:p>
    <w:p w14:paraId="4A5598AC" w14:textId="44857C25" w:rsidR="006E1CB3" w:rsidRPr="00A9375B" w:rsidRDefault="009017D7" w:rsidP="003D74D8">
      <w:pPr>
        <w:pStyle w:val="BodyTextFirstIndent"/>
        <w:spacing w:line="480" w:lineRule="auto"/>
        <w:jc w:val="both"/>
        <w:rPr>
          <w:ins w:id="201878" w:author="Claude" w:date="2026-09-27T12:00:00Z"/>
        </w:rPr>
      </w:pPr>
      <w:ins w:id="201875" w:author="Claude" w:date="2026-09-27T12:00:00Z">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t>
          <w: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w:t>
        </w:r>
      </w:ins>
      <w:ins w:id="201876" w:author="Claude" w:date="2026-09-27T12:00:00Z">
        <w:r>
          <w:t xml:space="preserve"> save courts and clients from weak, untested claims.</w:t>
        </w:r>
      </w:ins>
      <w:ins w:id="201877" w:author="Claude" w:date="2026-09-27T12:00:00Z">
        <w:r>
          <w:rPr>
            <w:rStyle w:val="FootnoteReference"/>
            <w:color w:val="000000" w:themeColor="text1"/>
          </w:rPr>
          <w:footnoteReference w:id="832"/>
        </w:r>
      </w:ins>
    </w:p>
    <w:p w14:paraId="04DC1DBB" w14:textId="081381B5" w:rsidR="00EF2121" w:rsidRPr="00A9375B" w:rsidRDefault="007F2B28" w:rsidP="003D74D8">
      <w:pPr>
        <w:pStyle w:val="BodyTextFirstIndent"/>
        <w:spacing w:line="480" w:lineRule="auto"/>
        <w:jc w:val="both"/>
      </w:pPr>
      <w:r>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w:t>
      </w:r>
      <w:ins w:id="100062" w:author="Claude" w:date="2026-09-26T12:00:00Z">
        <w:r>
          <w:t>In Athens the “oath” was the relentless cultural emphasis on individual character enforced through the courts, whose speeches publicized a litigant’s past misconduct and exposed him to informal social sanction.</w:t>
        </w:r>
        <w:r>
          <w:rPr>
            <w:rStyle w:val="FootnoteReference"/>
            <w:color w:val="000000" w:themeColor="text1"/>
          </w:rPr>
          <w:footnoteReference w:id="710"/>
        </w:r>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r>
          <w:rPr>
            <w:rStyle w:val="FootnoteReference"/>
            <w:color w:val="000000" w:themeColor="text1"/>
          </w:rPr>
          <w:footnoteReference w:id="711"/>
        </w:r>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r>
          <w:rPr>
            <w:rStyle w:val="FootnoteReference"/>
            <w:color w:val="000000" w:themeColor="text1"/>
          </w:rPr>
          <w:footnoteReference w:id="712"/>
        </w:r>
        <w:r>
          <w:t xml:space="preserve"> The “oath” thus had no connection to the divine in Athens; it was a proxy for total reputational risk, because the adjudicative process declined to sever the legal claim from the moral standing of the claimant. </w:t>
        </w:r>
      </w:ins>
      <w:r>
        <w:t>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 xml:space="preserve">This story complements </w:t>
      </w:r>
      <w:del w:id="100055" w:author="Claude" w:date="2026-09-26T12:00:00Z">
        <w:r>
          <w:delText>the one I told in the introduction, where</w:delText>
        </w:r>
      </w:del>
      <w:ins w:id="100056" w:author="Claude" w:date="2026-09-26T12:00:00Z">
        <w:r>
          <w:t>another.</w:t>
        </w:r>
      </w:ins>
      <w:r>
        <w:t xml:space="preserve"> Phrynion, “in the face of a realisation that his claims that she was his slave were weak, . </w:t>
      </w:r>
      <w:r>
        <w:t xml:space="preserve">. . </w:t>
      </w:r>
      <w:r>
        <w:t>used arbitration to get at least something out of Stephanos</w:t>
      </w:r>
      <w:del w:id="100057" w:author="Claude" w:date="2026-09-26T12:00:00Z">
        <w:r>
          <w:delText>.</w:delText>
        </w:r>
      </w:del>
      <w:ins w:id="100058" w:author="Claude" w:date="2026-09-26T12:00:00Z">
        <w:r>
          <w:t>,</w:t>
        </w:r>
      </w:ins>
      <w:r>
        <w:t>”</w:t>
      </w:r>
      <w:r>
        <w:rPr>
          <w:rStyle w:val="FootnoteReference"/>
        </w:rPr>
        <w:footnoteReference w:id="310"/>
      </w:r>
      <w:ins w:id="100059" w:author="Claude" w:date="2026-09-26T12:00:00Z">
        <w:r>
          <w:t xml:space="preserve"> deterred by the formal tier’s binary structure that precluded compromise, oaths that risked branding him a perjurer, and financial penalties designed to “make someone hesitate” before obstructing justice.</w:t>
        </w:r>
        <w:r>
          <w:rPr>
            <w:rStyle w:val="FootnoteReference"/>
          </w:rPr>
          <w:footnoteReference w:id="713"/>
        </w:r>
      </w:ins>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pPr>
        <w:pStyle w:val="BodyTextFirstIndent"/>
        <w:spacing w:line="480" w:lineRule="auto"/>
        <w:jc w:val="both"/>
        <w:rPr>
          <w:ins w:id="201916" w:author="Claude" w:date="2026-09-27T12:00:00Z"/>
        </w:rPr>
      </w:pPr>
      <w:ins w:id="201915" w:author="Claude" w:date="2026-09-27T12:00:00Z">
        <w:r>
          <w:t>Two things about that oath deserve notice. Up until the Roman Empire, throughout much of human history, litigants were conceptually “pro se,” so to speak,</w:t>
        </w:r>
        <w:r>
          <w:rPr>
            <w:rStyle w:val="FootnoteReference"/>
            <w:color w:val="000000" w:themeColor="text1"/>
          </w:rPr>
          <w:footnoteReference w:id="833"/>
        </w:r>
        <w:r>
          <w:t xml:space="preserve"> and the historic oath should not be confused with a modern juror swearing that his testimony is truthful, or with the ABA’s “oath” (if you can call it that), for the QCM applied to the individual advancing legal arguments in court.</w:t>
        </w:r>
        <w:r>
          <w:rPr>
            <w:rStyle w:val="FootnoteReference"/>
            <w:color w:val="000000" w:themeColor="text1"/>
          </w:rPr>
          <w:footnoteReference w:id="834"/>
        </w:r>
        <w:r>
          <w:t xml:space="preserve"> 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r>
          <w:rPr>
            <w:rStyle w:val="FootnoteReference"/>
            <w:color w:val="000000" w:themeColor="text1"/>
          </w:rPr>
          <w:footnoteReference w:id="835"/>
        </w:r>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or not a prospective client had a reasonable cause of action.”</w:t>
        </w:r>
        <w:r>
          <w:rPr>
            <w:rStyle w:val="FootnoteReference"/>
            <w:color w:val="000000" w:themeColor="text1"/>
          </w:rPr>
          <w:footnoteReference w:id="836"/>
        </w:r>
        <w:r>
          <w:t xml:space="preserve">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r>
          <w:rPr>
            <w:rStyle w:val="FootnoteReference"/>
            <w:color w:val="000000" w:themeColor="text1"/>
          </w:rPr>
          <w:footnoteReference w:id="837"/>
        </w:r>
      </w:ins>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del w:id="100065" w:author="Claude" w:date="2026-09-26T12:00:00Z">
        <w:r>
          <w:delTex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delText>
        </w:r>
      </w:del>
      <w:ins w:id="100066" w:author="Claude" w:date="2026-09-26T12:00:00Z">
        <w:r>
          <w:t xml:space="preserve"> Cicero described the exercise before anyone thought to give it a name. He would hear the client alone and “argue his opponent’s case to him, so that he may argue his own,” and then, “when he has departed, in my own person and with perfect impartiality I play three characters, myself, my opponent and the arbitrator.”</w:t>
        </w:r>
        <w:r>
          <w:rPr>
            <w:rStyle w:val="FootnoteReference"/>
            <w:color w:val="000000" w:themeColor="text1"/>
          </w:rPr>
          <w:footnoteReference w:id="705"/>
        </w:r>
        <w:r>
          <w: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ins>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r>
        <w:t xml:space="preserve"> Yet the growth of a complex society, coupled with cultural attitudes toward the Externalization of claims, can deter disputants from wasting the formal system’s time and resources with baseless, untested claims. 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bookmarkStart w:id="55" w:name="_Ref214120043"/>
      <w:r>
        <w:rPr>
          <w:rStyle w:val="FootnoteReference"/>
          <w:color w:val="000000" w:themeColor="text1"/>
        </w:rPr>
        <w:footnoteReference w:id="334"/>
      </w:r>
      <w:bookmarkEnd w:id="55"/>
      <w:r>
        <w:t xml:space="preserve"> The decision to bring a claim to the </w:t>
        <w:lastRenderedPageBreak/>
        <w:t>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del w:id="100067" w:author="Claude" w:date="2026-09-26T12:00:00Z">
        <w:r>
          <w:delText xml:space="preserve"> I have represented Traditional Chinese ADR in the following timeline:</w:delText>
        </w:r>
      </w:del>
      <w:ins w:id="100068" w:author="Claude" w:date="2026-09-26T12:00:00Z">
        <w:r>
          <w:t xml:space="preserve"> The rabbis went further than anyone. The Mishnah and Maimonides record a court that took the junior judge’s opinion first, lest the rest defer to their elders; that forbade a judge simply to adopt a colleague’s view; that counted the student who kept silent as a transgressor; and that acquitted the defendant whom every judge had voted to convict, on the reasoning that a court in which no one had argued for acquittal had not deliberated at all.</w:t>
        </w:r>
        <w:r>
          <w:rPr>
            <w:rStyle w:val="FootnoteReference"/>
            <w:color w:val="000000" w:themeColor="text1"/>
          </w:rPr>
          <w:footnoteReference w:id="720"/>
        </w:r>
        <w:r>
          <w:t xml:space="preserve"> I have represented Traditional Chinese ADR in the following timeline:</w:t>
        </w:r>
      </w:ins>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between formal forums, where disputants brought strong claims and were willing to take on personal costs, and the informal system, where disputants brought weak claims and were focused on obtaining </w:t>
      </w:r>
      <w:r>
        <w:rPr>
          <w:i/>
          <w:iCs/>
        </w:rPr>
        <w:t>some</w:t>
      </w:r>
      <w:r>
        <w:t xml:space="preserve"> form of relief, 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del w:id="100069" w:author="Claude" w:date="2026-09-26T12:00:00Z">
        <w:r>
          <w:delText xml:space="preserve"> I have represented Medieval English ADR in the following timeline:</w:delText>
        </w:r>
      </w:del>
      <w:ins w:id="100070" w:author="Claude" w:date="2026-09-26T12:00:00Z">
        <w:r>
          <w:t xml:space="preserve"> The English bar did not leave the test to conscience. It built it into the exercises of the Inns of Court. A description of the Middle Temple’s customs from about 1539 records that when a reader expounded a statute, the utter barristers “by all ways of learning and reason that can be invented do impugn his opinion . . . and at last the reader doth confute all their sayings and confirmeth his opinion,”</w:t>
        </w:r>
        <w:r>
          <w:rPr>
            <w:rStyle w:val="FootnoteReference"/>
            <w:color w:val="000000" w:themeColor="text1"/>
          </w:rPr>
          <w:footnoteReference w:id="722"/>
        </w:r>
        <w:r>
          <w:t xml:space="preserve"> and a 1540 report on the Inns adds that “in all their open disputations the youngest of continuance argueth first.”</w:t>
        </w:r>
        <w:r>
          <w:rPr>
            <w:rStyle w:val="FootnoteReference"/>
            <w:color w:val="000000" w:themeColor="text1"/>
          </w:rPr>
          <w:footnoteReference w:id="721"/>
        </w:r>
        <w:r>
          <w:t xml:space="preserve"> The benchers, J.H. Baker observes, could “argue against their own minds for the sake of argument.”</w:t>
        </w:r>
        <w:r>
          <w:rPr>
            <w:rStyle w:val="FootnoteReference"/>
            <w:color w:val="000000" w:themeColor="text1"/>
          </w:rPr>
          <w:footnoteReference w:id="702"/>
        </w:r>
        <w:r>
          <w:t xml:space="preserve"> A junior lawyer learned his law by attacking his elders’ positions in public, and the elders answered last. I have represented Medieval English ADR in the following timeline:</w:t>
        </w:r>
      </w:ins>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pPr>
        <w:pStyle w:val="BodyTextFirstIndent"/>
        <w:spacing w:line="480" w:lineRule="auto"/>
        <w:jc w:val="both"/>
        <w:rPr>
          <w:ins w:id="201918" w:author="Claude" w:date="2026-09-27T12:00:00Z"/>
        </w:rPr>
      </w:pPr>
      <w:ins w:id="201917" w:author="Claude" w:date="2026-09-27T12:00:00Z">
        <w:r>
          <w:t>The differing QCMs, drawn together, look like this:</w:t>
        </w:r>
      </w:ins>
    </w:p>
    <w:p w14:paraId="2B1FF12D" w14:textId="6AE0A8B2" w:rsidR="003E09AC" w:rsidRPr="00A9375B" w:rsidRDefault="00BB165A" w:rsidP="003D74D8">
      <w:pPr>
        <w:spacing w:line="480" w:lineRule="auto"/>
        <w:jc w:val="both"/>
        <w:rPr>
          <w:ins w:id="201920" w:author="Claude" w:date="2026-09-27T12:00:00Z"/>
          <w:color w:val="000000" w:themeColor="text1"/>
        </w:rPr>
      </w:pPr>
      <w:ins w:id="201919" w:author="Claude" w:date="2026-09-27T12:00:00Z">
        <w:r>
          <w:rPr>
            <w:noProof/>
            <w:color w:val="000000" w:themeColor="text1"/>
          </w:rPr>
          <w:drawing>
            <wp:inline distT="0" distB="0" distL="0" distR="0" wp14:anchorId="47B49266" wp14:editId="7DE00DC7">
              <wp:extent cx="5943600" cy="3691255"/>
              <wp:effectExtent l="0" t="0" r="0" b="4445"/>
              <wp:docPr id="1831582834"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ins>
    </w:p>
    <w:p>
      <w:pPr>
        <w:pStyle w:val="BodyTextFirstIndent"/>
        <w:spacing w:line="480" w:lineRule="auto"/>
        <w:jc w:val="both"/>
        <w:rPr>
          <w:ins w:id="201929" w:author="Claude" w:date="2026-09-27T12:00:00Z"/>
        </w:rPr>
      </w:pPr>
      <w:ins w:id="201928" w:author="Claude" w:date="2026-09-27T12:00:00Z">
        <w:r>
          <w: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t>
        </w:r>
        <w:r>
          <w:rPr>
            <w:rStyle w:val="FootnoteReference"/>
            <w:color w:val="000000" w:themeColor="text1"/>
          </w:rPr>
          <w:footnoteReference w:id="838"/>
        </w:r>
      </w:ins>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r>
        <w:rPr>
          <w:smallCaps/>
        </w:rPr>
        <w:t>These Historical Practices were not Early Iterations of Modern ADR</w:t>
      </w:r>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bookmarkStart w:id="61" w:name="_Ref218967994"/>
      <w:r>
        <w:rPr>
          <w:rStyle w:val="FootnoteReference"/>
        </w:rPr>
        <w:footnoteReference w:id="382"/>
      </w:r>
      <w:bookmarkEnd w:id="61"/>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This </w:t>
        <w:lastRenderedPageBreak/>
        <w:t>insistence functioned, whether by design or by fortunate accident, as both an administrative filter against weak claims and an institutional safeguard against groupthink.</w:t>
      </w:r>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t>
        <w:lastRenderedPageBreak/>
        <w:t>what sacred oath-taking had once provided—a mechanism that disciplined frivolous claims and compelled claimants to confront the gravity of Externalization. 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pPr>
        <w:pStyle w:val="BodyTextFirstIndent"/>
        <w:spacing w:line="480" w:lineRule="auto"/>
        <w:jc w:val="both"/>
        <w:rPr>
          <w:ins w:id="201986" w:author="Claude" w:date="2026-09-27T12:00:00Z"/>
        </w:rPr>
      </w:pPr>
      <w:ins w:id="201985" w:author="Claude" w:date="2026-09-27T12:00:00Z">
        <w:r>
          <w:t>Elsewhere the QCM survived the transition. Although the separation of church and state has influenced most modern legal systems—a development that has impacted divine QCMs like the Ancient Near Eastern Oath—the spirit of historical QCM variations persists in modern practice where authoritative legal rules are unavailable.</w:t>
        </w:r>
        <w:r>
          <w:rPr>
            <w:rStyle w:val="FootnoteReference"/>
            <w:color w:val="000000" w:themeColor="text1"/>
          </w:rPr>
          <w:footnoteReference w:id="839"/>
        </w:r>
        <w:r>
          <w:t xml:space="preserve"> Fish do not talk about water.</w:t>
        </w:r>
        <w:r>
          <w:rPr>
            <w:rStyle w:val="FootnoteReference"/>
            <w:color w:val="000000" w:themeColor="text1"/>
          </w:rPr>
          <w:footnoteReference w:id="840"/>
        </w:r>
        <w:r>
          <w:t xml:space="preserve"> In a secularized society divine oaths are impractical, because “modern societies don’t believe ordeals are </w:t>
        </w:r>
        <w:r>
          <w:rPr>
            <w:i/>
          </w:rPr>
          <w:t>iudicia</w:t>
        </w:r>
        <w:r>
          <w:t xml:space="preserve"> </w:t>
        </w:r>
        <w:r>
          <w:rPr>
            <w:i/>
          </w:rPr>
          <w:t>Dei</w:t>
        </w:r>
        <w:r>
          <w:t>, which ordeals require to work” (</w:t>
        </w:r>
        <w:r>
          <w:rPr>
            <w:i/>
          </w:rPr>
          <w:t>iudicia</w:t>
        </w:r>
        <w:r>
          <w:t xml:space="preserve"> </w:t>
        </w:r>
        <w:r>
          <w:rPr>
            <w:i/>
          </w:rPr>
          <w:t>Dei</w:t>
        </w:r>
        <w:r>
          <w:t xml:space="preserve"> is a term meaning “judgments of God,” referring to the superstition that God miraculously intervenes to condemn the guilty and exonerate the innocent).</w:t>
        </w:r>
        <w:r>
          <w:rPr>
            <w:rStyle w:val="FootnoteReference"/>
            <w:color w:val="000000" w:themeColor="text1"/>
          </w:rPr>
          <w:footnoteReference w:id="841"/>
        </w:r>
        <w:r>
          <w:t xml:space="preserve"> While other societies have adapted to this cultural transition</w:t>
        </w:r>
        <w:r>
          <w:rPr>
            <w:rStyle w:val="FootnoteReference"/>
            <w:color w:val="000000" w:themeColor="text1"/>
          </w:rPr>
          <w:footnoteReference w:id="842"/>
        </w:r>
        <w:r>
          <w:t>, a series of historical circumstances unique to American society</w:t>
        </w:r>
        <w:r>
          <w:rPr>
            <w:rStyle w:val="FootnoteReference"/>
            <w:color w:val="000000" w:themeColor="text1"/>
          </w:rPr>
          <w:footnoteReference w:id="843"/>
        </w:r>
        <w:r>
          <w:t xml:space="preserve"> means that the oath “once was the principal source of ethical regulation of lawyers, but it is now an often overlooked part of the labyrinth of laws and standards governing lawyer conduct.”</w:t>
        </w:r>
        <w:r>
          <w:rPr>
            <w:rStyle w:val="FootnoteReference"/>
            <w:color w:val="000000" w:themeColor="text1"/>
          </w:rPr>
          <w:footnoteReference w:id="844"/>
        </w:r>
        <w:r>
          <w:t xml:space="preserve"> What follows are just a few examples of how the concept of the oath persists in modern practice.</w:t>
        </w:r>
      </w:ins>
    </w:p>
    <w:p w14:paraId="74803279" w14:textId="4D75BB32" w:rsidR="00254412" w:rsidRPr="00A9375B" w:rsidRDefault="00254412" w:rsidP="003D74D8">
      <w:pPr>
        <w:pStyle w:val="BodyTextFirstIndent"/>
        <w:spacing w:line="480" w:lineRule="auto"/>
        <w:jc w:val="both"/>
        <w:rPr>
          <w:ins w:id="202029" w:author="Claude" w:date="2026-09-27T12:00:00Z"/>
        </w:rPr>
      </w:pPr>
      <w:ins w:id="202018" w:author="Claude" w:date="2026-09-27T12:00:00Z">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ins>
      <w:ins w:id="202019" w:author="Claude" w:date="2026-09-27T12:00:00Z">
        <w:r>
          <w:rPr>
            <w:rStyle w:val="FootnoteReference"/>
            <w:color w:val="000000" w:themeColor="text1"/>
          </w:rPr>
          <w:footnoteReference w:id="845"/>
        </w:r>
      </w:ins>
      <w:ins w:id="202020" w:author="Claude" w:date="2026-09-27T12:00:00Z">
        <w:r>
          <w:t xml:space="preserve"> In modern Greece, unlike the ABA’s oath, which evolved to permit any defense deemed “honestly debatable”</w:t>
        </w:r>
      </w:ins>
      <w:ins w:id="202021" w:author="Claude" w:date="2026-09-27T12:00:00Z">
        <w:r>
          <w:rPr>
            <w:rStyle w:val="FootnoteReference"/>
            <w:color w:val="000000" w:themeColor="text1"/>
          </w:rPr>
          <w:footnoteReference w:id="846"/>
        </w:r>
      </w:ins>
      <w:ins w:id="202022" w:author="Claude" w:date="2026-09-27T12:00:00Z">
        <w:r>
          <w:t xml:space="preserve"> regardless of its content, Article 116 of the Greek Code of Civil Procedure states a general duty to tell the truth and to conduct litigation according to “good faith and morality.”</w:t>
        </w:r>
      </w:ins>
      <w:ins w:id="202023" w:author="Claude" w:date="2026-09-27T12:00:00Z">
        <w:r>
          <w:rPr>
            <w:rStyle w:val="FootnoteReference"/>
            <w:color w:val="000000" w:themeColor="text1"/>
          </w:rPr>
          <w:footnoteReference w:id="847"/>
        </w:r>
      </w:ins>
      <w:ins w:id="202024" w:author="Claude" w:date="2026-09-27T12:00:00Z">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ins>
      <w:ins w:id="202025" w:author="Claude" w:date="2026-09-27T12:00:00Z">
        <w:r>
          <w:rPr>
            <w:rStyle w:val="FootnoteReference"/>
            <w:color w:val="000000" w:themeColor="text1"/>
          </w:rPr>
          <w:footnoteReference w:id="848"/>
        </w:r>
      </w:ins>
      <w:ins w:id="202026" w:author="Claude" w:date="2026-09-27T12:00:00Z">
        <w:r>
          <w:t xml:space="preserve"> In modern </w:t>
          <w:t>Rome, the calumny oath, discussed above, “remain[s] embedded in modern [romano-canonical] procedural codes.”</w:t>
        </w:r>
      </w:ins>
      <w:ins w:id="202027" w:author="Claude" w:date="2026-09-27T12:00:00Z">
        <w:r>
          <w:rPr>
            <w:rStyle w:val="FootnoteReference"/>
            <w:color w:val="000000" w:themeColor="text1"/>
          </w:rPr>
          <w:footnoteReference w:id="849"/>
        </w:r>
      </w:ins>
      <w:ins w:id="202028" w:author="Claude" w:date="2026-09-27T12:00:00Z">
        <w:r>
          <w:t xml:space="preserve"> </w:t>
        </w:r>
      </w:ins>
    </w:p>
    <w:p w14:paraId="751D41D1" w14:textId="14D9A907" w:rsidR="00254412" w:rsidRPr="00A9375B" w:rsidRDefault="00254412" w:rsidP="003D74D8">
      <w:pPr>
        <w:pStyle w:val="BodyTextFirstIndent"/>
        <w:spacing w:line="480" w:lineRule="auto"/>
        <w:jc w:val="both"/>
        <w:rPr>
          <w:ins w:id="202076" w:author="Claude" w:date="2026-09-27T12:00:00Z"/>
        </w:rPr>
      </w:pPr>
      <w:ins w:id="202066" w:author="Claude" w:date="2026-09-27T12:00:00Z">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ins>
      <w:ins w:id="202067" w:author="Claude" w:date="2026-09-27T12:00:00Z">
        <w:r>
          <w:rPr>
            <w:rStyle w:val="FootnoteReference"/>
            <w:color w:val="000000" w:themeColor="text1"/>
          </w:rPr>
          <w:footnoteReference w:id="850"/>
        </w:r>
      </w:ins>
      <w:ins w:id="202068" w:author="Claude" w:date="2026-09-27T12:00:00Z">
        <w:r>
          <w:t xml:space="preserve"> This practice parallels the traditional authority of a village elder restoring communal harmony through deference, face-saving, and relational obligation.</w:t>
        </w:r>
      </w:ins>
      <w:ins w:id="202069" w:author="Claude" w:date="2026-09-27T12:00:00Z">
        <w:r>
          <w:rPr>
            <w:rStyle w:val="FootnoteReference"/>
            <w:color w:val="000000" w:themeColor="text1"/>
          </w:rPr>
          <w:footnoteReference w:id="851"/>
        </w:r>
      </w:ins>
      <w:ins w:id="202070" w:author="Claude" w:date="2026-09-27T12:00:00Z">
        <w:r>
          <w:t> At the grassroots level, People’s Mediation Committees rooted in Confucian community ordering continue to function as a pre-adjudicative filter, preventing tens of thousands of civil disputes from escalating into criminal matters each year.</w:t>
        </w:r>
      </w:ins>
      <w:ins w:id="202071" w:author="Claude" w:date="2026-09-27T12:00:00Z">
        <w:r>
          <w:rPr>
            <w:rStyle w:val="FootnoteReference"/>
            <w:color w:val="000000" w:themeColor="text1"/>
          </w:rPr>
          <w:footnoteReference w:id="852"/>
        </w:r>
      </w:ins>
      <w:ins w:id="202072" w:author="Claude" w:date="2026-09-27T12:00:00Z">
        <w:r>
          <w:t xml:space="preserve"> And in England, where dispute resolution through arbitration and mediation predates the common law itself, medieval lovedays evolved into formalized commercial arbitration through the procedural mechanism of penal bonds.</w:t>
        </w:r>
      </w:ins>
      <w:ins w:id="202073" w:author="Claude" w:date="2026-09-27T12:00:00Z">
        <w:r>
          <w:rPr>
            <w:rStyle w:val="FootnoteReference"/>
            <w:color w:val="000000" w:themeColor="text1"/>
          </w:rPr>
          <w:footnoteReference w:id="853"/>
        </w:r>
      </w:ins>
      <w:ins w:id="202074" w:author="Claude" w:date="2026-09-27T12:00:00Z">
        <w:r>
          <w:t xml:space="preserve"> Unlike the United States’ placement of ADR forums on the same track as litigation, Parliament’s </w:t>
          <w:t>uninterrupted support for pro-arbitration statutes from 1698 through the present has sustained a statutory policy favoring arbitration.</w:t>
        </w:r>
      </w:ins>
      <w:ins w:id="202075" w:author="Claude" w:date="2026-09-27T12:00:00Z">
        <w:r>
          <w:rPr>
            <w:rStyle w:val="FootnoteReference"/>
            <w:color w:val="000000" w:themeColor="text1"/>
          </w:rPr>
          <w:footnoteReference w:id="854"/>
        </w:r>
      </w:ins>
    </w:p>
    <w:p w14:paraId="12AEC0C0" w14:textId="08B9F66E" w:rsidR="007A2AA9" w:rsidRPr="00A9375B" w:rsidRDefault="00E22F07" w:rsidP="003D74D8">
      <w:pPr>
        <w:pStyle w:val="BodyTextFirstIndent"/>
        <w:spacing w:line="480" w:lineRule="auto"/>
        <w:jc w:val="both"/>
      </w:pPr>
      <w:r>
        <w: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t>
      </w:r>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w:t>
        <w:lastRenderedPageBreak/>
        <w:t>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informal forums and QCMs a product of the nation’s growth? Not exactly. </w:t>
      </w:r>
    </w:p>
    <w:p w14:paraId="3DFF2247" w14:textId="7B2F3EDA" w:rsidR="00453149" w:rsidRPr="00A9375B" w:rsidRDefault="00453149" w:rsidP="003D74D8">
      <w:pPr>
        <w:pStyle w:val="BodyTextFirstIndent"/>
        <w:spacing w:line="480" w:lineRule="auto"/>
        <w:jc w:val="both"/>
      </w:pPr>
      <w:r>
        <w:rPr>
          <w:color w:val="000000" w:themeColor="text1"/>
        </w:rPr>
        <w:t>Strong arguments exist on both sides regarding the impact of the nation’s growth on informal forums and QCMs. 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w:t>
        <w:lastRenderedPageBreak/>
        <w:t>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informal forums and QCMs is beyond this Note’s scope. But I can say with confidence that the early American attitude toward disputes was one in which “[disputes] were complacently accepted phenomena” because “America was a rich country, full of adventure and could afford a considerable volume of disputes at a high </w:t>
        <w:lastRenderedPageBreak/>
        <w:t>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 xml:space="preserve">By the turbulent mid-nineteenth century, the American legal profession stood between two irreconcilable visions of the lawyer’s purpose. On one side stood the fading ideal of the “republican </w:t>
        <w:lastRenderedPageBreak/>
        <w:t>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a filter for the courts to a mere mercenary weapon for the client. 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w:t>
        <w:lastRenderedPageBreak/>
        <w:t>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whether a dispute belonged in court or could be resolved without it.</w:t>
      </w:r>
      <w:r>
        <w:rPr>
          <w:rStyle w:val="FootnoteReference"/>
          <w:color w:val="000000" w:themeColor="text1"/>
        </w:rPr>
        <w:footnoteReference w:id="448"/>
      </w:r>
      <w:r>
        <w:t xml:space="preserve"> </w:t>
      </w:r>
    </w:p>
    <w:p w14:paraId="7B0E8787" w14:textId="689D5FE7" w:rsidR="000B08B7" w:rsidRPr="00A9375B" w:rsidRDefault="00B663C8" w:rsidP="003D74D8">
      <w:pPr>
        <w:pStyle w:val="BodyTextFirstIndent"/>
        <w:spacing w:line="480" w:lineRule="auto"/>
        <w:jc w:val="both"/>
        <w:rPr>
          <w:ins w:id="202116" w:author="Claude" w:date="2026-09-27T12:00:00Z"/>
        </w:rPr>
      </w:pPr>
      <w:ins w:id="202107" w:author="Claude" w:date="2026-09-27T12:00:00Z">
        <w:r>
          <w:t>The profession adopted Sharswood’s view as “the basis for the Canons [which] later evolved into the Model Code and the Model Rules.”</w:t>
        </w:r>
      </w:ins>
      <w:ins w:id="202108" w:author="Claude" w:date="2026-09-27T12:00:00Z">
        <w:r>
          <w:rPr>
            <w:rStyle w:val="FootnoteReference"/>
          </w:rPr>
          <w:footnoteReference w:id="855"/>
        </w:r>
      </w:ins>
      <w:ins w:id="202109" w:author="Claude" w:date="2026-09-27T12:00:00Z">
        <w:r>
          <w:t xml:space="preserve"> As a result, “one byproduct of an adversary model is that it polarizes the participants, imposing pressures on them to dogmatically pursue their own perceived interests or their own assessments of the proper outcomes of their cases”.</w:t>
        </w:r>
      </w:ins>
      <w:ins w:id="202110" w:author="Claude" w:date="2026-09-27T12:00:00Z">
        <w:r>
          <w:rPr>
            <w:rStyle w:val="FootnoteReference"/>
            <w:color w:val="000000" w:themeColor="text1"/>
          </w:rPr>
          <w:footnoteReference w:id="856"/>
        </w:r>
      </w:ins>
      <w:ins w:id="202111" w:author="Claude" w:date="2026-09-27T12:00:00Z">
        <w:r>
          <w:t xml:space="preserve"> The Model Code and Model Rules carried Sharswood’s principle that “the responsibility for advising as to questionable transactions, for bringing questionable suits, for urging questionable defenses, [was] the lawyer's responsibility.”</w:t>
        </w:r>
      </w:ins>
      <w:ins w:id="202112" w:author="Claude" w:date="2026-09-27T12:00:00Z">
        <w:r>
          <w:rPr>
            <w:rStyle w:val="FootnoteReference"/>
          </w:rPr>
          <w:footnoteReference w:id="857"/>
        </w:r>
      </w:ins>
      <w:ins w:id="202113" w:author="Claude" w:date="2026-09-27T12:00:00Z">
        <w:r>
          <w:t xml:space="preserve"> Delegating case assessment to the lawyer’s sole province proved particularly improvident in an era in which “private interests were primary” and “[w]hether a lawyer behaved ethically became a test of private conscience, not public honor.”</w:t>
        </w:r>
      </w:ins>
      <w:ins w:id="202114" w:author="Claude" w:date="2026-09-27T12:00:00Z">
        <w:r>
          <w:rPr>
            <w:rStyle w:val="FootnoteReference"/>
          </w:rPr>
          <w:footnoteReference w:id="858"/>
        </w:r>
      </w:ins>
      <w:ins w:id="202115" w:author="Claude" w:date="2026-09-27T12:00:00Z">
        <w:r>
          <w:t xml:space="preserve"> </w:t>
        </w:r>
      </w:ins>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71ABACA8" w14:textId="220F5C96" w:rsidR="00254412" w:rsidRPr="00A9375B" w:rsidRDefault="00254412" w:rsidP="003D74D8">
      <w:pPr>
        <w:pStyle w:val="BodyTextFirstIndent"/>
        <w:spacing w:line="480" w:lineRule="auto"/>
        <w:jc w:val="both"/>
        <w:rPr>
          <w:ins w:id="202133" w:author="Claude" w:date="2026-09-27T12:00:00Z"/>
        </w:rPr>
      </w:pPr>
      <w:ins w:id="202129" w:author="Claude" w:date="2026-09-27T12:00:00Z">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ins>
      <w:ins w:id="202130" w:author="Claude" w:date="2026-09-27T12:00:00Z">
        <w:r>
          <w:rPr>
            <w:rStyle w:val="FootnoteReference"/>
            <w:color w:val="000000" w:themeColor="text1"/>
          </w:rPr>
          <w:footnoteReference w:id="859"/>
        </w:r>
      </w:ins>
      <w:ins w:id="202131" w:author="Claude" w:date="2026-09-27T12:00:00Z">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ins>
      <w:ins w:id="202132" w:author="Claude" w:date="2026-09-27T12:00:00Z">
        <w:r>
          <w:rPr>
            <w:rStyle w:val="FootnoteReference"/>
            <w:color w:val="000000" w:themeColor="text1"/>
          </w:rPr>
          <w:footnoteReference w:id="860"/>
        </w:r>
      </w:ins>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734F9788" w14:textId="3A1B6657" w:rsidR="007503B6" w:rsidRPr="000519F8" w:rsidRDefault="000519F8" w:rsidP="003D74D8">
      <w:pPr>
        <w:pStyle w:val="BodyTextFirstIndent"/>
        <w:spacing w:line="480" w:lineRule="auto"/>
        <w:jc w:val="both"/>
      </w:pPr>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w:t>
        <w:lastRenderedPageBreak/>
        <w:t>sources.</w:t>
      </w:r>
      <w:bookmarkStart w:id="78" w:name="_Ref218970961"/>
      <w:r>
        <w:rPr>
          <w:rStyle w:val="FootnoteReference"/>
        </w:rPr>
        <w:footnoteReference w:id="485"/>
      </w:r>
      <w:bookmarkEnd w:id="78"/>
      <w:r>
        <w:t xml:space="preserve"> The American legal profession’s particular infrastructure, such as the American Bar Association itself, dismantled those conditions.</w:t>
      </w:r>
      <w:r>
        <w:rPr>
          <w:rStyle w:val="FootnoteReference"/>
        </w:rPr>
        <w:footnoteReference w:id="486"/>
      </w:r>
      <w:r>
        <w:t xml:space="preserve"> But infrastructure alone is an insufficient scapegoat for the changing culture of ADR. 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r>
        <w:rPr>
          <w:color w:val="000000" w:themeColor="text1"/>
        </w:rPr>
        <w:t xml:space="preserve">Armed with Sharswood’s demand of “immovable fidelity” to every cause undertaken—and supported by its institutional capacity for capture—the profession needed only a financial engine to convert that adversarial posture into a self-sustaining industry. The monetization of disputes </w:t>
        <w:lastRenderedPageBreak/>
        <w:t>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did exist as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w:t>
        <w:lastRenderedPageBreak/>
        <w:t>“established categories,” deciding “which [parts] to include” while “screening out” whatever did not conform to legal conventions.</w:t>
      </w:r>
      <w:bookmarkStart w:id="79" w:name="_Ref218973253"/>
      <w:r>
        <w:rPr>
          <w:rStyle w:val="FootnoteReference"/>
        </w:rPr>
        <w:footnoteReference w:id="494"/>
      </w:r>
      <w:bookmarkEnd w:id="79"/>
      <w:r>
        <w:t xml:space="preserve"> </w:t>
      </w:r>
      <w:r>
        <w:rPr>
          <w:color w:val="000000" w:themeColor="text1"/>
        </w:rPr>
        <w:t>Legal education at the time offered few ADR courses, so lawyers introduced to this model adopted the culture that it was yet another opportunity to win and bill.</w:t>
      </w:r>
      <w:bookmarkStart w:id="80" w:name="_Ref214127688"/>
      <w:r>
        <w:rPr>
          <w:rStyle w:val="FootnoteReference"/>
          <w:color w:val="000000" w:themeColor="text1"/>
        </w:rPr>
        <w:footnoteReference w:id="495"/>
      </w:r>
      <w:bookmarkEnd w:id="80"/>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w:t>
        <w:lastRenderedPageBreak/>
        <w:t>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ins w:id="100071" w:author="Claude" w:date="2026-09-26T12:00:00Z">
        <w:r>
          <w:rPr>
            <w:color w:val="000000"/>
          </w:rPr>
          <w:t xml:space="preserve"> The English got there first. In 1778, Baker records, the Inner Temple’s “age-old obligation to moot was commuted to a cash payment,” and what remained were “perfunctory ceremonies of no educational significance.”</w:t>
        </w:r>
        <w:r>
          <w:rPr>
            <w:rStyle w:val="FootnoteReference"/>
            <w:color w:val="000000"/>
          </w:rPr>
          <w:footnoteReference w:id="703"/>
        </w:r>
      </w:ins>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 yet even after the 1983 amendments strengthened the rule, the 1993 revisions introduced a safe harbor provision that Justice Scalia correctly predicted would render it ineffective.</w:t>
      </w:r>
      <w:r>
        <w:rPr>
          <w:rStyle w:val="FootnoteReference"/>
        </w:rPr>
        <w:footnoteReference w:id="521"/>
      </w:r>
      <w:r>
        <w:rPr>
          <w:color w:val="000000" w:themeColor="text1"/>
        </w:rPr>
        <w:t xml:space="preserve"> </w:t>
      </w:r>
      <w:r>
        <w:t>Part of this has been due to a reluctance to impose sanctions and the subjectivity required to interpret the rule, yet it is hard to imagine an American system where Rule 11 would ever lead to pre-filing scrutiny.</w:t>
      </w:r>
      <w:r>
        <w:rPr>
          <w:rStyle w:val="FootnoteReference"/>
        </w:rPr>
        <w:footnoteReference w:id="522"/>
      </w:r>
      <w:r>
        <w:t xml:space="preserve"> Because Rule 11 is a post-filing cost and not, as in the other societies examined in this Note, a pre-filing one, disputants Externalize grievances without ever confronting how their own cases fare under pre-filing scrutiny.</w:t>
      </w:r>
      <w:r>
        <w:rPr>
          <w:rStyle w:val="FootnoteReference"/>
        </w:rPr>
        <w:footnoteReference w:id="523"/>
      </w:r>
      <w:del w:id="100072" w:author="Claude" w:date="2026-09-26T12:00:00Z">
        <w:r>
          <w:delText xml:space="preserve"> </w:delText>
        </w:r>
      </w:del>
      <w:ins w:id="100073" w:author="Claude" w:date="2026-09-26T12:00:00Z">
        <w:r>
          <w:t xml:space="preserve"> That is not, I think, a small difference. Accountability, Philip Tetlock found, is “much more effective in preventing than in reversing the biased assimilation process”;</w:t>
        </w:r>
        <w:r>
          <w:rPr>
            <w:rStyle w:val="FootnoteReference"/>
          </w:rPr>
          <w:footnoteReference w:id="724"/>
        </w:r>
        <w:r>
          <w:t xml:space="preserve"> a judgment already formed is defended, not examined. Where the old price is still exacted, the old test survives; and it survives, quite naturally, where the advocate must face the same tribunal again and again. Rex Lee, as Solicitor General, declined “five out of every six” agency requests to seek the Court’s review,</w:t>
        </w:r>
        <w:r>
          <w:rPr>
            <w:rStyle w:val="FootnoteReference"/>
          </w:rPr>
          <w:footnoteReference w:id="714"/>
        </w:r>
        <w:r>
          <w:t xml:space="preserve"> and the Supreme Court bar, Lazarus suggests, “may be serving a useful screening function,” its members advising “clients against filing petitions, although that eliminates a business opportunity.”</w:t>
        </w:r>
        <w:r>
          <w:rPr>
            <w:rStyle w:val="FootnoteReference"/>
          </w:rPr>
          <w:footnoteReference w:id="715"/>
        </w:r>
        <w:r>
          <w:t xml:space="preserve"> One Washington lawyer, a veteran of the Solicitor General’s office, put the point to Kevin McGuire less delicately: “Fifty percent of the cert petitions filed have no chance of being granted. Anybody who read them before they were filed could have told the petitioner that.”</w:t>
        </w:r>
        <w:r>
          <w:rPr>
            <w:rStyle w:val="FootnoteReference"/>
          </w:rPr>
          <w:footnoteReference w:id="717"/>
        </w:r>
        <w:r>
          <w:t xml:space="preserve"> McGuire draws the conclusion that “in a sense, their cases are also ‘prescreened,’” and the reason is the repeat player’s reason: “The professional fortunes of these lawyers are not tied to any one case.”</w:t>
        </w:r>
        <w:r>
          <w:rPr>
            <w:rStyle w:val="FootnoteReference"/>
          </w:rPr>
          <w:footnoteReference w:id="718"/>
        </w:r>
        <w:r>
          <w:t xml:space="preserve"> </w:t>
        </w:r>
      </w:ins>
    </w:p>
    <w:p w14:paraId="18D80D89" w14:textId="448DF081" w:rsidR="00556D4F" w:rsidRPr="00A9375B" w:rsidRDefault="001A6B9B" w:rsidP="003D74D8">
      <w:pPr>
        <w:pStyle w:val="BodyTextFirstIndent"/>
        <w:spacing w:line="480" w:lineRule="auto"/>
        <w:jc w:val="both"/>
        <w:rPr>
          <w:ins w:id="202165" w:author="Claude" w:date="2026-09-27T12:00:00Z"/>
        </w:rPr>
      </w:pPr>
      <w:ins w:id="202164" w:author="Claude" w:date="2026-09-27T12:00:00Z">
        <w:r>
          <w:t>Combined, these three historical circumstances—the profession’s choice of zealous advocacy, the unique American institutional capacity for disputes, and the culture of billable hours—have produced a present in which:</w:t>
        </w:r>
      </w:ins>
    </w:p>
    <w:p w14:paraId="6EA39F71" w14:textId="55030E39" w:rsidR="00D13E93" w:rsidRPr="00A9375B" w:rsidRDefault="00556D4F" w:rsidP="003D74D8">
      <w:pPr>
        <w:pStyle w:val="BodyTextFirstIndent"/>
        <w:spacing w:line="480" w:lineRule="auto"/>
        <w:ind w:left="720" w:right="720" w:firstLine="0"/>
        <w:jc w:val="both"/>
        <w:rPr>
          <w:ins w:id="202173" w:author="Claude" w:date="2026-09-27T12:00:00Z"/>
        </w:rPr>
      </w:pPr>
      <w:ins w:id="202171" w:author="Claude" w:date="2026-09-27T12:00:00Z">
        <w:r>
          <w:t>“the combat mode of advocacy is far more expensive than effective . . . although earnest, forceful, and devoted representation is both zealous and proper, Rambo and kamikaze lawyers lead themselves and their clients to zealous extinction.”</w:t>
        </w:r>
      </w:ins>
      <w:ins w:id="202172" w:author="Claude" w:date="2026-09-27T12:00:00Z">
        <w:r>
          <w:rPr>
            <w:rStyle w:val="FootnoteReference"/>
          </w:rPr>
          <w:footnoteReference w:id="863"/>
        </w:r>
      </w:ins>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w:t>
        <w:lastRenderedPageBreak/>
        <w:t>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bookmarkStart w:id="81" w:name="_Ref217243451"/>
      <w:r>
        <w:rPr>
          <w:rStyle w:val="FootnoteReference"/>
          <w:color w:val="000000" w:themeColor="text1"/>
        </w:rPr>
        <w:footnoteReference w:id="527"/>
      </w:r>
      <w:bookmarkEnd w:id="81"/>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w:t>
        <w:lastRenderedPageBreak/>
        <w:t>presuming that disputes already exist as fully formed claims, requiring only efficient sorting among external forums to protect courts from excessive caseloads.</w:t>
      </w:r>
      <w:bookmarkStart w:id="86" w:name="_Ref217242774"/>
      <w:r>
        <w:rPr>
          <w:rStyle w:val="FootnoteReference"/>
          <w:color w:val="000000" w:themeColor="text1"/>
        </w:rPr>
        <w:footnoteReference w:id="543"/>
      </w:r>
      <w:bookmarkEnd w:id="86"/>
      <w:r>
        <w: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t>
      </w:r>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w:t>
      </w:r>
      <w:bookmarkStart w:id="87" w:name="_Ref218976427"/>
      <w:r>
        <w:t xml:space="preserve"> in administrative efficiency.</w:t>
      </w:r>
      <w:r>
        <w:rPr>
          <w:rStyle w:val="FootnoteReference"/>
          <w:color w:val="000000" w:themeColor="text1"/>
        </w:rPr>
        <w:footnoteReference w:id="545"/>
      </w:r>
      <w:bookmarkEnd w:id="87"/>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pPr>
        <w:pStyle w:val="BodyTextFirstIndent"/>
        <w:spacing w:line="480" w:lineRule="auto"/>
        <w:jc w:val="both"/>
        <w:rPr>
          <w:ins w:id="202192" w:author="Claude" w:date="2026-09-27T12:00:00Z"/>
        </w:rPr>
      </w:pPr>
      <w:ins w:id="202191" w:author="Claude" w:date="2026-09-27T12:00:00Z">
        <w:r>
          <w:t>After initial experiments with multi-door courthouses failed because courts lacked both infrastructure and methodology, the legal system subsumed ADR into a single system of “litigotiation,” in which litigation and ADR are now “inseparably entwined” as standard, legalized steps in the process.</w:t>
        </w:r>
        <w:r>
          <w:rPr>
            <w:rStyle w:val="FootnoteReference"/>
          </w:rPr>
          <w:footnoteReference w:id="864"/>
        </w:r>
        <w:r>
          <w:t xml:space="preserve"> As Amos Gabrieli and Michal Alberstein describe it,  </w:t>
        </w:r>
      </w:ins>
    </w:p>
    <w:p w14:paraId="1A5B2E00" w14:textId="7875095D" w:rsidR="00B573FE" w:rsidRPr="00A9375B" w:rsidRDefault="00B573FE" w:rsidP="003D74D8">
      <w:pPr>
        <w:pStyle w:val="BodyTextFirstIndent"/>
        <w:spacing w:line="480" w:lineRule="auto"/>
        <w:ind w:left="720" w:right="720" w:firstLine="0"/>
        <w:jc w:val="both"/>
        <w:rPr>
          <w:ins w:id="202202" w:author="Claude" w:date="2026-09-27T12:00:00Z"/>
        </w:rPr>
      </w:pPr>
      <w:ins w:id="202200" w:author="Claude" w:date="2026-09-27T12:00:00Z">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ins>
      <w:ins w:id="202201" w:author="Claude" w:date="2026-09-27T12:00:00Z">
        <w:r>
          <w:rPr>
            <w:rStyle w:val="FootnoteReference"/>
          </w:rPr>
          <w:footnoteReference w:id="865"/>
        </w:r>
      </w:ins>
    </w:p>
    <w:p>
      <w:pPr>
        <w:pStyle w:val="BodyTextFirstIndent"/>
        <w:spacing w:line="480" w:lineRule="auto"/>
        <w:jc w:val="both"/>
        <w:rPr>
          <w:ins w:id="202275" w:author="Claude" w:date="2026-09-27T12:00:00Z"/>
        </w:rPr>
      </w:pPr>
      <w:ins w:id="202274" w:author="Claude" w:date="2026-09-27T12:00:00Z">
        <w:r>
          <w:t>Contemporary Alternative Dispute Resolution (ADR) has lost the plot. On the prevailing understanding, a “dispute” is a conflict that a Deliberative Body has already Externalized. Negotiation, mediation, and arbitration earn the name “alternatives” because each can relieve a party’s normative demands.</w:t>
        </w:r>
        <w:r>
          <w:rPr>
            <w:rStyle w:val="FootnoteReference"/>
            <w:color w:val="000000" w:themeColor="text1"/>
          </w:rPr>
          <w:footnoteReference w:id="866"/>
        </w:r>
        <w:r>
          <w:t xml:space="preserve"> Choosing among these parallel forums is now the first step in the dispute-resolution process, and whether Externalization is merited at all is no longer a question. Mary Douglas was not writing about lawyers, but she might as well have been: “The individual tends to leave the important decisions to his institutions while busying himself with tactics and details.”</w:t>
        </w:r>
        <w:r>
          <w:rPr>
            <w:rStyle w:val="FootnoteReference"/>
            <w:color w:val="000000" w:themeColor="text1"/>
          </w:rPr>
          <w:footnoteReference w:id="867"/>
        </w:r>
        <w:r>
          <w:t xml:space="preserve"> That neglect stems from a sustained separation from historical practice.</w:t>
        </w:r>
        <w:r>
          <w:rPr>
            <w:rStyle w:val="FootnoteReference"/>
            <w:color w:val="000000" w:themeColor="text1"/>
          </w:rPr>
          <w:footnoteReference w:id="868"/>
        </w:r>
        <w:r>
          <w:t xml:space="preserve"> The 1976 Pound Conference ratified the divorce, when “Frank Sander delivered his famous remarks [and] the modern dispute resolution movement was born.”</w:t>
        </w:r>
        <w:r>
          <w:rPr>
            <w:rStyle w:val="FootnoteReference"/>
            <w:color w:val="000000" w:themeColor="text1"/>
          </w:rPr>
          <w:footnoteReference w:id="869"/>
        </w:r>
        <w:r>
          <w: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t>
        </w:r>
        <w:r>
          <w:rPr>
            <w:rStyle w:val="FootnoteReference"/>
            <w:color w:val="000000" w:themeColor="text1"/>
          </w:rPr>
          <w:footnoteReference w:id="870"/>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871"/>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872"/>
        </w:r>
      </w:ins>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gatekeeping </w:t>
        <w:lastRenderedPageBreak/>
        <w:t>mechanisms designed to preserve the formal system for claims of merit. 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pPr>
        <w:pStyle w:val="BodyTextFirstIndent"/>
        <w:spacing w:line="480" w:lineRule="auto"/>
        <w:jc w:val="both"/>
        <w:rPr>
          <w:ins w:id="202163" w:author="Claude" w:date="2026-09-27T12:00:00Z"/>
        </w:rPr>
      </w:pPr>
      <w:ins w:id="202162" w:author="Claude" w:date="2026-09-27T12:00:00Z">
        <w:r>
          <w:t>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t>
        </w:r>
        <w:r>
          <w:rPr>
            <w:rStyle w:val="FootnoteReference"/>
            <w:color w:val="000000" w:themeColor="text1"/>
          </w:rPr>
          <w:footnoteReference w:id="861"/>
        </w:r>
        <w:r>
          <w:t xml:space="preserve"> This is not to say that every claim belongs in an informal forum; some grievances can obtain full relief only through formal adjudication, and Deliberative Bodies that elect to seek it are entitled to that choice—but that choice is best made after, not instead of, testing the claim.</w:t>
        </w:r>
        <w:r>
          <w:rPr>
            <w:rStyle w:val="FootnoteReference"/>
            <w:color w:val="000000" w:themeColor="text1"/>
          </w:rPr>
          <w:footnoteReference w:id="862"/>
        </w:r>
      </w:ins>
    </w:p>
    <w:p w14:paraId="16894BE2" w14:textId="31F0DAF3" w:rsidR="00573FFD" w:rsidRPr="00A9375B" w:rsidRDefault="00B27292" w:rsidP="003D74D8">
      <w:pPr>
        <w:pStyle w:val="BodyTextFirstIndent"/>
        <w:spacing w:line="480" w:lineRule="auto"/>
        <w:jc w:val="both"/>
      </w:pPr>
      <w:r>
        <w:lastRenderedPageBreak/>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ADR.</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w:t>
        <w:lastRenderedPageBreak/>
        <w:t>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r>
        <w:rPr>
          <w:iCs/>
        </w:rPr>
        <w: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t>
      </w:r>
      <w:r>
        <w:t>history continues to govern the present w</w:t>
      </w:r>
      <w:r>
        <w:rPr>
          <w:iCs/>
        </w:rPr>
        <w:t>here the choice of what to do with a case is “what is the best forum?” rather than “should this claim be externalized at all?”</w:t>
      </w:r>
      <w:r>
        <w:t xml:space="preserve"> As a result, a slew of cognitive biases operating at both the individual and group level have been left free to compromise legal strategy. </w:t>
      </w:r>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pPr>
        <w:pStyle w:val="BodyTextFirstIndent"/>
        <w:spacing w:line="480" w:lineRule="auto"/>
        <w:jc w:val="both"/>
        <w:rPr>
          <w:ins w:id="202332" w:author="Claude" w:date="2026-09-27T12:00:00Z"/>
        </w:rPr>
      </w:pPr>
      <w:ins w:id="202331" w:author="Claude" w:date="2026-09-27T12:00:00Z">
        <w:r>
          <w:t>The bar’s own defense of the adversary system rests on a concession it has never followed to its conclusion. The Joint Conference of the American Bar Association and the Association of American Law Schools admitted, in its 1958 report on professional responsibility, that “what starts as a preliminary diagnosis designed to direct the inquiry tends, quickly and imperceptibly, to become a fixed conclusion, as all that confirms the diagnosis makes a strong imprint on the mind, while all that runs counter to it is received with diverted attention,” and that “[a]n adversary presentation seems the only effective means for combatting this natural human tendency to judge too swiftly in terms of the familiar that which is not yet fully known.”</w:t>
        </w:r>
        <w:r>
          <w:rPr>
            <w:rStyle w:val="FootnoteReference"/>
          </w:rPr>
          <w:footnoteReference w:id="873"/>
        </w:r>
        <w:r>
          <w:t xml:space="preserve"> I entirely agree. But the adversary system supplies the adversary only after filing, when the diagnosis has long since hardened; the Deliberative Body must supply him before. The same report set the limit of zeal: the advocate “plays his role badly, and trespasses against the obligations of professional responsibility, when his desire to win leads him to muddy the headwaters of decision.”</w:t>
        </w:r>
        <w:r>
          <w:rPr>
            <w:rStyle w:val="FootnoteReference"/>
          </w:rPr>
          <w:footnoteReference w:id="874"/>
        </w:r>
        <w:r>
          <w:t xml:space="preserve"> Dewey had made the diagnosis a generation earlier: “No lawyer ever thought out the case of a client in terms of the syllogism. He begins with a conclusion which he intends to reach, favorable to his client of course, and then analyzes the facts of the situation to find material out of which to construct a favorable statement of facts.”</w:t>
        </w:r>
        <w:r>
          <w:rPr>
            <w:rStyle w:val="FootnoteReference"/>
          </w:rPr>
          <w:footnoteReference w:id="875"/>
        </w:r>
        <w:r>
          <w:t xml:space="preserve"> 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t>
        </w:r>
        <w:r>
          <w:rPr>
            <w:rStyle w:val="FootnoteReference"/>
          </w:rPr>
          <w:footnoteReference w:id="876"/>
        </w:r>
        <w:r>
          <w:t xml:space="preserve"> Today Holger Spamann finds that law students develop this dogmatic thinking within forty minutes of being assigned an advocacy role,</w:t>
        </w:r>
        <w:r>
          <w:rPr>
            <w:rStyle w:val="FootnoteReference"/>
          </w:rPr>
          <w:footnoteReference w:id="877"/>
        </w:r>
        <w:r>
          <w:t xml:space="preserve"> with the legal mandate of zealous advocacy “bias[ing] a range of judgments automatically and without conscious control.”</w:t>
        </w:r>
        <w:r>
          <w:rPr>
            <w:rStyle w:val="FootnoteReference"/>
          </w:rPr>
          <w:footnoteReference w:id="878"/>
        </w:r>
        <w:r>
          <w:t xml:space="preserve"> In part, this occurs because the mere act of placing people in hypercompetitive roles impairs one’s ability to assess situations objectively.</w:t>
        </w:r>
        <w:r>
          <w:rPr>
            <w:rStyle w:val="FootnoteReference"/>
          </w:rPr>
          <w:footnoteReference w:id="879"/>
        </w:r>
        <w:r>
          <w:t xml:space="preserve"> “[z]eal might cloud the mind of the advocate, undermining their sensitivity to the sensibilities of their audience and blinding them to the weaknesses of their argument.”</w:t>
        </w:r>
        <w:r>
          <w:rPr>
            <w:rStyle w:val="FootnoteReference"/>
          </w:rPr>
          <w:footnoteReference w:id="880"/>
        </w:r>
        <w:r>
          <w:t xml:space="preserve"> Such bias is so pervasive that advocates cannot provide an objective assessment of their case even when they become aware of the bias itself.</w:t>
        </w:r>
        <w:r>
          <w:rPr>
            <w:rStyle w:val="FootnoteReference"/>
          </w:rPr>
          <w:footnoteReference w:id="881"/>
        </w:r>
        <w:r>
          <w:t xml:space="preserve"> </w:t>
        </w:r>
      </w:ins>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r>
        <w:t xml:space="preserve">Due to the monetization of the picking amongst forums model, “lawyers gain utility from processing evidence with a myside bias (because it pays off to be a zealous advocate), which leaves </w:t>
        <w:lastRenderedPageBreak/>
        <w:t>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w:t>
        <w:lastRenderedPageBreak/>
        <w:t>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pPr>
        <w:pStyle w:val="BodyTextFirstIndent"/>
        <w:spacing w:line="480" w:lineRule="auto"/>
        <w:jc w:val="both"/>
        <w:rPr>
          <w:ins w:id="202346" w:author="Claude" w:date="2026-09-27T12:00:00Z"/>
        </w:rPr>
      </w:pPr>
      <w:ins w:id="202345" w:author="Claude" w:date="2026-09-27T12:00:00Z">
        <w:r>
          <w:t>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r>
          <w:rPr>
            <w:rStyle w:val="FootnoteReference"/>
          </w:rPr>
          <w:footnoteReference w:id="882"/>
        </w:r>
        <w:r>
          <w:t xml:space="preserve"> By creating an incentive structure where pretrial maneuvering is lucrative regardless of a case’s ultimate success, the hourly model effectively removes the financial penalty for indulging in cognitive biases,</w:t>
        </w:r>
        <w:r>
          <w:rPr>
            <w:rStyle w:val="FootnoteReference"/>
          </w:rPr>
          <w:footnoteReference w:id="883"/>
        </w:r>
        <w:r>
          <w:t xml:space="preserve"> as explained by one scholar:</w:t>
        </w:r>
      </w:ins>
    </w:p>
    <w:p w14:paraId="0297D412" w14:textId="5D99454D" w:rsidR="00AA189D" w:rsidRPr="00A9375B" w:rsidRDefault="00EB1107" w:rsidP="003D74D8">
      <w:pPr>
        <w:pStyle w:val="BodyTextFirstIndent"/>
        <w:spacing w:line="480" w:lineRule="auto"/>
        <w:ind w:left="720" w:right="720" w:firstLine="0"/>
        <w:jc w:val="both"/>
        <w:rPr>
          <w:ins w:id="202356" w:author="Claude" w:date="2026-09-27T12:00:00Z"/>
        </w:rPr>
      </w:pPr>
      <w:ins w:id="202354" w:author="Claude" w:date="2026-09-27T12:00:00Z">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t>. . . . [L]awyers may engage in wishful thinking: They might believe a certain outcome is probable simply because of a desire to reach it”</w:t>
        </w:r>
      </w:ins>
      <w:ins w:id="202355" w:author="Claude" w:date="2026-09-27T12:00:00Z">
        <w:r>
          <w:rPr>
            <w:rStyle w:val="FootnoteReference"/>
            <w:color w:val="000000" w:themeColor="text1"/>
          </w:rPr>
          <w:footnoteReference w:id="884"/>
        </w:r>
      </w:ins>
    </w:p>
    <w:p w14:paraId="1A93AD5B" w14:textId="55193EE0" w:rsidR="00B06079" w:rsidRPr="00A9375B" w:rsidRDefault="00667707" w:rsidP="003D74D8">
      <w:pPr>
        <w:pStyle w:val="BodyTextFirstIndent"/>
        <w:spacing w:line="480" w:lineRule="auto"/>
        <w:jc w:val="both"/>
        <w:rPr>
          <w:ins w:id="202418" w:author="Claude" w:date="2026-09-27T12:00:00Z"/>
        </w:rPr>
      </w:pPr>
      <w:ins w:id="202407" w:author="Claude" w:date="2026-09-27T12:00:00Z">
        <w:r>
          <w:t>Professor Ian Weinstein concurs, further claiming that, as a result of overconfidence, “[t]oo many lawyers . . . have been sorely tempted to accept an early decision to go to trial. . . . It can be very satisfying to stride into the courtroom and demand an early trial date.”</w:t>
        </w:r>
      </w:ins>
      <w:ins w:id="202408" w:author="Claude" w:date="2026-09-27T12:00:00Z">
        <w:r>
          <w:rPr>
            <w:rStyle w:val="FootnoteReference"/>
            <w:color w:val="000000" w:themeColor="text1"/>
          </w:rPr>
          <w:footnoteReference w:id="885"/>
        </w:r>
      </w:ins>
      <w:ins w:id="202409" w:author="Claude" w:date="2026-09-27T12:00:00Z">
        <w:r>
          <w:t xml:space="preserve"> This overconfidence leads practitioners to weigh evidence supporting their prior beliefs more heavily than evidence contradicting them—confirmation bias.</w:t>
        </w:r>
      </w:ins>
      <w:ins w:id="202410" w:author="Claude" w:date="2026-09-27T12:00:00Z">
        <w:r>
          <w:rPr>
            <w:rStyle w:val="FootnoteReference"/>
            <w:color w:val="000000" w:themeColor="text1"/>
          </w:rPr>
          <w:footnoteReference w:id="886"/>
        </w:r>
      </w:ins>
      <w:ins w:id="202411" w:author="Claude" w:date="2026-09-27T12:00:00Z">
        <w:r>
          <w:t xml:space="preserve"> If lawyers focus exclusively on selecting the optimal external forum rather than scrutinizing their claims, “the motivation to achieve a certain case outcome may lead lawyers to discount the assessment of the external party if it does not fit with their preferred belief.”</w:t>
        </w:r>
      </w:ins>
      <w:ins w:id="202412" w:author="Claude" w:date="2026-09-27T12:00:00Z">
        <w:r>
          <w:rPr>
            <w:rStyle w:val="FootnoteReference"/>
            <w:color w:val="000000" w:themeColor="text1"/>
          </w:rPr>
          <w:footnoteReference w:id="887"/>
        </w:r>
      </w:ins>
      <w:ins w:id="202413" w:author="Claude" w:date="2026-09-27T12:00:00Z">
        <w:r>
          <w:t xml:space="preserve"> Even if an attorney is not rushing into the courtroom, the trouble remains: “to be really good at doing law, one has to have serious blind spots and a stunningly selective sense </w:t>
          <w:t>of curiosity.”</w:t>
        </w:r>
      </w:ins>
      <w:ins w:id="202414" w:author="Claude" w:date="2026-09-27T12:00:00Z">
        <w:r>
          <w:rPr>
            <w:rStyle w:val="FootnoteReference"/>
            <w:color w:val="000000" w:themeColor="text1"/>
          </w:rPr>
          <w:footnoteReference w:id="888"/>
        </w:r>
      </w:ins>
      <w:ins w:id="202415" w:author="Claude" w:date="2026-09-27T12:00:00Z">
        <w:r>
          <w:t xml:space="preserve"> And some of the most high-profile senior partners excel at “dismissing or reframing adverse precedent that fails to suit the position they want to take.”</w:t>
        </w:r>
      </w:ins>
      <w:ins w:id="202416" w:author="Claude" w:date="2026-09-27T12:00:00Z">
        <w:r>
          <w:rPr>
            <w:rStyle w:val="FootnoteReference"/>
            <w:color w:val="000000" w:themeColor="text1"/>
          </w:rPr>
          <w:footnoteReference w:id="889"/>
        </w:r>
      </w:ins>
      <w:ins w:id="202417" w:author="Claude" w:date="2026-09-27T12:00:00Z">
        <w:r>
          <w:t xml:space="preserve"> </w:t>
        </w:r>
      </w:ins>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Research supports the feasibility, effectiveness, and efficiency of implementing my QCM without compromising a Deliberative Body’s zealous advocacy for its clients, profit capabilities, or pro bono/social justice </w:t>
        <w:lastRenderedPageBreak/>
        <w:t>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pPr>
        <w:pStyle w:val="BodyTextFirstIndent"/>
        <w:spacing w:line="480" w:lineRule="auto"/>
        <w:jc w:val="both"/>
        <w:rPr>
          <w:ins w:id="202457" w:author="Claude" w:date="2026-09-27T12:00:00Z"/>
        </w:rPr>
      </w:pPr>
      <w:ins w:id="202456" w:author="Claude" w:date="2026-09-27T12:00:00Z">
        <w:r>
          <w:t>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r>
          <w:rPr>
            <w:rStyle w:val="FootnoteReference"/>
            <w:color w:val="000000" w:themeColor="text1"/>
          </w:rPr>
          <w:footnoteReference w:id="890"/>
        </w:r>
        <w:r>
          <w:t xml:space="preserve"> Unfortunately, a high degree of psychological safety “is the exception in organizations, not the norm.”</w:t>
        </w:r>
        <w:r>
          <w:rPr>
            <w:rStyle w:val="FootnoteReference"/>
            <w:color w:val="000000" w:themeColor="text1"/>
          </w:rPr>
          <w:footnoteReference w:id="891"/>
        </w:r>
        <w:r>
          <w:t xml:space="preserve"> As this section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t>
        </w:r>
        <w:r>
          <w:rPr>
            <w:rStyle w:val="FootnoteReference"/>
            <w:color w:val="000000" w:themeColor="text1"/>
          </w:rPr>
          <w:footnoteReference w:id="892"/>
        </w:r>
        <w:r>
          <w:t xml:space="preserve"> A Deliberative Body serves its own interest by considering my suggestions, as research demonstrates that a team’s output quality improves through the inclusion of authentic dissent.</w:t>
        </w:r>
        <w:r>
          <w:rPr>
            <w:rStyle w:val="FootnoteReference"/>
            <w:color w:val="000000" w:themeColor="text1"/>
          </w:rPr>
          <w:footnoteReference w:id="893"/>
        </w:r>
        <w:r>
          <w:t xml:space="preserve"> </w:t>
        </w:r>
      </w:ins>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del w:id="100074" w:author="Claude" w:date="2026-09-26T12:00:00Z">
        <w:r>
          <w:rPr>
            <w:color w:val="FF0000"/>
          </w:rPr>
          <w:delText xml:space="preserve"> Directing</w:delText>
        </w:r>
        <w:r>
          <w:delText xml:space="preserve"> one person to produce a dissenting viewpoint artificially assumes that person has the freethinking personality type needed to challenge the team’s assumptions truly.</w:delText>
        </w:r>
      </w:del>
      <w:ins w:id="100075" w:author="Claude" w:date="2026-09-26T12:00:00Z">
        <w:r>
          <w:t xml:space="preserve"> Mill made the point, and he made it by pointing at Cicero. The objections must come, he wrote, from “persons who actually believe them; who defend them in earnest, and do their very utmost for them,” for “the weakest part of what everybody says in defence of his opinion, is what he intends as a reply to antagonists.”</w:t>
        </w:r>
        <w:r>
          <w:rPr>
            <w:rStyle w:val="FootnoteReference"/>
          </w:rPr>
          <w:footnoteReference w:id="719"/>
        </w:r>
        <w:r>
          <w:t xml:space="preserve"> Stanley Fish asks the question that ends the matter: “Just how does one distance oneself from oneself? With what part of oneself can one be tentative about oneself?”</w:t>
        </w:r>
        <w:r>
          <w:rPr>
            <w:rStyle w:val="FootnoteReference"/>
          </w:rPr>
          <w:footnoteReference w:id="707"/>
        </w:r>
        <w:r>
          <w:t xml:space="preserve"> Directing one person to produce a dissenting viewpoint artificially assumes that person has the freethinking personality type needed to challenge the team’s assumptions truly.</w:t>
        </w:r>
      </w:ins>
      <w:r>
        <w:rPr>
          <w:rStyle w:val="FootnoteReference"/>
        </w:rPr>
        <w:footnoteReference w:id="570"/>
      </w:r>
      <w:r>
        <w:t xml:space="preserve"> In contrast, when dissent is natural, benefits from dissenting opinions arise regardless of whether the dissenter is correct 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w:t>
      </w:r>
      <w:del w:id="100049" w:author="Claude" w:date="2026-09-26T12:00:00Z">
        <w:r>
          <w:delText>IV’s</w:delText>
        </w:r>
      </w:del>
      <w:ins w:id="100050" w:author="Claude" w:date="2026-09-26T12:00:00Z">
        <w:r>
          <w:t>III’s</w:t>
        </w:r>
      </w:ins>
      <w:r>
        <w:t xml:space="preserve">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w:t>
      </w:r>
      <w:del w:id="100051" w:author="Claude" w:date="2026-09-26T12:00:00Z">
        <w:r>
          <w:delText>IV</w:delText>
        </w:r>
      </w:del>
      <w:ins w:id="100052" w:author="Claude" w:date="2026-09-26T12:00:00Z">
        <w:r>
          <w:t>III</w:t>
        </w:r>
      </w:ins>
      <w:r>
        <w:t xml:space="preserve"> noted. </w:t>
      </w:r>
      <w:r>
        <w:t>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del w:id="100053" w:author="Claude" w:date="2026-09-26T12:00:00Z">
        <w:r>
          <w:delText xml:space="preserve"> </w:delText>
        </w:r>
      </w:del>
      <w:ins w:id="100054" w:author="Claude" w:date="2026-09-26T12:00:00Z">
        <w:r>
          <w:t xml:space="preserve"> The delegates were also, in our terms, interpretively multilingual. Justice Story complained that in the founding generation “the rules of interpretation have often been shifted to suit the emergency,”</w:t>
        </w:r>
        <w:r>
          <w:rPr>
            <w:rStyle w:val="FootnoteReference"/>
          </w:rPr>
          <w:footnoteReference w:id="723"/>
        </w:r>
        <w:r>
          <w:t xml:space="preserve"> and a recent study of the period concludes that the era “was distinguished by its interpretive pluralism, not interpretive consensus.”</w:t>
        </w:r>
        <w:r>
          <w:rPr>
            <w:rStyle w:val="FootnoteReference"/>
          </w:rPr>
          <w:footnoteReference w:id="706"/>
        </w:r>
        <w:r>
          <w:t xml:space="preserve"> </w:t>
        </w:r>
      </w:ins>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r>
        <w:lastRenderedPageBreak/>
        <w:t>Without psychological safety, lawyers will continue to calculate the perceived risk of dissent against the minimal gains of challenging the choice to Externalize.</w:t>
      </w:r>
      <w:bookmarkStart w:id="88" w:name="_Ref217224132"/>
      <w:r>
        <w:rPr>
          <w:rStyle w:val="FootnoteReference"/>
          <w:color w:val="000000" w:themeColor="text1"/>
        </w:rPr>
        <w:footnoteReference w:id="606"/>
      </w:r>
      <w:bookmarkEnd w:id="88"/>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w:t>
        <w:lastRenderedPageBreak/>
        <w:t>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pPr>
        <w:pStyle w:val="ListParagraph"/>
        <w:numPr>
          <w:ilvl w:val="0"/>
          <w:numId w:val="31"/>
        </w:numPr>
        <w:spacing w:line="480" w:lineRule="auto"/>
        <w:jc w:val="center"/>
        <w:rPr>
          <w:ins w:id="202459" w:author="Claude" w:date="2026-09-27T12:00:00Z"/>
          <w:smallCaps/>
          <w:color w:val="000000" w:themeColor="text1"/>
        </w:rPr>
      </w:pPr>
      <w:ins w:id="202458" w:author="Claude" w:date="2026-09-27T12:00:00Z">
        <w:r>
          <w:rPr>
            <w:smallCaps/>
            <w:color w:val="000000" w:themeColor="text1"/>
          </w:rPr>
          <w:t>From Theory to Practice</w:t>
        </w:r>
      </w:ins>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del w:id="100076" w:author="Claude" w:date="2026-09-26T12:00:00Z">
        <w:r>
          <w:delText xml:space="preserve"> And as Professor Richard Lazarus observed, “[s]ome of the.</w:delText>
        </w:r>
      </w:del>
      <w:ins w:id="100077" w:author="Claude" w:date="2026-09-26T12:00:00Z">
        <w:r>
          <w:t xml:space="preserve"> The practice is an old one in the Washington bar. McGuire found that its experienced members “evaluate one another’s oral preparations, criticize their briefs, and school less experienced counsel on what questions to expect from the justices,” and that one lawyer, fresh from his first argument, “admitted that his appearance at the moot court had actually been more stressful.”</w:t>
        </w:r>
        <w:r>
          <w:rPr>
            <w:rStyle w:val="FootnoteReference"/>
          </w:rPr>
          <w:footnoteReference w:id="716"/>
        </w:r>
        <w:r>
          <w:t xml:space="preserve"> And as Professor Richard Lazarus observed, “[s]ome of the.</w:t>
        </w:r>
      </w:ins>
      <w:r>
        <w:t>..best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pPr>
        <w:pStyle w:val="BodyTextFirstIndent"/>
        <w:spacing w:line="480" w:lineRule="auto"/>
        <w:jc w:val="both"/>
        <w:rPr>
          <w:ins w:id="202463" w:author="Claude" w:date="2026-09-27T12:00:00Z"/>
        </w:rPr>
      </w:pPr>
      <w:ins w:id="202462" w:author="Claude" w:date="2026-09-27T12:00:00Z">
        <w:r>
          <w:t>Carter Phillips, one of the most experienced Supreme Court advocates in the country, told me the same thing from the other end of a career.</w:t>
        </w:r>
        <w:r>
          <w:rPr>
            <w:rStyle w:val="FootnoteReference"/>
            <w:color w:val="000000" w:themeColor="text1"/>
          </w:rPr>
          <w:footnoteReference w:id="894"/>
        </w:r>
        <w:r>
          <w:t xml:space="preserve"> For his first twenty years, he said, the roundtables were “incredibly helpful.” He no longer holds them. His reputation now precedes him into the room, and, as he put it, “people won’t challenge me,” which defeats the purpose of the exercise. “I don’t need to be complimented,” he told me. “I want criticism of my case so I can win.”</w:t>
        </w:r>
      </w:ins>
    </w:p>
    <w:p>
      <w:pPr>
        <w:pStyle w:val="BodyTextFirstIndent"/>
        <w:spacing w:line="480" w:lineRule="auto"/>
        <w:jc w:val="both"/>
        <w:rPr>
          <w:ins w:id="202467" w:author="Claude" w:date="2026-09-27T12:00:00Z"/>
        </w:rPr>
      </w:pPr>
      <w:ins w:id="202466" w:author="Claude" w:date="2026-09-27T12:00:00Z">
        <w:r>
          <w:t>The echo chamber is not the ACLU’s alone. Phillips has been asked to sit on the moots of civil-rights organizations, and when he does, he said, he is usually “the only non-believer” in the room; his critique is not well received. Nor is the reflex peculiar to public-interest lawyers. Whether the team is a civil-rights group or a law firm, he said, it tends not to seek feedback from outside, because it believes that “we have this group of litigators, we know how to handle it.” Law firms in particular do not look beyond their own walls, believing that they alone know how to handle the matter internally.</w:t>
        </w:r>
        <w:r>
          <w:rPr>
            <w:rStyle w:val="FootnoteReference"/>
            <w:color w:val="000000" w:themeColor="text1"/>
          </w:rPr>
          <w:footnoteReference w:id="895"/>
        </w:r>
      </w:ins>
    </w:p>
    <w:p>
      <w:pPr>
        <w:pStyle w:val="BodyTextFirstIndent"/>
        <w:spacing w:line="480" w:lineRule="auto"/>
        <w:jc w:val="both"/>
        <w:rPr>
          <w:ins w:id="202475" w:author="Claude" w:date="2026-09-27T12:00:00Z"/>
        </w:rPr>
      </w:pPr>
      <w:ins w:id="202474" w:author="Claude" w:date="2026-09-27T12:00:00Z">
        <w:r>
          <w:t>Phillips also described the incentives that keep an untested case moving. Because the bar before the Court is so exclusive, and the chance to argue there so rare, the lawyer who has carried a case that far has every reason to argue it himself rather than hand it to an experienced advocate. Arguing before the Court is, in a phrase McGuire quotes, “a temptation few seem to be able to resist,”</w:t>
        </w:r>
        <w:r>
          <w:rPr>
            <w:rStyle w:val="FootnoteReference"/>
            <w:color w:val="000000" w:themeColor="text1"/>
          </w:rPr>
          <w:footnoteReference w:id="896"/>
        </w:r>
        <w:r>
          <w:t xml:space="preserve"> and McGuire records what happens when the temptation wins. In one of the Court’s punitive-damages cases, a Los Angeles corporate lawyer sat through “[s]everal moot courts on the West Coast and one in Washington,” one of which “apparently included a memorable scolding of Beckman by [Erwin] Griswold,” and which together “left the corporate bar wishing Beckman would surrender the argument” to a veteran of the Court. He “wouldn’t relinquish the case,” and “the corporate nightmare came true.”</w:t>
        </w:r>
        <w:r>
          <w:rPr>
            <w:rStyle w:val="FootnoteReference"/>
            <w:color w:val="000000" w:themeColor="text1"/>
          </w:rPr>
          <w:footnoteReference w:id="897"/>
        </w:r>
        <w:r>
          <w:t xml:space="preserve"> The same incentive, Phillips said, produces a “feeding frenzy” to write a petition for certiorari even when the case has little chance of success on the merits, so that the Court is sometimes handed an issue it should decide in a case that is the wrong vehicle for deciding it.</w:t>
        </w:r>
        <w:r>
          <w:rPr>
            <w:rStyle w:val="FootnoteReference"/>
            <w:color w:val="000000" w:themeColor="text1"/>
          </w:rPr>
          <w:footnoteReference w:id="898"/>
        </w:r>
        <w:r>
          <w:t xml:space="preserve"> Now the moot court had told Beckman precisely what the Court would tell him. Nothing required him to listen, and he did not. That is the exception, and it serves only to confirm the rule: the advocate heeds the test when something happens to him if he does not.</w:t>
        </w:r>
      </w:ins>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r>
        <w:rPr>
          <w:color w:val="000000" w:themeColor="text1"/>
        </w:rPr>
        <w: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t>
      </w:r>
      <w:r>
        <w:rPr>
          <w:rStyle w:val="FootnoteReference"/>
          <w:color w:val="000000" w:themeColor="text1"/>
        </w:rPr>
        <w:footnoteReference w:id="701"/>
      </w:r>
      <w:r>
        <w:rPr>
          <w:color w:val="000000" w:themeColor="text1"/>
        </w:rPr>
        <w:t xml:space="preserve"> The modern definition of “ADR” defines “alternative” as a modifier distinguishing mediation, arbitration, and negotiation from trial, and “disputes” as something occurring in a post-Externalization timeline.</w:t>
      </w:r>
      <w:r>
        <w:t xml:space="preserve"> </w:t>
      </w:r>
      <w:r>
        <w:rPr>
          <w:color w:val="000000" w:themeColor="text1"/>
        </w:rPr>
        <w:t xml:space="preserve">But that usage is repugnant to the one adopted throughout the greater arc of recorded human history, where a “dispute” was a grievance </w:t>
        <w:lastRenderedPageBreak/>
        <w:t xml:space="preserve">still being tested in the forge of a Deliberative Body, and the true “alternative” referred to the question of whether to advance that grievance into the adversarial arena at all. </w:t>
      </w:r>
    </w:p>
    <w:p w14:paraId="5ACECDF5" w14:textId="5CB7FB34" w:rsidR="005F2743" w:rsidRPr="00A9375B" w:rsidRDefault="005F2743" w:rsidP="003D74D8">
      <w:pPr>
        <w:spacing w:line="480" w:lineRule="auto"/>
        <w:ind w:firstLine="360"/>
        <w:jc w:val="both"/>
        <w:rPr>
          <w:color w:val="000000" w:themeColor="text1"/>
        </w:rPr>
      </w:pPr>
      <w:r>
        <w:rPr>
          <w:color w:val="000000" w:themeColor="text1"/>
        </w:rPr>
        <w: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In the United States, there is no real ‘cost’ for entering court with a bad claim (it is certainly not Rule 11). 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476" w:author="Claude" w:date="2026-09-27T12:00:00Z">
        <w:r>
          <w:rPr>
            <w:color w:val="000000" w:themeColor="text1"/>
          </w:rPr>
          <w:delText xml:space="preserve">Section II.A</w:delText>
        </w:r>
      </w:del>
      <w:ins w:id="202477" w:author="Claude" w:date="2026-09-27T12:00:00Z">
        <w:r>
          <w:rPr>
            <w:color w:val="000000" w:themeColor="text1"/>
          </w:rPr>
          <w:t xml:space="preserve">Section I.A</w:t>
        </w:r>
      </w:ins>
      <w:r>
        <w:rPr>
          <w:color w:val="000000" w:themeColor="text1"/>
        </w:rPr>
        <w:t xml:space="preserve">.</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w:t>
      </w:r>
      <w:del w:id="202478" w:author="Claude" w:date="2026-09-27T12:00:00Z">
        <w:r>
          <w:rPr>
            <w:color w:val="000000" w:themeColor="text1"/>
          </w:rPr>
          <w:delText xml:space="preserve">Section IV</w:delText>
        </w:r>
      </w:del>
      <w:ins w:id="202479" w:author="Claude" w:date="2026-09-27T12:00:00Z">
        <w:r>
          <w:rPr>
            <w:color w:val="000000" w:themeColor="text1"/>
          </w:rPr>
          <w:t xml:space="preserve">Section III</w:t>
        </w:r>
      </w:ins>
      <w:r>
        <w:rPr>
          <w:color w:val="000000" w:themeColor="text1"/>
        </w:rPr>
        <w:t xml:space="preserve">.</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480" w:author="Claude" w:date="2026-09-27T12:00:00Z">
        <w:r>
          <w:rPr>
            <w:color w:val="000000" w:themeColor="text1"/>
          </w:rPr>
          <w:delText xml:space="preserve">Section VII</w:delText>
        </w:r>
      </w:del>
      <w:ins w:id="202481" w:author="Claude" w:date="2026-09-27T12:00:00Z">
        <w:r>
          <w:rPr>
            <w:color w:val="000000" w:themeColor="text1"/>
          </w:rPr>
          <w:t xml:space="preserve">Section VI</w:t>
        </w:r>
      </w:ins>
      <w:r>
        <w:rPr>
          <w:color w:val="000000" w:themeColor="text1"/>
        </w:rPr>
        <w:t xml:space="preserve">.</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w:t>
      </w:r>
      <w:del w:id="202482" w:author="Claude" w:date="2026-09-27T12:00:00Z">
        <w:r>
          <w:rPr>
            <w:color w:val="000000" w:themeColor="text1"/>
          </w:rPr>
          <w:delText xml:space="preserve">Section VI</w:delText>
        </w:r>
      </w:del>
      <w:ins w:id="202483" w:author="Claude" w:date="2026-09-27T12:00:00Z">
        <w:r>
          <w:rPr>
            <w:color w:val="000000" w:themeColor="text1"/>
          </w:rPr>
          <w:t xml:space="preserve">Section V</w:t>
        </w:r>
      </w:ins>
      <w:r>
        <w:rPr>
          <w:color w:val="000000" w:themeColor="text1"/>
        </w:rPr>
        <w:t xml:space="preserve">.</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w:t>
      </w:r>
      <w:del w:id="202484" w:author="Claude" w:date="2026-09-27T12:00:00Z">
        <w:r>
          <w:rPr>
            <w:color w:val="000000" w:themeColor="text1"/>
          </w:rPr>
          <w:delText xml:space="preserve">Section V</w:delText>
        </w:r>
      </w:del>
      <w:ins w:id="202485" w:author="Claude" w:date="2026-09-27T12:00:00Z">
        <w:r>
          <w:rPr>
            <w:color w:val="000000" w:themeColor="text1"/>
          </w:rPr>
          <w:t xml:space="preserve">Section IV</w:t>
        </w:r>
      </w:ins>
      <w:r>
        <w:rPr>
          <w:color w:val="000000" w:themeColor="text1"/>
        </w:rPr>
        <w:t xml:space="preserve">.</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486" w:author="Claude" w:date="2026-09-27T12:00:00Z">
        <w:r>
          <w:rPr>
            <w:color w:val="000000" w:themeColor="text1"/>
          </w:rPr>
          <w:delText xml:space="preserve">Section IV.B</w:delText>
        </w:r>
      </w:del>
      <w:ins w:id="202487" w:author="Claude" w:date="2026-09-27T12:00:00Z">
        <w:r>
          <w:rPr>
            <w:color w:val="000000" w:themeColor="text1"/>
          </w:rPr>
          <w:t xml:space="preserve">Section III.B</w:t>
        </w:r>
      </w:ins>
      <w:r>
        <w:rPr>
          <w:color w:val="000000" w:themeColor="text1"/>
        </w:rPr>
        <w:t xml:space="preserve">.</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488" w:author="Claude" w:date="2026-09-27T12:00:00Z">
        <w:r>
          <w:rPr>
            <w:color w:val="000000" w:themeColor="text1"/>
          </w:rPr>
          <w:delText xml:space="preserve">Section I.B.1</w:delText>
        </w:r>
      </w:del>
      <w:ins w:id="202489" w:author="Claude" w:date="2026-09-27T12:00:00Z">
        <w:r>
          <w:rPr>
            <w:color w:val="000000" w:themeColor="text1"/>
          </w:rPr>
          <w:t xml:space="preserve">Section IV.A</w:t>
        </w:r>
      </w:ins>
      <w:r>
        <w:rPr>
          <w:color w:val="000000" w:themeColor="text1"/>
        </w:rPr>
        <w:t xml:space="preserve">.</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490" w:author="Claude" w:date="2026-09-27T12:00:00Z">
        <w:r>
          <w:rPr>
            <w:color w:val="000000" w:themeColor="text1"/>
          </w:rPr>
          <w:delText xml:space="preserve">Section VII</w:delText>
        </w:r>
      </w:del>
      <w:ins w:id="202491" w:author="Claude" w:date="2026-09-27T12:00:00Z">
        <w:r>
          <w:rPr>
            <w:color w:val="000000" w:themeColor="text1"/>
          </w:rPr>
          <w:t xml:space="preserve">Section VI</w:t>
        </w:r>
      </w:ins>
      <w:r>
        <w:rPr>
          <w:color w:val="000000" w:themeColor="text1"/>
        </w:rPr>
        <w:t xml:space="preserve">.</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492" w:author="Claude" w:date="2026-09-27T12:00:00Z">
        <w:r>
          <w:rPr>
            <w:color w:val="000000" w:themeColor="text1"/>
          </w:rPr>
          <w:delText xml:space="preserve">Section VII</w:delText>
        </w:r>
      </w:del>
      <w:ins w:id="202493" w:author="Claude" w:date="2026-09-27T12:00:00Z">
        <w:r>
          <w:rPr>
            <w:color w:val="000000" w:themeColor="text1"/>
          </w:rPr>
          <w:t xml:space="preserve">Section VI</w:t>
        </w:r>
      </w:ins>
      <w:r>
        <w:rPr>
          <w:color w:val="000000" w:themeColor="text1"/>
        </w:rPr>
        <w:t xml:space="preserve">.</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w:t>
      </w:r>
      <w:del w:id="202494" w:author="Claude" w:date="2026-09-27T12:00:00Z">
        <w:r>
          <w:rPr>
            <w:color w:val="000000" w:themeColor="text1"/>
          </w:rPr>
          <w:delText xml:space="preserve">Section III</w:delText>
        </w:r>
      </w:del>
      <w:ins w:id="202495" w:author="Claude" w:date="2026-09-27T12:00:00Z">
        <w:r>
          <w:rPr>
            <w:color w:val="000000" w:themeColor="text1"/>
          </w:rPr>
          <w:t xml:space="preserve">Section II</w:t>
        </w:r>
      </w:ins>
      <w:r>
        <w:rPr>
          <w:color w:val="000000" w:themeColor="text1"/>
        </w:rPr>
        <w:t xml:space="preserve">.</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w:t>
      </w:r>
      <w:del w:id="202496" w:author="Claude" w:date="2026-09-27T12:00:00Z">
        <w:r>
          <w:rPr>
            <w:color w:val="000000" w:themeColor="text1"/>
          </w:rPr>
          <w:delText xml:space="preserve">Section V</w:delText>
        </w:r>
      </w:del>
      <w:ins w:id="202497" w:author="Claude" w:date="2026-09-27T12:00:00Z">
        <w:r>
          <w:rPr>
            <w:color w:val="000000" w:themeColor="text1"/>
          </w:rPr>
          <w:t xml:space="preserve">Section IV</w:t>
        </w:r>
      </w:ins>
      <w:r>
        <w:rPr>
          <w:color w:val="000000" w:themeColor="text1"/>
        </w:rPr>
        <w:t xml:space="preserve">.</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498" w:author="Claude" w:date="2026-09-27T12:00:00Z">
        <w:r>
          <w:rPr>
            <w:color w:val="000000" w:themeColor="text1"/>
          </w:rPr>
          <w:delText xml:space="preserve">Sections II, V</w:delText>
        </w:r>
      </w:del>
      <w:ins w:id="202499" w:author="Claude" w:date="2026-09-27T12:00:00Z">
        <w:r>
          <w:rPr>
            <w:color w:val="000000" w:themeColor="text1"/>
          </w:rPr>
          <w:t xml:space="preserve">Sections I, IV</w:t>
        </w:r>
      </w:ins>
      <w:r>
        <w:rPr>
          <w:color w:val="000000" w:themeColor="text1"/>
        </w:rPr>
        <w:t xml:space="preserve">.</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702">
    <w:p>
      <w:pPr>
        <w:pStyle w:val="FootnoteText"/>
        <w:spacing w:line="480" w:lineRule="auto"/>
        <w:rPr>
          <w:ins w:id="100001" w:author="Claude" w:date="2026-09-26T12:00:00Z"/>
        </w:rPr>
      </w:pPr>
      <w:ins w:id="100002" w:author="Claude" w:date="2026-09-26T12:00:00Z">
        <w:r>
          <w:rPr>
            <w:rStyle w:val="FootnoteReference"/>
          </w:rPr>
          <w:footnoteRef/>
        </w:r>
        <w:r>
          <w:t xml:space="preserve"> </w:t>
        </w:r>
        <w:r>
          <w:t xml:space="preserve">J.H. Baker, </w:t>
        </w:r>
        <w:r>
          <w:rPr>
            <w:i/>
          </w:rPr>
          <w:t>Introduction</w:t>
        </w:r>
        <w:r>
          <w:t xml:space="preserve">, </w:t>
        </w:r>
        <w:r>
          <w:rPr>
            <w:i/>
          </w:rPr>
          <w:t>in</w:t>
        </w:r>
        <w:r>
          <w:t xml:space="preserve"> 2 </w:t>
        </w:r>
        <w:r>
          <w:rPr>
            <w:smallCaps/>
          </w:rPr>
          <w:t>Readings and Moots at the Inns of Court in the Fifteenth Century</w:t>
        </w:r>
        <w:r>
          <w:t xml:space="preserve">, </w:t>
        </w:r>
        <w:r>
          <w:rPr>
            <w:i/>
          </w:rPr>
          <w:t>supra</w:t>
        </w:r>
        <w:r>
          <w:t>, at lxxii–lxxiii.</w:t>
        </w:r>
      </w:ins>
    </w:p>
  </w:footnote>
  <w:footnote w:id="703">
    <w:p>
      <w:pPr>
        <w:pStyle w:val="FootnoteText"/>
        <w:spacing w:line="480" w:lineRule="auto"/>
        <w:rPr>
          <w:ins w:id="100003" w:author="Claude" w:date="2026-09-26T12:00:00Z"/>
        </w:rPr>
      </w:pPr>
      <w:ins w:id="100004" w:author="Claude" w:date="2026-09-26T12:00:00Z">
        <w:r>
          <w:rPr>
            <w:rStyle w:val="FootnoteReference"/>
          </w:rPr>
          <w:footnoteRef/>
        </w:r>
        <w:r>
          <w:t xml:space="preserve"> </w:t>
        </w:r>
        <w:r>
          <w:t xml:space="preserve">Baker, </w:t>
        </w:r>
        <w:r>
          <w:rPr>
            <w:i/>
          </w:rPr>
          <w:t>supra</w:t>
        </w:r>
        <w:r>
          <w:t>, at lxxv–lxxvi.</w:t>
        </w:r>
      </w:ins>
    </w:p>
  </w:footnote>
  <w:footnote w:id="704">
    <w:p>
      <w:pPr>
        <w:pStyle w:val="FootnoteText"/>
        <w:spacing w:line="480" w:lineRule="auto"/>
        <w:rPr>
          <w:ins w:id="100005" w:author="Claude" w:date="2026-09-26T12:00:00Z"/>
        </w:rPr>
      </w:pPr>
      <w:ins w:id="100006" w:author="Claude" w:date="2026-09-26T12:00:00Z">
        <w:r>
          <w:rPr>
            <w:rStyle w:val="FootnoteReference"/>
          </w:rPr>
          <w:footnoteRef/>
        </w:r>
        <w:r>
          <w:t xml:space="preserve"> </w:t>
        </w:r>
        <w:r>
          <w:rPr>
            <w:smallCaps/>
          </w:rPr>
          <w:t>Benjamin N. Cardozo, The Nature of the Judicial Process</w:t>
        </w:r>
        <w:r>
          <w:t xml:space="preserve"> 174–75 (1921).</w:t>
        </w:r>
      </w:ins>
    </w:p>
  </w:footnote>
  <w:footnote w:id="705">
    <w:p>
      <w:pPr>
        <w:pStyle w:val="FootnoteText"/>
        <w:spacing w:line="480" w:lineRule="auto"/>
        <w:rPr>
          <w:ins w:id="100007" w:author="Claude" w:date="2026-09-26T12:00:00Z"/>
        </w:rPr>
      </w:pPr>
      <w:ins w:id="100008" w:author="Claude" w:date="2026-09-26T12:00:00Z">
        <w:r>
          <w:rPr>
            <w:rStyle w:val="FootnoteReference"/>
          </w:rPr>
          <w:footnoteRef/>
        </w:r>
        <w:r>
          <w:t xml:space="preserve"> </w:t>
        </w:r>
        <w:r>
          <w:rPr>
            <w:smallCaps/>
          </w:rPr>
          <w:t>Cicero, De Oratore</w:t>
        </w:r>
        <w:r>
          <w:t xml:space="preserve"> II.102–03, at 275 (E.W. Sutton &amp; H. Rackham trans., Loeb Classical Library 1942); </w:t>
        </w:r>
        <w:r>
          <w:rPr>
            <w:i/>
          </w:rPr>
          <w:t>see also</w:t>
        </w:r>
        <w:r>
          <w:t xml:space="preserve"> </w:t>
        </w:r>
        <w:r>
          <w:rPr>
            <w:smallCaps/>
          </w:rPr>
          <w:t>Cicero, De Officiis</w:t>
        </w:r>
        <w:r>
          <w:t xml:space="preserve"> II.7–8, at 175 (Walter Miller trans., Loeb Classical Library 1913) (the Academic argues both sides because “we could not get a clear view of what is ‘probable,’ unless a comparative estimate were made of all the arguments on both sides”).</w:t>
        </w:r>
      </w:ins>
    </w:p>
  </w:footnote>
  <w:footnote w:id="706">
    <w:p>
      <w:pPr>
        <w:pStyle w:val="FootnoteText"/>
        <w:spacing w:line="480" w:lineRule="auto"/>
        <w:rPr>
          <w:ins w:id="100009" w:author="Claude" w:date="2026-09-26T12:00:00Z"/>
        </w:rPr>
      </w:pPr>
      <w:ins w:id="100010" w:author="Claude" w:date="2026-09-26T12:00:00Z">
        <w:r>
          <w:rPr>
            <w:rStyle w:val="FootnoteReference"/>
          </w:rPr>
          <w:footnoteRef/>
        </w:r>
        <w:r>
          <w:t xml:space="preserve"> </w:t>
        </w:r>
        <w:r>
          <w:t xml:space="preserve">Saul Cornell, </w:t>
        </w:r>
        <w:r>
          <w:rPr>
            <w:i/>
          </w:rPr>
          <w:t>Learning to Read Like an Eighteenth-Century Lawyer</w:t>
        </w:r>
        <w:r>
          <w:t xml:space="preserve">, 33 </w:t>
        </w:r>
        <w:r>
          <w:rPr>
            <w:smallCaps/>
          </w:rPr>
          <w:t>Wm. &amp; Mary Bill Rts. J.</w:t>
        </w:r>
        <w:r>
          <w:t xml:space="preserve"> 439, 456–57 (2024); </w:t>
        </w:r>
        <w:r>
          <w:rPr>
            <w:i/>
          </w:rPr>
          <w:t>see also</w:t>
        </w:r>
        <w:r>
          <w:t xml:space="preserve"> </w:t>
        </w:r>
        <w:r>
          <w:rPr>
            <w:smallCaps/>
          </w:rPr>
          <w:t>Jonathan Gienapp, The Second Creation: Fixing the American Constitution in the Founding Era</w:t>
        </w:r>
        <w:r>
          <w:t xml:space="preserve"> 115, 123 (2018).</w:t>
        </w:r>
      </w:ins>
    </w:p>
  </w:footnote>
  <w:footnote w:id="707">
    <w:p>
      <w:pPr>
        <w:pStyle w:val="FootnoteText"/>
        <w:spacing w:line="480" w:lineRule="auto"/>
        <w:rPr>
          <w:ins w:id="100011" w:author="Claude" w:date="2026-09-26T12:00:00Z"/>
        </w:rPr>
      </w:pPr>
      <w:ins w:id="100012" w:author="Claude" w:date="2026-09-26T12:00:00Z">
        <w:r>
          <w:rPr>
            <w:rStyle w:val="FootnoteReference"/>
          </w:rPr>
          <w:footnoteRef/>
        </w:r>
        <w:r>
          <w:t xml:space="preserve"> </w:t>
        </w:r>
        <w:r>
          <w:rPr>
            <w:smallCaps/>
          </w:rPr>
          <w:t>Stanley Fish, Doing What Comes Naturally: Change, Rhetoric, and the Practice of Theory in Literary and Legal Studies</w:t>
        </w:r>
        <w:r>
          <w:t xml:space="preserve"> 517 (1989).</w:t>
        </w:r>
      </w:ins>
    </w:p>
  </w:footnote>
  <w:footnote w:id="708">
    <w:p>
      <w:pPr>
        <w:pStyle w:val="FootnoteText"/>
        <w:spacing w:line="480" w:lineRule="auto"/>
        <w:rPr>
          <w:ins w:id="100013" w:author="Claude" w:date="2026-09-26T12:00:00Z"/>
        </w:rPr>
      </w:pPr>
      <w:ins w:id="100014" w:author="Claude" w:date="2026-09-26T12:00:00Z">
        <w:r>
          <w:rPr>
            <w:rStyle w:val="FootnoteReference"/>
          </w:rPr>
          <w:footnoteRef/>
        </w:r>
        <w:r>
          <w:t xml:space="preserve"> </w:t>
        </w:r>
        <w:r>
          <w:rPr>
            <w:i/>
          </w:rPr>
          <w:t>See infra</w:t>
        </w:r>
        <w:r>
          <w:t xml:space="preserve"> Sections IV.A–C (surveying each civilization’s variant of the oath or oath-adjacent QCM).</w:t>
        </w:r>
      </w:ins>
    </w:p>
  </w:footnote>
  <w:footnote w:id="709">
    <w:p>
      <w:pPr>
        <w:pStyle w:val="FootnoteText"/>
        <w:spacing w:line="480" w:lineRule="auto"/>
        <w:rPr>
          <w:ins w:id="100015" w:author="Claude" w:date="2026-09-26T12:00:00Z"/>
        </w:rPr>
      </w:pPr>
      <w:ins w:id="100016" w:author="Claude" w:date="2026-09-26T12:00:00Z">
        <w:r>
          <w:rPr>
            <w:rStyle w:val="FootnoteReference"/>
          </w:rPr>
          <w:footnoteRef/>
        </w:r>
        <w:r>
          <w:t xml:space="preserve"> </w:t>
        </w:r>
        <w:r>
          <w:t xml:space="preserve">Hugo Mercier &amp; Pascal Boyer, </w:t>
        </w:r>
        <w:r>
          <w:rPr>
            <w:i/>
          </w:rPr>
          <w:t>Truth-Making Institutions: From Divination, Ordeals and Oaths to Judicial Torture and Rules of Evidence</w:t>
        </w:r>
        <w:r>
          <w:t xml:space="preserve">, 42 </w:t>
        </w:r>
        <w:r>
          <w:rPr>
            <w:smallCaps/>
          </w:rPr>
          <w:t>Evolution &amp; Hum. Behav.</w:t>
        </w:r>
        <w:r>
          <w:t xml:space="preserve"> 259, 264 (2021).</w:t>
        </w:r>
      </w:ins>
    </w:p>
  </w:footnote>
  <w:footnote w:id="710">
    <w:p>
      <w:pPr>
        <w:pStyle w:val="FootnoteText"/>
        <w:spacing w:line="480" w:lineRule="auto"/>
        <w:rPr>
          <w:ins w:id="100017" w:author="Claude" w:date="2026-09-26T12:00:00Z"/>
        </w:rPr>
      </w:pPr>
      <w:ins w:id="100018" w:author="Claude" w:date="2026-09-26T12:00:00Z">
        <w:r>
          <w:rPr>
            <w:rStyle w:val="FootnoteReference"/>
          </w:rPr>
          <w:footnoteRef/>
        </w:r>
        <w:r>
          <w:t xml:space="preserve"> </w:t>
        </w:r>
        <w:r>
          <w:rPr>
            <w:smallCaps/>
          </w:rPr>
          <w:t>Gabriel Herman, Morality and Behaviour in Democratic Athens: A Social History</w:t>
        </w:r>
        <w:r>
          <w:t xml:space="preserve"> 17–18 (2006); </w:t>
        </w:r>
        <w:r>
          <w:rPr>
            <w:smallCaps/>
          </w:rPr>
          <w:t>Adriaan Lanni, Law and Order in Ancient Athens</w:t>
        </w:r>
        <w:r>
          <w:t xml:space="preserve"> 142 (2016).</w:t>
        </w:r>
      </w:ins>
    </w:p>
  </w:footnote>
  <w:footnote w:id="711">
    <w:p>
      <w:pPr>
        <w:pStyle w:val="FootnoteText"/>
        <w:spacing w:line="480" w:lineRule="auto"/>
        <w:rPr>
          <w:ins w:id="100019" w:author="Claude" w:date="2026-09-26T12:00:00Z"/>
        </w:rPr>
      </w:pPr>
      <w:ins w:id="100020" w:author="Claude" w:date="2026-09-26T12:00:00Z">
        <w:r>
          <w:rPr>
            <w:rStyle w:val="FootnoteReference"/>
          </w:rPr>
          <w:footnoteRef/>
        </w:r>
        <w:r>
          <w:t xml:space="preserve"> </w:t>
        </w:r>
        <w:r>
          <w:rPr>
            <w:smallCaps/>
          </w:rPr>
          <w:t>Lanni</w:t>
        </w:r>
        <w:r>
          <w:t xml:space="preserve">, </w:t>
        </w:r>
        <w:r>
          <w:rPr>
            <w:i/>
          </w:rPr>
          <w:t>supra</w:t>
        </w:r>
        <w:r>
          <w:t>, at 129, 134–35.</w:t>
        </w:r>
      </w:ins>
    </w:p>
  </w:footnote>
  <w:footnote w:id="712">
    <w:p>
      <w:pPr>
        <w:pStyle w:val="FootnoteText"/>
        <w:spacing w:line="480" w:lineRule="auto"/>
        <w:rPr>
          <w:ins w:id="100021" w:author="Claude" w:date="2026-09-26T12:00:00Z"/>
        </w:rPr>
      </w:pPr>
      <w:ins w:id="100022" w:author="Claude" w:date="2026-09-26T12:00:00Z">
        <w:r>
          <w:rPr>
            <w:rStyle w:val="FootnoteReference"/>
          </w:rPr>
          <w:footnoteRef/>
        </w:r>
        <w:r>
          <w:t xml:space="preserve"> </w:t>
        </w:r>
        <w:r>
          <w:rPr>
            <w:i/>
          </w:rPr>
          <w:t>Id.</w:t>
        </w:r>
        <w:r>
          <w:t xml:space="preserve"> at 142–43.</w:t>
        </w:r>
      </w:ins>
    </w:p>
  </w:footnote>
  <w:footnote w:id="713">
    <w:p>
      <w:pPr>
        <w:pStyle w:val="FootnoteText"/>
        <w:spacing w:line="480" w:lineRule="auto"/>
        <w:rPr>
          <w:ins w:id="100023" w:author="Claude" w:date="2026-09-26T12:00:00Z"/>
        </w:rPr>
      </w:pPr>
      <w:ins w:id="100024" w:author="Claude" w:date="2026-09-26T12:00:00Z">
        <w:r>
          <w:rPr>
            <w:rStyle w:val="FootnoteReference"/>
          </w:rPr>
          <w:footnoteRef/>
        </w:r>
        <w:r>
          <w:t xml:space="preserve"> </w:t>
        </w:r>
        <w:r>
          <w:rPr>
            <w:smallCaps/>
          </w:rPr>
          <w:t>Robin Osborne, Use and Abuse of Law in the Athenian Courts</w:t>
        </w:r>
        <w:r>
          <w:t xml:space="preserve"> 38, 81 (Brill 2018).</w:t>
        </w:r>
      </w:ins>
    </w:p>
  </w:footnote>
  <w:footnote w:id="714">
    <w:p>
      <w:pPr>
        <w:pStyle w:val="FootnoteText"/>
        <w:spacing w:line="480" w:lineRule="auto"/>
        <w:rPr>
          <w:ins w:id="100025" w:author="Claude" w:date="2026-09-26T12:00:00Z"/>
        </w:rPr>
      </w:pPr>
      <w:ins w:id="100026" w:author="Claude" w:date="2026-09-26T12:00:00Z">
        <w:r>
          <w:rPr>
            <w:rStyle w:val="FootnoteReference"/>
          </w:rPr>
          <w:footnoteRef/>
        </w:r>
        <w:r>
          <w:t xml:space="preserve"> </w:t>
        </w:r>
        <w:r>
          <w:t xml:space="preserve">Lazarus, </w:t>
        </w:r>
        <w:r>
          <w:rPr>
            <w:i/>
          </w:rPr>
          <w:t>supra</w:t>
        </w:r>
        <w:r>
          <w:t>, at 1496.</w:t>
        </w:r>
      </w:ins>
    </w:p>
  </w:footnote>
  <w:footnote w:id="715">
    <w:p>
      <w:pPr>
        <w:pStyle w:val="FootnoteText"/>
        <w:spacing w:line="480" w:lineRule="auto"/>
        <w:rPr>
          <w:ins w:id="100027" w:author="Claude" w:date="2026-09-26T12:00:00Z"/>
        </w:rPr>
      </w:pPr>
      <w:ins w:id="100028" w:author="Claude" w:date="2026-09-26T12:00:00Z">
        <w:r>
          <w:rPr>
            <w:rStyle w:val="FootnoteReference"/>
          </w:rPr>
          <w:footnoteRef/>
        </w:r>
        <w:r>
          <w:t xml:space="preserve"> </w:t>
        </w:r>
        <w:r>
          <w:t xml:space="preserve">Lazarus, </w:t>
        </w:r>
        <w:r>
          <w:rPr>
            <w:i/>
          </w:rPr>
          <w:t>supra</w:t>
        </w:r>
        <w:r>
          <w:t>, at 1518.</w:t>
        </w:r>
      </w:ins>
    </w:p>
  </w:footnote>
  <w:footnote w:id="716">
    <w:p>
      <w:pPr>
        <w:pStyle w:val="FootnoteText"/>
        <w:spacing w:line="480" w:lineRule="auto"/>
        <w:rPr>
          <w:ins w:id="100029" w:author="Claude" w:date="2026-09-26T12:00:00Z"/>
        </w:rPr>
      </w:pPr>
      <w:ins w:id="100030" w:author="Claude" w:date="2026-09-26T12:00:00Z">
        <w:r>
          <w:rPr>
            <w:rStyle w:val="FootnoteReference"/>
          </w:rPr>
          <w:footnoteRef/>
        </w:r>
        <w:r>
          <w:t xml:space="preserve"> </w:t>
        </w:r>
        <w:r>
          <w:rPr>
            <w:smallCaps/>
          </w:rPr>
          <w:t>McGuire</w:t>
        </w:r>
        <w:r>
          <w:t xml:space="preserve">, </w:t>
        </w:r>
        <w:r>
          <w:rPr>
            <w:i/>
          </w:rPr>
          <w:t>supra</w:t>
        </w:r>
        <w:r>
          <w:t>, at 110.</w:t>
        </w:r>
      </w:ins>
    </w:p>
  </w:footnote>
  <w:footnote w:id="717">
    <w:p>
      <w:pPr>
        <w:pStyle w:val="FootnoteText"/>
        <w:spacing w:line="480" w:lineRule="auto"/>
        <w:rPr>
          <w:ins w:id="100031" w:author="Claude" w:date="2026-09-26T12:00:00Z"/>
        </w:rPr>
      </w:pPr>
      <w:ins w:id="100032" w:author="Claude" w:date="2026-09-26T12:00:00Z">
        <w:r>
          <w:rPr>
            <w:rStyle w:val="FootnoteReference"/>
          </w:rPr>
          <w:footnoteRef/>
        </w:r>
        <w:r>
          <w:t xml:space="preserve"> </w:t>
        </w:r>
        <w:r>
          <w:rPr>
            <w:smallCaps/>
          </w:rPr>
          <w:t>Kevin T. McGuire, The Supreme Court Bar: Legal Elites in the Washington Community</w:t>
        </w:r>
        <w:r>
          <w:t xml:space="preserve"> 177 (1993).</w:t>
        </w:r>
      </w:ins>
    </w:p>
  </w:footnote>
  <w:footnote w:id="718">
    <w:p>
      <w:pPr>
        <w:pStyle w:val="FootnoteText"/>
        <w:spacing w:line="480" w:lineRule="auto"/>
        <w:rPr>
          <w:ins w:id="100033" w:author="Claude" w:date="2026-09-26T12:00:00Z"/>
        </w:rPr>
      </w:pPr>
      <w:ins w:id="100034" w:author="Claude" w:date="2026-09-26T12:00:00Z">
        <w:r>
          <w:rPr>
            <w:rStyle w:val="FootnoteReference"/>
          </w:rPr>
          <w:footnoteRef/>
        </w:r>
        <w:r>
          <w:t xml:space="preserve"> </w:t>
        </w:r>
        <w:r>
          <w:rPr>
            <w:i/>
          </w:rPr>
          <w:t>Id.</w:t>
        </w:r>
      </w:ins>
    </w:p>
  </w:footnote>
  <w:footnote w:id="719">
    <w:p>
      <w:pPr>
        <w:pStyle w:val="FootnoteText"/>
        <w:spacing w:line="480" w:lineRule="auto"/>
        <w:rPr>
          <w:ins w:id="100035" w:author="Claude" w:date="2026-09-26T12:00:00Z"/>
        </w:rPr>
      </w:pPr>
      <w:ins w:id="100036" w:author="Claude" w:date="2026-09-26T12:00:00Z">
        <w:r>
          <w:rPr>
            <w:rStyle w:val="FootnoteReference"/>
          </w:rPr>
          <w:footnoteRef/>
        </w:r>
        <w:r>
          <w:t xml:space="preserve"> </w:t>
        </w:r>
        <w:r>
          <w:rPr>
            <w:smallCaps/>
          </w:rPr>
          <w:t>John Stuart Mill, On Liberty</w:t>
        </w:r>
        <w:r>
          <w:t xml:space="preserve"> ch. II (1859) [AUTHOR: add print page].</w:t>
        </w:r>
      </w:ins>
    </w:p>
  </w:footnote>
  <w:footnote w:id="720">
    <w:p>
      <w:pPr>
        <w:pStyle w:val="FootnoteText"/>
        <w:spacing w:line="480" w:lineRule="auto"/>
        <w:rPr>
          <w:ins w:id="100037" w:author="Claude" w:date="2026-09-26T12:00:00Z"/>
        </w:rPr>
      </w:pPr>
      <w:ins w:id="100038" w:author="Claude" w:date="2026-09-26T12:00:00Z">
        <w:r>
          <w:rPr>
            <w:rStyle w:val="FootnoteReference"/>
          </w:rPr>
          <w:footnoteRef/>
        </w:r>
        <w:r>
          <w:t xml:space="preserve"> </w:t>
        </w:r>
        <w:r>
          <w:rPr>
            <w:smallCaps/>
          </w:rPr>
          <w:t>Mishnah, Sanhedrin</w:t>
        </w:r>
        <w:r>
          <w:t xml:space="preserve"> 4:1–2, 5:4–5; </w:t>
        </w:r>
        <w:r>
          <w:rPr>
            <w:smallCaps/>
          </w:rPr>
          <w:t>Maimonides, Mishneh Torah, Hilkhot Sanhedrin</w:t>
        </w:r>
        <w:r>
          <w:t xml:space="preserve"> 9:1, 10:1, 11:6, 22:2–3; </w:t>
        </w:r>
        <w:r>
          <w:rPr>
            <w:smallCaps/>
          </w:rPr>
          <w:t>Babylonian Talmud, Sanhedrin</w:t>
        </w:r>
        <w:r>
          <w:t xml:space="preserve"> 17a. [AUTHOR: confirm the Rambam pincites against the Touger edition.]</w:t>
        </w:r>
      </w:ins>
    </w:p>
  </w:footnote>
  <w:footnote w:id="721">
    <w:p>
      <w:pPr>
        <w:pStyle w:val="FootnoteText"/>
        <w:spacing w:line="480" w:lineRule="auto"/>
        <w:rPr>
          <w:ins w:id="100039" w:author="Claude" w:date="2026-09-26T12:00:00Z"/>
        </w:rPr>
      </w:pPr>
      <w:ins w:id="100040" w:author="Claude" w:date="2026-09-26T12:00:00Z">
        <w:r>
          <w:rPr>
            <w:rStyle w:val="FootnoteReference"/>
          </w:rPr>
          <w:footnoteRef/>
        </w:r>
        <w:r>
          <w:t xml:space="preserve"> </w:t>
        </w:r>
        <w:r>
          <w:t xml:space="preserve">Report of Denton, Bacon &amp; Cary (1540), </w:t>
        </w:r>
        <w:r>
          <w:rPr>
            <w:i/>
          </w:rPr>
          <w:t>quoted in</w:t>
        </w:r>
        <w:r>
          <w:t xml:space="preserve"> 2 </w:t>
        </w:r>
        <w:r>
          <w:rPr>
            <w:smallCaps/>
          </w:rPr>
          <w:t>Readings and Moots at the Inns of Court in the Fifteenth Century</w:t>
        </w:r>
        <w:r>
          <w:t xml:space="preserve">, </w:t>
        </w:r>
        <w:r>
          <w:rPr>
            <w:i/>
          </w:rPr>
          <w:t>supra</w:t>
        </w:r>
        <w:r>
          <w:t xml:space="preserve">, at lxi; </w:t>
        </w:r>
        <w:r>
          <w:rPr>
            <w:i/>
          </w:rPr>
          <w:t>see also</w:t>
        </w:r>
        <w:r>
          <w:t xml:space="preserve"> 1 </w:t>
        </w:r>
        <w:r>
          <w:rPr>
            <w:smallCaps/>
          </w:rPr>
          <w:t>Readings and Moots at the Inns of Court in the Fifteenth Century</w:t>
        </w:r>
        <w:r>
          <w:t>, at xxx n.1 (Samuel E. Thorne ed., Selden Soc’y vol. 71, 1954) (“one of the younger Utter-Barresters . . . doth by way of argument labour to prove the Readers opinion to be against the Law”).</w:t>
        </w:r>
      </w:ins>
    </w:p>
  </w:footnote>
  <w:footnote w:id="722">
    <w:p>
      <w:pPr>
        <w:pStyle w:val="FootnoteText"/>
        <w:spacing w:line="480" w:lineRule="auto"/>
        <w:rPr>
          <w:ins w:id="100041" w:author="Claude" w:date="2026-09-26T12:00:00Z"/>
        </w:rPr>
      </w:pPr>
      <w:ins w:id="100042" w:author="Claude" w:date="2026-09-26T12:00:00Z">
        <w:r>
          <w:rPr>
            <w:rStyle w:val="FootnoteReference"/>
          </w:rPr>
          <w:footnoteRef/>
        </w:r>
        <w:r>
          <w:t xml:space="preserve"> </w:t>
        </w:r>
        <w:r>
          <w:t xml:space="preserve">Middle Temple Description (c. 1539), </w:t>
        </w:r>
        <w:r>
          <w:rPr>
            <w:i/>
          </w:rPr>
          <w:t>quoted in</w:t>
        </w:r>
        <w:r>
          <w:t xml:space="preserve"> 2 </w:t>
        </w:r>
        <w:r>
          <w:rPr>
            <w:smallCaps/>
          </w:rPr>
          <w:t>Readings and Moots at the Inns of Court in the Fifteenth Century</w:t>
        </w:r>
        <w:r>
          <w:t>, at lxx (Samuel E. Thorne &amp; J.H. Baker eds., Selden Soc’y vol. 105, 1990).</w:t>
        </w:r>
      </w:ins>
    </w:p>
  </w:footnote>
  <w:footnote w:id="723">
    <w:p>
      <w:pPr>
        <w:pStyle w:val="FootnoteText"/>
        <w:spacing w:line="480" w:lineRule="auto"/>
        <w:rPr>
          <w:ins w:id="100043" w:author="Claude" w:date="2026-09-26T12:00:00Z"/>
        </w:rPr>
      </w:pPr>
      <w:ins w:id="100044" w:author="Claude" w:date="2026-09-26T12:00:00Z">
        <w:r>
          <w:rPr>
            <w:rStyle w:val="FootnoteReference"/>
          </w:rPr>
          <w:footnoteRef/>
        </w:r>
        <w:r>
          <w:t xml:space="preserve"> </w:t>
        </w:r>
        <w:r>
          <w:t xml:space="preserve">1 </w:t>
        </w:r>
        <w:r>
          <w:rPr>
            <w:smallCaps/>
          </w:rPr>
          <w:t>Joseph Story, Commentaries on the Constitution of the United States</w:t>
        </w:r>
        <w:r>
          <w:t xml:space="preserve"> § 398 (1833).</w:t>
        </w:r>
      </w:ins>
    </w:p>
  </w:footnote>
  <w:footnote w:id="724">
    <w:p>
      <w:pPr>
        <w:pStyle w:val="FootnoteText"/>
        <w:spacing w:line="480" w:lineRule="auto"/>
        <w:rPr>
          <w:ins w:id="100045" w:author="Claude" w:date="2026-09-26T12:00:00Z"/>
        </w:rPr>
      </w:pPr>
      <w:ins w:id="100046" w:author="Claude" w:date="2026-09-26T12:00:00Z">
        <w:r>
          <w:rPr>
            <w:rStyle w:val="FootnoteReference"/>
          </w:rPr>
          <w:footnoteRef/>
        </w:r>
        <w:r>
          <w:t xml:space="preserve"> </w:t>
        </w:r>
        <w:r>
          <w:t xml:space="preserve">Philip E. Tetlock, </w:t>
        </w:r>
        <w:r>
          <w:rPr>
            <w:i/>
          </w:rPr>
          <w:t>Accountability and the Perseverance of First Impressions</w:t>
        </w:r>
        <w:r>
          <w:t xml:space="preserve">, 46 </w:t>
        </w:r>
        <w:r>
          <w:rPr>
            <w:smallCaps/>
          </w:rPr>
          <w:t>Soc. Psychol. Q.</w:t>
        </w:r>
        <w:r>
          <w:t xml:space="preserve"> 285, 291 (1983); </w:t>
        </w:r>
        <w:r>
          <w:rPr>
            <w:i/>
          </w:rPr>
          <w:t>see also</w:t>
        </w:r>
        <w:r>
          <w:t xml:space="preserve"> Jennifer S. Lerner &amp; Philip E. Tetlock, </w:t>
        </w:r>
        <w:r>
          <w:rPr>
            <w:i/>
          </w:rPr>
          <w:t>Accounting for the Effects of Accountability</w:t>
        </w:r>
        <w:r>
          <w:t xml:space="preserve">, 125 </w:t>
        </w:r>
        <w:r>
          <w:rPr>
            <w:smallCaps/>
          </w:rPr>
          <w:t>Psychol. Bull.</w:t>
        </w:r>
        <w:r>
          <w:t xml:space="preserve"> 255, 257, 259 (1999) (accountability produces self-criticism before a decision and defensive bolstering after it).</w:t>
        </w:r>
      </w:ins>
    </w:p>
  </w:footnote>
  <w:footnote w:id="725">
    <w:p w14:paraId="16971737" w14:textId="77777777" w:rsidR="001B76BD" w:rsidRDefault="00000000">
      <w:pPr>
        <w:pStyle w:val="FootnoteText"/>
        <w:spacing w:line="480" w:lineRule="auto"/>
        <w:rPr>
          <w:ins w:id="200533" w:author="Claude" w:date="2026-09-27T12:00:00Z"/>
          <w:color w:val="000000" w:themeColor="text1"/>
        </w:rPr>
      </w:pPr>
      <w:ins w:id="200531" w:author="Claude" w:date="2026-09-27T12:00:00Z">
        <w:r>
          <w:rPr>
            <w:rStyle w:val="FootnoteReference"/>
            <w:color w:val="000000" w:themeColor="text1"/>
          </w:rPr>
          <w:footnoteRef/>
        </w:r>
      </w:ins>
      <w:ins w:id="200532" w:author="Claude" w:date="2026-09-27T12:00:00Z">
        <w:r>
          <w:rPr>
            <w:color w:val="000000" w:themeColor="text1"/>
          </w:rPr>
          <w:t xml:space="preserve"> Brown v. Bd. of Educ., 347 U.S. 483 (1954); United States v. Skrmetti, 145 S. Ct. 1816 (2025).</w:t>
        </w:r>
      </w:ins>
    </w:p>
  </w:footnote>
  <w:footnote w:id="726">
    <w:p w14:paraId="69EAAB53" w14:textId="31CF1A28" w:rsidR="00C97DF2" w:rsidRPr="005B3E31" w:rsidRDefault="00C97DF2" w:rsidP="003D74D8">
      <w:pPr>
        <w:pStyle w:val="FootnoteText"/>
        <w:spacing w:line="480" w:lineRule="auto"/>
        <w:rPr>
          <w:ins w:id="200580" w:author="Claude" w:date="2026-09-27T12:00:00Z"/>
          <w:color w:val="000000" w:themeColor="text1"/>
        </w:rPr>
      </w:pPr>
      <w:ins w:id="200547" w:author="Claude" w:date="2026-09-27T12:00:00Z">
        <w:r>
          <w:rPr>
            <w:rStyle w:val="FootnoteReference"/>
            <w:color w:val="000000" w:themeColor="text1"/>
          </w:rPr>
          <w:footnoteRef/>
        </w:r>
      </w:ins>
      <w:ins w:id="200548" w:author="Claude" w:date="2026-09-27T12:00:00Z">
        <w:r>
          <w:rPr>
            <w:color w:val="000000" w:themeColor="text1"/>
          </w:rPr>
          <w:t xml:space="preserve"> </w:t>
        </w:r>
      </w:ins>
      <w:ins w:id="200549" w:author="Claude" w:date="2026-09-27T12:00:00Z">
        <w:r>
          <w:rPr>
            <w:i/>
            <w:iCs/>
            <w:color w:val="000000" w:themeColor="text1"/>
          </w:rPr>
          <w:t xml:space="preserve">See</w:t>
        </w:r>
      </w:ins>
      <w:ins w:id="200550" w:author="Claude" w:date="2026-09-27T12:00:00Z">
        <w:r>
          <w:rPr>
            <w:color w:val="000000" w:themeColor="text1"/>
          </w:rPr>
          <w:t xml:space="preserve"> Megan McArdle, </w:t>
        </w:r>
      </w:ins>
      <w:ins w:id="200551" w:author="Claude" w:date="2026-09-27T12:00:00Z">
        <w:r>
          <w:rPr>
            <w:i/>
            <w:iCs/>
            <w:color w:val="000000" w:themeColor="text1"/>
          </w:rPr>
          <w:t xml:space="preserve">The ACLU Bet Big on a Trans Rights Case. Its Loss Was Predictable.</w:t>
        </w:r>
      </w:ins>
      <w:ins w:id="200552" w:author="Claude" w:date="2026-09-27T12:00:00Z">
        <w:r>
          <w:rPr>
            <w:color w:val="000000" w:themeColor="text1"/>
          </w:rPr>
          <w:t xml:space="preserve">, </w:t>
        </w:r>
      </w:ins>
      <w:ins w:id="200553" w:author="Claude" w:date="2026-09-27T12:00:00Z">
        <w:r>
          <w:rPr>
            <w:smallCaps/>
            <w:color w:val="000000" w:themeColor="text1"/>
          </w:rPr>
          <w:t xml:space="preserve">Wash. Post</w:t>
        </w:r>
      </w:ins>
      <w:ins w:id="200554" w:author="Claude" w:date="2026-09-27T12:00:00Z">
        <w:r>
          <w:rPr>
            <w:color w:val="000000" w:themeColor="text1"/>
          </w:rPr>
          <w:t xml:space="preserve"> (June 21, 2025), https://www.washingtonpost.com/opinions/2025/06/21/supreme-court-youth-gender-transition-ban/ [create </w:t>
        </w:r>
      </w:ins>
      <w:ins w:id="200555" w:author="Claude" w:date="2026-09-27T12:00:00Z">
        <w:r>
          <w:rPr>
            <w:color w:val="000000" w:themeColor="text1"/>
          </w:rPr>
          <w:t xml:space="preserve">perma</w:t>
        </w:r>
      </w:ins>
      <w:ins w:id="200556" w:author="Claude" w:date="2026-09-27T12:00:00Z">
        <w:r>
          <w:rPr>
            <w:color w:val="000000" w:themeColor="text1"/>
          </w:rPr>
          <w:t xml:space="preserve"> link]; Riki </w:t>
        </w:r>
      </w:ins>
      <w:ins w:id="200557" w:author="Claude" w:date="2026-09-27T12:00:00Z">
        <w:r>
          <w:rPr>
            <w:color w:val="000000" w:themeColor="text1"/>
          </w:rPr>
          <w:t xml:space="preserve">Wilchins</w:t>
        </w:r>
      </w:ins>
      <w:ins w:id="200558" w:author="Claude" w:date="2026-09-27T12:00:00Z">
        <w:r>
          <w:rPr>
            <w:color w:val="000000" w:themeColor="text1"/>
          </w:rPr>
          <w:t xml:space="preserve">, </w:t>
        </w:r>
      </w:ins>
      <w:ins w:id="200559" w:author="Claude" w:date="2026-09-27T12:00:00Z">
        <w:r>
          <w:rPr>
            <w:i/>
            <w:iCs/>
            <w:color w:val="000000" w:themeColor="text1"/>
          </w:rPr>
          <w:t xml:space="preserve">A Conversation About </w:t>
        </w:r>
      </w:ins>
      <w:ins w:id="200560" w:author="Claude" w:date="2026-09-27T12:00:00Z">
        <w:r>
          <w:rPr>
            <w:color w:val="000000" w:themeColor="text1"/>
            <w:rPrChange w:id="60001" w:author="Claude" w:date="2026-09-27T05:00:00Z">
              <w:rPr>
                <w:i/>
                <w:iCs/>
                <w:color w:val="000000" w:themeColor="text1"/>
              </w:rPr>
            </w:rPrChange>
          </w:rPr>
          <w:t xml:space="preserve">Skrmetti</w:t>
        </w:r>
      </w:ins>
      <w:ins w:id="200561" w:author="Claude" w:date="2026-09-27T12:00:00Z">
        <w:r>
          <w:rPr>
            <w:i/>
            <w:iCs/>
            <w:color w:val="000000" w:themeColor="text1"/>
          </w:rPr>
          <w:t xml:space="preserve"> with Ezra Young &amp; Naomi </w:t>
        </w:r>
      </w:ins>
      <w:ins w:id="200562" w:author="Claude" w:date="2026-09-27T12:00:00Z">
        <w:r>
          <w:rPr>
            <w:i/>
            <w:iCs/>
            <w:color w:val="000000" w:themeColor="text1"/>
          </w:rPr>
          <w:t xml:space="preserve">Schoenbaum</w:t>
        </w:r>
      </w:ins>
      <w:ins w:id="200563" w:author="Claude" w:date="2026-09-27T12:00:00Z">
        <w:r>
          <w:rPr>
            <w:color w:val="000000" w:themeColor="text1"/>
          </w:rPr>
          <w:t xml:space="preserve">, </w:t>
        </w:r>
      </w:ins>
      <w:ins w:id="200564" w:author="Claude" w:date="2026-09-27T12:00:00Z">
        <w:r>
          <w:rPr>
            <w:smallCaps/>
            <w:color w:val="000000" w:themeColor="text1"/>
          </w:rPr>
          <w:t xml:space="preserve">Assigned Media</w:t>
        </w:r>
      </w:ins>
      <w:ins w:id="200565" w:author="Claude" w:date="2026-09-27T12:00:00Z">
        <w:r>
          <w:rPr>
            <w:color w:val="000000" w:themeColor="text1"/>
          </w:rPr>
          <w:t xml:space="preserve"> (July 8, 2025), https://www.assignedmedia.org/breaking-news/skrmetti-interview-ezra-young-naomi-</w:t>
        </w:r>
      </w:ins>
      <w:del w:id="60002" w:author="Claude" w:date="2026-09-27T05:00:00Z">
        <w:ins w:id="200566" w:author="Claude" w:date="2026-09-27T12:00:00Z">
          <w:r>
            <w:rPr>
              <w:color w:val="000000" w:themeColor="text1"/>
            </w:rPr>
            <w:delText xml:space="preserve">schoenbaum  </w:delText>
          </w:r>
        </w:ins>
      </w:del>
      <w:ins w:id="60003" w:author="Claude" w:date="2026-09-27T05:00:00Z">
        <w:r>
          <w:rPr>
            <w:color w:val="000000" w:themeColor="text1"/>
          </w:rPr>
          <w:t xml:space="preserve">schoenbaum </w:t>
        </w:r>
      </w:ins>
      <w:ins w:id="200567" w:author="Claude" w:date="2026-09-27T12:00:00Z">
        <w:r>
          <w:rPr>
            <w:color w:val="000000" w:themeColor="text1"/>
          </w:rPr>
          <w:t xml:space="preserve">[create </w:t>
        </w:r>
      </w:ins>
      <w:ins w:id="200568" w:author="Claude" w:date="2026-09-27T12:00:00Z">
        <w:r>
          <w:rPr>
            <w:color w:val="000000" w:themeColor="text1"/>
          </w:rPr>
          <w:t xml:space="preserve">perma</w:t>
        </w:r>
      </w:ins>
      <w:ins w:id="200569" w:author="Claude" w:date="2026-09-27T12:00:00Z">
        <w:r>
          <w:rPr>
            <w:color w:val="000000" w:themeColor="text1"/>
          </w:rPr>
          <w:t xml:space="preserve"> link] (quoting Ezra Young: “[T]he ACLU thought sex classification would do all of the work. It couldn’t. It could never do that,” and Naomi </w:t>
        </w:r>
      </w:ins>
      <w:ins w:id="200570" w:author="Claude" w:date="2026-09-27T12:00:00Z">
        <w:r>
          <w:rPr>
            <w:color w:val="000000" w:themeColor="text1"/>
          </w:rPr>
          <w:t xml:space="preserve">Schoenbaum</w:t>
        </w:r>
      </w:ins>
      <w:ins w:id="200571" w:author="Claude" w:date="2026-09-27T12:00:00Z">
        <w:r>
          <w:rPr>
            <w:color w:val="000000" w:themeColor="text1"/>
          </w:rPr>
          <w:t xml:space="preserve">: “It shouldn’t have been that surprising that the Supreme Court was not just going to accept their analysis,” and that the litigation strategy “missed an opportunity in terms of being realistic about what the Court would do”); </w:t>
        </w:r>
      </w:ins>
      <w:ins w:id="200572" w:author="Claude" w:date="2026-09-27T12:00:00Z">
        <w:r>
          <w:rPr>
            <w:i/>
            <w:iCs/>
            <w:color w:val="000000" w:themeColor="text1"/>
          </w:rPr>
          <w:t xml:space="preserve">see also</w:t>
        </w:r>
      </w:ins>
      <w:ins w:id="200573" w:author="Claude" w:date="2026-09-27T12:00:00Z">
        <w:r>
          <w:rPr>
            <w:color w:val="000000" w:themeColor="text1"/>
          </w:rPr>
          <w:t xml:space="preserve"> Amy Howe, </w:t>
        </w:r>
      </w:ins>
      <w:ins w:id="200574" w:author="Claude" w:date="2026-09-27T12:00:00Z">
        <w:r>
          <w:rPr>
            <w:i/>
            <w:iCs/>
            <w:color w:val="000000" w:themeColor="text1"/>
          </w:rPr>
          <w:t xml:space="preserve">Supreme Court Appears Ready to Uphold Tennessee Ban on Youth Transgender Care</w:t>
        </w:r>
      </w:ins>
      <w:ins w:id="200575" w:author="Claude" w:date="2026-09-27T12:00:00Z">
        <w:r>
          <w:rPr>
            <w:color w:val="000000" w:themeColor="text1"/>
          </w:rPr>
          <w:t xml:space="preserve">, </w:t>
        </w:r>
      </w:ins>
      <w:ins w:id="200576" w:author="Claude" w:date="2026-09-27T12:00:00Z">
        <w:r>
          <w:rPr>
            <w:smallCaps/>
            <w:color w:val="000000" w:themeColor="text1"/>
          </w:rPr>
          <w:t xml:space="preserve">SCOTUSBlog</w:t>
        </w:r>
      </w:ins>
      <w:ins w:id="200577" w:author="Claude" w:date="2026-09-27T12:00:00Z">
        <w:r>
          <w:rPr>
            <w:color w:val="000000" w:themeColor="text1"/>
          </w:rPr>
          <w:t xml:space="preserve"> (Dec. 4, 2024), https://www.scotusblog.com/2024/12/supreme-court-appears-ready-to-uphold-tennessee-ban-on-youth-transgender-care/ [create </w:t>
        </w:r>
      </w:ins>
      <w:ins w:id="200578" w:author="Claude" w:date="2026-09-27T12:00:00Z">
        <w:r>
          <w:rPr>
            <w:color w:val="000000" w:themeColor="text1"/>
          </w:rPr>
          <w:t xml:space="preserve">perma</w:t>
        </w:r>
      </w:ins>
      <w:ins w:id="200579" w:author="Claude" w:date="2026-09-27T12:00:00Z">
        <w:r>
          <w:rPr>
            <w:color w:val="000000" w:themeColor="text1"/>
          </w:rPr>
          <w:t xml:space="preserve"> link].</w:t>
        </w:r>
      </w:ins>
    </w:p>
  </w:footnote>
  <w:footnote w:id="727">
    <w:p w14:paraId="37A6ED9B" w14:textId="6A6A4902" w:rsidR="00C97DF2" w:rsidRPr="005B3E31" w:rsidRDefault="00C97DF2" w:rsidP="003D74D8">
      <w:pPr>
        <w:pStyle w:val="FootnoteText"/>
        <w:spacing w:line="480" w:lineRule="auto"/>
        <w:rPr>
          <w:ins w:id="200591" w:author="Claude" w:date="2026-09-27T12:00:00Z"/>
          <w:color w:val="000000" w:themeColor="text1"/>
        </w:rPr>
      </w:pPr>
      <w:ins w:id="200581" w:author="Claude" w:date="2026-09-27T12:00:00Z">
        <w:r>
          <w:rPr>
            <w:rStyle w:val="FootnoteReference"/>
            <w:color w:val="000000" w:themeColor="text1"/>
          </w:rPr>
          <w:footnoteRef/>
        </w:r>
      </w:ins>
      <w:ins w:id="200582" w:author="Claude" w:date="2026-09-27T12:00:00Z">
        <w:r>
          <w:rPr>
            <w:color w:val="000000" w:themeColor="text1"/>
          </w:rPr>
          <w:t xml:space="preserve"> Nicholas </w:t>
        </w:r>
      </w:ins>
      <w:ins w:id="200583" w:author="Claude" w:date="2026-09-27T12:00:00Z">
        <w:r>
          <w:rPr>
            <w:color w:val="000000" w:themeColor="text1"/>
          </w:rPr>
          <w:t>Confessore</w:t>
        </w:r>
      </w:ins>
      <w:ins w:id="200584" w:author="Claude" w:date="2026-09-27T12:00:00Z">
        <w:r>
          <w:rPr>
            <w:color w:val="000000" w:themeColor="text1"/>
          </w:rPr>
          <w:t>, </w:t>
        </w:r>
      </w:ins>
      <w:ins w:id="200585" w:author="Claude" w:date="2026-09-27T12:00:00Z">
        <w:r>
          <w:rPr>
            <w:i/>
            <w:iCs/>
            <w:color w:val="000000" w:themeColor="text1"/>
          </w:rPr>
          <w:t>How the Transgender Rights Movement Bet on the Supreme Court and Lost</w:t>
        </w:r>
      </w:ins>
      <w:ins w:id="200586" w:author="Claude" w:date="2026-09-27T12:00:00Z">
        <w:r>
          <w:rPr>
            <w:color w:val="000000" w:themeColor="text1"/>
          </w:rPr>
          <w:t xml:space="preserve">, </w:t>
        </w:r>
      </w:ins>
      <w:ins w:id="200587" w:author="Claude" w:date="2026-09-27T12:00:00Z">
        <w:r>
          <w:rPr>
            <w:smallCaps/>
            <w:color w:val="000000" w:themeColor="text1"/>
          </w:rPr>
          <w:t>N.Y. Times</w:t>
        </w:r>
      </w:ins>
      <w:ins w:id="200588" w:author="Claude" w:date="2026-09-27T12:00:00Z">
        <w:r>
          <w:rPr>
            <w:color w:val="000000" w:themeColor="text1"/>
          </w:rPr>
          <w:t xml:space="preserve"> (June 19, 2025), https://www.nytimes.com/2025/06/19/magazine/scotus-transgender-care-tennessee-skrmetti.html [create </w:t>
        </w:r>
      </w:ins>
      <w:ins w:id="200589" w:author="Claude" w:date="2026-09-27T12:00:00Z">
        <w:r>
          <w:rPr>
            <w:color w:val="000000" w:themeColor="text1"/>
          </w:rPr>
          <w:t>perma</w:t>
        </w:r>
      </w:ins>
      <w:ins w:id="200590" w:author="Claude" w:date="2026-09-27T12:00:00Z">
        <w:r>
          <w:rPr>
            <w:color w:val="000000" w:themeColor="text1"/>
          </w:rPr>
          <w:t xml:space="preserve"> link].</w:t>
        </w:r>
      </w:ins>
    </w:p>
  </w:footnote>
  <w:footnote w:id="728">
    <w:p w14:paraId="70B46149" w14:textId="1847CD23" w:rsidR="00C97DF2" w:rsidRPr="005B3E31" w:rsidRDefault="00C97DF2" w:rsidP="003D74D8">
      <w:pPr>
        <w:pStyle w:val="FootnoteText"/>
        <w:spacing w:line="480" w:lineRule="auto"/>
        <w:rPr>
          <w:ins w:id="200603" w:author="Claude" w:date="2026-09-27T12:00:00Z"/>
          <w:color w:val="000000" w:themeColor="text1"/>
        </w:rPr>
      </w:pPr>
      <w:ins w:id="200592" w:author="Claude" w:date="2026-09-27T12:00:00Z">
        <w:r>
          <w:rPr>
            <w:rStyle w:val="FootnoteReference"/>
            <w:color w:val="000000" w:themeColor="text1"/>
          </w:rPr>
          <w:footnoteRef/>
        </w:r>
      </w:ins>
      <w:ins w:id="200593" w:author="Claude" w:date="2026-09-27T12:00:00Z">
        <w:r>
          <w:rPr>
            <w:color w:val="000000" w:themeColor="text1"/>
          </w:rPr>
          <w:t xml:space="preserve"> John </w:t>
        </w:r>
      </w:ins>
      <w:ins w:id="200594" w:author="Claude" w:date="2026-09-27T12:00:00Z">
        <w:r>
          <w:rPr>
            <w:color w:val="000000" w:themeColor="text1"/>
          </w:rPr>
          <w:t xml:space="preserve">Bursch</w:t>
        </w:r>
      </w:ins>
      <w:ins w:id="200595" w:author="Claude" w:date="2026-09-27T12:00:00Z">
        <w:r>
          <w:rPr>
            <w:color w:val="000000" w:themeColor="text1"/>
          </w:rPr>
          <w:t xml:space="preserve">, </w:t>
        </w:r>
      </w:ins>
      <w:ins w:id="200596" w:author="Claude" w:date="2026-09-27T12:00:00Z">
        <w:r>
          <w:rPr>
            <w:i/>
            <w:iCs/>
            <w:color w:val="000000" w:themeColor="text1"/>
          </w:rPr>
          <w:t xml:space="preserve">The Legal and Cultural Context of </w:t>
        </w:r>
      </w:ins>
      <w:ins w:id="200597" w:author="Claude" w:date="2026-09-27T12:00:00Z">
        <w:r>
          <w:rPr>
            <w:color w:val="000000" w:themeColor="text1"/>
            <w:rPrChange w:id="60004" w:author="Claude" w:date="2026-09-27T05:00:00Z">
              <w:rPr>
                <w:i/>
                <w:iCs/>
                <w:color w:val="000000" w:themeColor="text1"/>
              </w:rPr>
            </w:rPrChange>
          </w:rPr>
          <w:t xml:space="preserve">Skrmetti</w:t>
        </w:r>
      </w:ins>
      <w:ins w:id="200598" w:author="Claude" w:date="2026-09-27T12:00:00Z">
        <w:r>
          <w:rPr>
            <w:color w:val="000000" w:themeColor="text1"/>
          </w:rPr>
          <w:t xml:space="preserve">, </w:t>
        </w:r>
      </w:ins>
      <w:ins w:id="200599" w:author="Claude" w:date="2026-09-27T12:00:00Z">
        <w:r>
          <w:rPr>
            <w:smallCaps/>
            <w:color w:val="000000" w:themeColor="text1"/>
          </w:rPr>
          <w:t xml:space="preserve">Humanum Rev</w:t>
        </w:r>
      </w:ins>
      <w:ins w:id="200600" w:author="Claude" w:date="2026-09-27T12:00:00Z">
        <w:r>
          <w:rPr>
            <w:color w:val="000000" w:themeColor="text1"/>
          </w:rPr>
          <w:t xml:space="preserve">. (May 16, 2025), https://humanumreview.com/articles/the-legal-and-cultural-context-of-skrmetti [create </w:t>
        </w:r>
      </w:ins>
      <w:ins w:id="200601" w:author="Claude" w:date="2026-09-27T12:00:00Z">
        <w:r>
          <w:rPr>
            <w:color w:val="000000" w:themeColor="text1"/>
          </w:rPr>
          <w:t xml:space="preserve">perma</w:t>
        </w:r>
      </w:ins>
      <w:ins w:id="200602" w:author="Claude" w:date="2026-09-27T12:00:00Z">
        <w:r>
          <w:rPr>
            <w:color w:val="000000" w:themeColor="text1"/>
          </w:rPr>
          <w:t xml:space="preserve"> link].</w:t>
        </w:r>
      </w:ins>
    </w:p>
  </w:footnote>
  <w:footnote w:id="729">
    <w:p w14:paraId="2DE373BC" w14:textId="77777777" w:rsidR="00A23742" w:rsidRPr="005B3E31" w:rsidRDefault="00A23742" w:rsidP="00A23742">
      <w:pPr>
        <w:pStyle w:val="FootnoteText"/>
        <w:spacing w:line="480" w:lineRule="auto"/>
        <w:rPr>
          <w:ins w:id="200623" w:author="Claude" w:date="2026-09-27T12:00:00Z"/>
          <w:color w:val="000000" w:themeColor="text1"/>
        </w:rPr>
      </w:pPr>
      <w:ins w:id="200604" w:author="Claude" w:date="2026-09-27T12:00:00Z">
        <w:r>
          <w:rPr>
            <w:rStyle w:val="FootnoteReference"/>
            <w:color w:val="000000" w:themeColor="text1"/>
          </w:rPr>
          <w:footnoteRef/>
        </w:r>
      </w:ins>
      <w:ins w:id="200605" w:author="Claude" w:date="2026-09-27T12:00:00Z">
        <w:r>
          <w:rPr>
            <w:color w:val="000000" w:themeColor="text1"/>
          </w:rPr>
          <w:t xml:space="preserve"> Ben Johnson &amp; Logan Strother, </w:t>
        </w:r>
      </w:ins>
      <w:ins w:id="200606" w:author="Claude" w:date="2026-09-27T12:00:00Z">
        <w:r>
          <w:rPr>
            <w:i/>
            <w:iCs/>
            <w:color w:val="000000" w:themeColor="text1"/>
          </w:rPr>
          <w:t xml:space="preserve">Does the US Supreme Court Respond to Public </w:t>
        </w:r>
      </w:ins>
      <w:ins w:id="200607" w:author="Claude" w:date="2026-09-27T12:00:00Z">
        <w:r>
          <w:rPr>
            <w:i/>
            <w:iCs/>
            <w:color w:val="000000" w:themeColor="text1"/>
          </w:rPr>
          <w:t xml:space="preserve">Opinion?</w:t>
        </w:r>
      </w:ins>
      <w:ins w:id="200608" w:author="Claude" w:date="2026-09-27T12:00:00Z">
        <w:r>
          <w:rPr>
            <w:color w:val="000000" w:themeColor="text1"/>
          </w:rPr>
          <w:t xml:space="preserve">,</w:t>
        </w:r>
      </w:ins>
      <w:ins w:id="200609" w:author="Claude" w:date="2026-09-27T12:00:00Z">
        <w:r>
          <w:rPr>
            <w:color w:val="000000" w:themeColor="text1"/>
          </w:rPr>
          <w:t xml:space="preserve"> </w:t>
        </w:r>
      </w:ins>
      <w:ins w:id="60005" w:author="Claude" w:date="2026-09-27T05:00:00Z">
        <w:r>
          <w:rPr>
            <w:i/>
            <w:iCs/>
            <w:color w:val="000000" w:themeColor="text1"/>
          </w:rPr>
          <w:t xml:space="preserve">in</w:t>
        </w:r>
      </w:ins>
      <w:ins w:id="60006" w:author="Claude" w:date="2026-09-27T05:00:00Z">
        <w:r>
          <w:rPr>
            <w:color w:val="000000" w:themeColor="text1"/>
          </w:rPr>
          <w:t xml:space="preserve"> </w:t>
        </w:r>
      </w:ins>
      <w:ins w:id="200610" w:author="Claude" w:date="2026-09-27T12:00:00Z">
        <w:r>
          <w:rPr>
            <w:smallCaps/>
            <w:color w:val="000000" w:themeColor="text1"/>
          </w:rPr>
          <w:t xml:space="preserve">Open </w:t>
        </w:r>
      </w:ins>
      <w:del w:id="60007" w:author="Claude" w:date="2026-09-27T05:00:00Z">
        <w:ins w:id="200611" w:author="Claude" w:date="2026-09-27T12:00:00Z">
          <w:r>
            <w:rPr>
              <w:smallCaps/>
              <w:color w:val="000000" w:themeColor="text1"/>
            </w:rPr>
            <w:delText xml:space="preserve">Jud. Pol.</w:delText>
          </w:r>
        </w:ins>
      </w:del>
      <w:del w:id="60008" w:author="Claude" w:date="2026-09-27T05:00:00Z">
        <w:ins w:id="200612" w:author="Claude" w:date="2026-09-27T12:00:00Z">
          <w:r>
            <w:rPr>
              <w:color w:val="000000" w:themeColor="text1"/>
            </w:rPr>
            <w:delText xml:space="preserve"> </w:delText>
          </w:r>
        </w:ins>
      </w:del>
      <w:ins w:id="60009" w:author="Claude" w:date="2026-09-27T05:00:00Z">
        <w:r>
          <w:rPr>
            <w:smallCaps/>
            <w:color w:val="000000" w:themeColor="text1"/>
          </w:rPr>
          <w:t xml:space="preserve">Judicial Politics</w:t>
        </w:r>
      </w:ins>
      <w:ins w:id="60010" w:author="Claude" w:date="2026-09-27T05:00:00Z">
        <w:r>
          <w:rPr>
            <w:color w:val="000000" w:themeColor="text1"/>
          </w:rPr>
          <w:t xml:space="preserve"> </w:t>
        </w:r>
      </w:ins>
      <w:ins w:id="200613" w:author="Claude" w:date="2026-09-27T12:00:00Z">
        <w:r>
          <w:rPr>
            <w:color w:val="000000" w:themeColor="text1"/>
          </w:rPr>
          <w:t xml:space="preserve">(</w:t>
        </w:r>
      </w:ins>
      <w:ins w:id="60011" w:author="Claude" w:date="2026-09-27T05:00:00Z">
        <w:r>
          <w:rPr>
            <w:color w:val="000000" w:themeColor="text1"/>
          </w:rPr>
          <w:t xml:space="preserve">Rorie Spill Solberg &amp; Eric Waltenburg eds., </w:t>
        </w:r>
      </w:ins>
      <w:ins w:id="200614" w:author="Claude" w:date="2026-09-27T12:00:00Z">
        <w:r>
          <w:rPr>
            <w:color w:val="000000" w:themeColor="text1"/>
          </w:rPr>
          <w:t xml:space="preserve">2021), https://open.oregonstate.education/open-judicial-politics/chapter/supreme-court-public-opinion/ [create </w:t>
        </w:r>
      </w:ins>
      <w:ins w:id="200615" w:author="Claude" w:date="2026-09-27T12:00:00Z">
        <w:r>
          <w:rPr>
            <w:color w:val="000000" w:themeColor="text1"/>
          </w:rPr>
          <w:t xml:space="preserve">perma</w:t>
        </w:r>
      </w:ins>
      <w:ins w:id="200616" w:author="Claude" w:date="2026-09-27T12:00:00Z">
        <w:r>
          <w:rPr>
            <w:color w:val="000000" w:themeColor="text1"/>
          </w:rPr>
          <w:t xml:space="preserve"> link]; </w:t>
        </w:r>
      </w:ins>
      <w:ins w:id="200617" w:author="Claude" w:date="2026-09-27T12:00:00Z">
        <w:r>
          <w:rPr>
            <w:i/>
            <w:iCs/>
            <w:color w:val="000000" w:themeColor="text1"/>
          </w:rPr>
          <w:t xml:space="preserve">see also</w:t>
        </w:r>
      </w:ins>
      <w:ins w:id="200618" w:author="Claude" w:date="2026-09-27T12:00:00Z">
        <w:r>
          <w:rPr>
            <w:color w:val="000000" w:themeColor="text1"/>
          </w:rPr>
          <w:t xml:space="preserve"> </w:t>
        </w:r>
      </w:ins>
      <w:ins w:id="200619" w:author="Claude" w:date="2026-09-27T12:00:00Z">
        <w:r>
          <w:rPr>
            <w:smallCaps/>
            <w:color w:val="000000" w:themeColor="text1"/>
          </w:rPr>
          <w:t xml:space="preserve">The Federalist</w:t>
        </w:r>
      </w:ins>
      <w:ins w:id="200620" w:author="Claude" w:date="2026-09-27T12:00:00Z">
        <w:r>
          <w:rPr>
            <w:color w:val="000000" w:themeColor="text1"/>
          </w:rPr>
          <w:t xml:space="preserve"> </w:t>
        </w:r>
      </w:ins>
      <w:ins w:id="200621" w:author="Claude" w:date="2026-09-27T12:00:00Z">
        <w:r>
          <w:rPr>
            <w:smallCaps/>
            <w:color w:val="000000" w:themeColor="text1"/>
            <w:rPrChange w:id="60012" w:author="Claude" w:date="2026-09-27T05:00:00Z">
              <w:rPr>
                <w:color w:val="000000" w:themeColor="text1"/>
              </w:rPr>
            </w:rPrChange>
          </w:rPr>
          <w:t xml:space="preserve">No. 78</w:t>
        </w:r>
      </w:ins>
      <w:ins w:id="200622" w:author="Claude" w:date="2026-09-27T12:00:00Z">
        <w:r>
          <w:rPr>
            <w:color w:val="000000" w:themeColor="text1"/>
          </w:rPr>
          <w:t xml:space="preserve"> (Alexander Hamilton).</w:t>
        </w:r>
      </w:ins>
    </w:p>
  </w:footnote>
  <w:footnote w:id="730">
    <w:p w14:paraId="2965AAD9" w14:textId="77777777" w:rsidR="00A23742" w:rsidRPr="005B3E31" w:rsidRDefault="00A23742" w:rsidP="00A23742">
      <w:pPr>
        <w:pStyle w:val="FootnoteText"/>
        <w:spacing w:line="480" w:lineRule="auto"/>
        <w:rPr>
          <w:ins w:id="200637" w:author="Claude" w:date="2026-09-27T12:00:00Z"/>
          <w:color w:val="000000" w:themeColor="text1"/>
        </w:rPr>
      </w:pPr>
      <w:ins w:id="200624" w:author="Claude" w:date="2026-09-27T12:00:00Z">
        <w:r>
          <w:rPr>
            <w:rStyle w:val="FootnoteReference"/>
            <w:color w:val="000000" w:themeColor="text1"/>
          </w:rPr>
          <w:footnoteRef/>
        </w:r>
      </w:ins>
      <w:ins w:id="200625" w:author="Claude" w:date="2026-09-27T12:00:00Z">
        <w:r>
          <w:rPr>
            <w:color w:val="000000" w:themeColor="text1"/>
          </w:rPr>
          <w:t xml:space="preserve"> Pippa Norris, </w:t>
        </w:r>
      </w:ins>
      <w:ins w:id="200626" w:author="Claude" w:date="2026-09-27T12:00:00Z">
        <w:r>
          <w:rPr>
            <w:i/>
            <w:iCs/>
            <w:color w:val="000000" w:themeColor="text1"/>
          </w:rPr>
          <w:t xml:space="preserve">Closed Minds? Is a ‘Cancel Culture’ Stifling Academic Freedom and Intellectual Debate in Political </w:t>
        </w:r>
      </w:ins>
      <w:ins w:id="200627" w:author="Claude" w:date="2026-09-27T12:00:00Z">
        <w:r>
          <w:rPr>
            <w:i/>
            <w:iCs/>
            <w:color w:val="000000" w:themeColor="text1"/>
          </w:rPr>
          <w:t xml:space="preserve">Science</w:t>
        </w:r>
      </w:ins>
      <w:del w:id="60013" w:author="Claude" w:date="2026-09-27T05:00:00Z">
        <w:ins w:id="200628" w:author="Claude" w:date="2026-09-27T12:00:00Z">
          <w:r>
            <w:rPr>
              <w:i/>
              <w:iCs/>
              <w:color w:val="000000" w:themeColor="text1"/>
            </w:rPr>
            <w:delText xml:space="preserve">?</w:delText>
          </w:r>
        </w:ins>
      </w:del>
      <w:del w:id="60014" w:author="Claude" w:date="2026-09-27T05:00:00Z">
        <w:ins w:id="200629" w:author="Claude" w:date="2026-09-27T12:00:00Z">
          <w:r>
            <w:rPr>
              <w:color w:val="000000" w:themeColor="text1"/>
            </w:rPr>
            <w:delText xml:space="preserve">,</w:delText>
          </w:r>
        </w:ins>
      </w:del>
      <w:del w:id="60015" w:author="Claude" w:date="2026-09-27T05:00:00Z">
        <w:ins w:id="200630" w:author="Claude" w:date="2026-09-27T12:00:00Z">
          <w:r>
            <w:rPr>
              <w:color w:val="000000" w:themeColor="text1"/>
            </w:rPr>
            <w:delText xml:space="preserve"> </w:delText>
          </w:r>
        </w:ins>
      </w:del>
      <w:del w:id="60016" w:author="Claude" w:date="2026-09-27T05:00:00Z">
        <w:ins w:id="200631" w:author="Claude" w:date="2026-09-27T12:00:00Z">
          <w:r>
            <w:rPr>
              <w:smallCaps/>
              <w:color w:val="000000" w:themeColor="text1"/>
            </w:rPr>
            <w:delText xml:space="preserve">Ssrn</w:delText>
          </w:r>
        </w:ins>
      </w:del>
      <w:del w:id="60017" w:author="Claude" w:date="2026-09-27T05:00:00Z">
        <w:ins w:id="200632" w:author="Claude" w:date="2026-09-27T12:00:00Z">
          <w:r>
            <w:rPr>
              <w:smallCaps/>
              <w:color w:val="000000" w:themeColor="text1"/>
            </w:rPr>
            <w:delText xml:space="preserve"> Elec. J</w:delText>
          </w:r>
        </w:ins>
      </w:del>
      <w:del w:id="60018" w:author="Claude" w:date="2026-09-27T05:00:00Z">
        <w:ins w:id="200633" w:author="Claude" w:date="2026-09-27T12:00:00Z">
          <w:r>
            <w:rPr>
              <w:color w:val="000000" w:themeColor="text1"/>
            </w:rPr>
            <w:delText xml:space="preserve">. </w:delText>
          </w:r>
        </w:ins>
      </w:del>
      <w:ins w:id="60019" w:author="Claude" w:date="2026-09-27T05:00:00Z">
        <w:r>
          <w:rPr>
            <w:i/>
            <w:iCs/>
            <w:color w:val="000000" w:themeColor="text1"/>
          </w:rPr>
          <w:t xml:space="preserve">?</w:t>
        </w:r>
      </w:ins>
      <w:ins w:id="60020" w:author="Claude" w:date="2026-09-27T05:00:00Z">
        <w:r>
          <w:rPr>
            <w:color w:val="000000" w:themeColor="text1"/>
          </w:rPr>
          <w:t xml:space="preserve"> </w:t>
        </w:r>
      </w:ins>
      <w:ins w:id="200634" w:author="Claude" w:date="2026-09-27T12:00:00Z">
        <w:r>
          <w:rPr>
            <w:color w:val="000000" w:themeColor="text1"/>
          </w:rPr>
          <w:t xml:space="preserve">2 (</w:t>
        </w:r>
      </w:ins>
      <w:ins w:id="60021" w:author="Claude" w:date="2026-09-27T05:00:00Z">
        <w:r>
          <w:rPr>
            <w:color w:val="000000" w:themeColor="text1"/>
          </w:rPr>
          <w:t xml:space="preserve">Harv. Kennedy Sch. Faculty Rsch. Working Paper No. RWP20-025, </w:t>
        </w:r>
      </w:ins>
      <w:ins w:id="200635" w:author="Claude" w:date="2026-09-27T12:00:00Z">
        <w:r>
          <w:rPr>
            <w:color w:val="000000" w:themeColor="text1"/>
          </w:rPr>
          <w:t xml:space="preserve">2020)</w:t>
        </w:r>
      </w:ins>
      <w:ins w:id="60022" w:author="Claude" w:date="2026-09-27T05:00:00Z">
        <w:r>
          <w:rPr>
            <w:color w:val="000000" w:themeColor="text1"/>
          </w:rPr>
          <w:t xml:space="preserve">, https://ssrn</w:t>
        </w:r>
      </w:ins>
      <w:ins w:id="200636" w:author="Claude" w:date="2026-09-27T12:00:00Z">
        <w:r>
          <w:rPr>
            <w:color w:val="000000" w:themeColor="text1"/>
          </w:rPr>
          <w:t xml:space="preserve">.</w:t>
        </w:r>
      </w:ins>
      <w:ins w:id="60023" w:author="Claude" w:date="2026-09-27T05:00:00Z">
        <w:r>
          <w:rPr>
            <w:color w:val="000000" w:themeColor="text1"/>
          </w:rPr>
          <w:t xml:space="preserve">com/abstract=3671026 [create perma link].</w:t>
        </w:r>
      </w:ins>
    </w:p>
  </w:footnote>
  <w:footnote w:id="731">
    <w:p w14:paraId="56FB532D" w14:textId="74763059" w:rsidR="00010785" w:rsidRPr="005B3E31" w:rsidRDefault="00010785" w:rsidP="003D74D8">
      <w:pPr>
        <w:pStyle w:val="FootnoteText"/>
        <w:spacing w:line="480" w:lineRule="auto"/>
        <w:rPr>
          <w:ins w:id="200649" w:author="Claude" w:date="2026-09-27T12:00:00Z"/>
          <w:color w:val="000000" w:themeColor="text1"/>
        </w:rPr>
      </w:pPr>
      <w:ins w:id="200638" w:author="Claude" w:date="2026-09-27T12:00:00Z">
        <w:r>
          <w:rPr>
            <w:rStyle w:val="FootnoteReference"/>
            <w:color w:val="000000" w:themeColor="text1"/>
          </w:rPr>
          <w:footnoteRef/>
        </w:r>
      </w:ins>
      <w:ins w:id="200639" w:author="Claude" w:date="2026-09-27T12:00:00Z">
        <w:r>
          <w:rPr>
            <w:color w:val="000000" w:themeColor="text1"/>
          </w:rPr>
          <w:t xml:space="preserve"> Sarah </w:t>
        </w:r>
      </w:ins>
      <w:ins w:id="200640" w:author="Claude" w:date="2026-09-27T12:00:00Z">
        <w:r>
          <w:rPr>
            <w:color w:val="000000" w:themeColor="text1"/>
          </w:rPr>
          <w:t xml:space="preserve">Isgur</w:t>
        </w:r>
      </w:ins>
      <w:ins w:id="200641" w:author="Claude" w:date="2026-09-27T12:00:00Z">
        <w:r>
          <w:rPr>
            <w:color w:val="000000" w:themeColor="text1"/>
          </w:rPr>
          <w:t xml:space="preserve"> &amp; David French, </w:t>
        </w:r>
      </w:ins>
      <w:ins w:id="200642" w:author="Claude" w:date="2026-09-27T12:00:00Z">
        <w:r>
          <w:rPr>
            <w:i/>
            <w:iCs/>
            <w:color w:val="000000" w:themeColor="text1"/>
          </w:rPr>
          <w:t xml:space="preserve">Political Distortions</w:t>
        </w:r>
      </w:ins>
      <w:ins w:id="200643" w:author="Claude" w:date="2026-09-27T12:00:00Z">
        <w:r>
          <w:rPr>
            <w:color w:val="000000" w:themeColor="text1"/>
          </w:rPr>
          <w:t xml:space="preserve">, </w:t>
        </w:r>
      </w:ins>
      <w:del w:id="60024" w:author="Claude" w:date="2026-09-27T05:00:00Z">
        <w:ins w:id="200644" w:author="Claude" w:date="2026-09-27T12:00:00Z">
          <w:r>
            <w:rPr>
              <w:smallCaps/>
              <w:color w:val="000000" w:themeColor="text1"/>
            </w:rPr>
            <w:delText xml:space="preserve">The </w:delText>
          </w:r>
        </w:ins>
      </w:del>
      <w:ins w:id="200645" w:author="Claude" w:date="2026-09-27T12:00:00Z">
        <w:r>
          <w:rPr>
            <w:smallCaps/>
            <w:color w:val="000000" w:themeColor="text1"/>
          </w:rPr>
          <w:t xml:space="preserve">Dispatch: Advisory Opinions</w:t>
        </w:r>
      </w:ins>
      <w:ins w:id="200646" w:author="Claude" w:date="2026-09-27T12:00:00Z">
        <w:r>
          <w:rPr>
            <w:color w:val="000000" w:themeColor="text1"/>
          </w:rPr>
          <w:t xml:space="preserve"> (Dec. 18, 2025), https://thedispatch.com/podcast/advisoryopinions/political-distortions/ [create </w:t>
        </w:r>
      </w:ins>
      <w:ins w:id="200647" w:author="Claude" w:date="2026-09-27T12:00:00Z">
        <w:r>
          <w:rPr>
            <w:color w:val="000000" w:themeColor="text1"/>
          </w:rPr>
          <w:t xml:space="preserve">perma</w:t>
        </w:r>
      </w:ins>
      <w:ins w:id="200648" w:author="Claude" w:date="2026-09-27T12:00:00Z">
        <w:r>
          <w:rPr>
            <w:color w:val="000000" w:themeColor="text1"/>
          </w:rPr>
          <w:t xml:space="preserve"> link].</w:t>
        </w:r>
      </w:ins>
    </w:p>
  </w:footnote>
  <w:footnote w:id="732">
    <w:p w14:paraId="5083F5AB" w14:textId="5A248D8A" w:rsidR="00010785" w:rsidRPr="005B3E31" w:rsidRDefault="00010785" w:rsidP="003D74D8">
      <w:pPr>
        <w:pStyle w:val="FootnoteText"/>
        <w:spacing w:line="480" w:lineRule="auto"/>
        <w:rPr>
          <w:ins w:id="200678" w:author="Claude" w:date="2026-09-27T12:00:00Z"/>
          <w:color w:val="000000" w:themeColor="text1"/>
        </w:rPr>
      </w:pPr>
      <w:ins w:id="200650" w:author="Claude" w:date="2026-09-27T12:00:00Z">
        <w:r>
          <w:rPr>
            <w:rStyle w:val="FootnoteReference"/>
            <w:color w:val="000000" w:themeColor="text1"/>
          </w:rPr>
          <w:footnoteRef/>
        </w:r>
      </w:ins>
      <w:ins w:id="200651" w:author="Claude" w:date="2026-09-27T12:00:00Z">
        <w:r>
          <w:rPr>
            <w:color w:val="000000" w:themeColor="text1"/>
          </w:rPr>
          <w:t xml:space="preserve"> </w:t>
        </w:r>
      </w:ins>
      <w:ins w:id="200652" w:author="Claude" w:date="2026-09-27T12:00:00Z">
        <w:r>
          <w:rPr>
            <w:i/>
            <w:iCs/>
            <w:color w:val="000000" w:themeColor="text1"/>
          </w:rPr>
          <w:t xml:space="preserve">Id.</w:t>
        </w:r>
      </w:ins>
      <w:ins w:id="200653" w:author="Claude" w:date="2026-09-27T12:00:00Z">
        <w:r>
          <w:rPr>
            <w:color w:val="000000" w:themeColor="text1"/>
          </w:rPr>
          <w:t xml:space="preserve">; Helen Andrews, </w:t>
        </w:r>
      </w:ins>
      <w:ins w:id="200654" w:author="Claude" w:date="2026-09-27T12:00:00Z">
        <w:r>
          <w:rPr>
            <w:i/>
            <w:iCs/>
            <w:color w:val="000000" w:themeColor="text1"/>
          </w:rPr>
          <w:t xml:space="preserve">What Happened to the ACLU</w:t>
        </w:r>
      </w:ins>
      <w:ins w:id="200655" w:author="Claude" w:date="2026-09-27T12:00:00Z">
        <w:r>
          <w:rPr>
            <w:color w:val="000000" w:themeColor="text1"/>
          </w:rPr>
          <w:t xml:space="preserve">, </w:t>
        </w:r>
      </w:ins>
      <w:ins w:id="200656" w:author="Claude" w:date="2026-09-27T12:00:00Z">
        <w:r>
          <w:rPr>
            <w:smallCaps/>
            <w:color w:val="000000" w:themeColor="text1"/>
          </w:rPr>
          <w:t xml:space="preserve">First Things</w:t>
        </w:r>
      </w:ins>
      <w:ins w:id="200657" w:author="Claude" w:date="2026-09-27T12:00:00Z">
        <w:r>
          <w:rPr>
            <w:color w:val="000000" w:themeColor="text1"/>
          </w:rPr>
          <w:t xml:space="preserve"> (Dec. 1, 2023), https://www.firstthings.com/article/2023/12/what-happened-to-the-aclu [create </w:t>
        </w:r>
      </w:ins>
      <w:ins w:id="200658" w:author="Claude" w:date="2026-09-27T12:00:00Z">
        <w:r>
          <w:rPr>
            <w:color w:val="000000" w:themeColor="text1"/>
          </w:rPr>
          <w:t xml:space="preserve">perma</w:t>
        </w:r>
      </w:ins>
      <w:ins w:id="200659" w:author="Claude" w:date="2026-09-27T12:00:00Z">
        <w:r>
          <w:rPr>
            <w:color w:val="000000" w:themeColor="text1"/>
          </w:rPr>
          <w:t xml:space="preserve"> link] (describing organizational transformation in which Chase </w:t>
        </w:r>
      </w:ins>
      <w:ins w:id="200660" w:author="Claude" w:date="2026-09-27T12:00:00Z">
        <w:r>
          <w:rPr>
            <w:color w:val="000000" w:themeColor="text1"/>
          </w:rPr>
          <w:t xml:space="preserve">Strangio</w:t>
        </w:r>
      </w:ins>
      <w:ins w:id="200661" w:author="Claude" w:date="2026-09-27T12:00:00Z">
        <w:r>
          <w:rPr>
            <w:color w:val="000000" w:themeColor="text1"/>
          </w:rPr>
          <w:t xml:space="preserve">, who argued </w:t>
        </w:r>
      </w:ins>
      <w:ins w:id="200662" w:author="Claude" w:date="2026-09-27T12:00:00Z">
        <w:r>
          <w:rPr>
            <w:i/>
            <w:iCs/>
            <w:color w:val="000000" w:themeColor="text1"/>
          </w:rPr>
          <w:t xml:space="preserve">Skrmetti</w:t>
        </w:r>
      </w:ins>
      <w:ins w:id="200663" w:author="Claude" w:date="2026-09-27T12:00:00Z">
        <w:r>
          <w:rPr>
            <w:color w:val="000000" w:themeColor="text1"/>
          </w:rPr>
          <w:t xml:space="preserve">, tweeted that stopping circulation of a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a former Racial Justice Program head’s statement that “First Amendment protections are disproportionately enjoyed by people of power and privilege”); </w:t>
        </w:r>
      </w:ins>
      <w:ins w:id="200664" w:author="Claude" w:date="2026-09-27T12:00:00Z">
        <w:r>
          <w:rPr>
            <w:i/>
            <w:iCs/>
            <w:color w:val="000000" w:themeColor="text1"/>
          </w:rPr>
          <w:t xml:space="preserve">see also </w:t>
        </w:r>
      </w:ins>
      <w:ins w:id="200665" w:author="Claude" w:date="2026-09-27T12:00:00Z">
        <w:r>
          <w:rPr>
            <w:color w:val="000000" w:themeColor="text1"/>
          </w:rPr>
          <w:t xml:space="preserve">Andrew Sullivan, </w:t>
        </w:r>
      </w:ins>
      <w:ins w:id="200666" w:author="Claude" w:date="2026-09-27T12:00:00Z">
        <w:r>
          <w:rPr>
            <w:i/>
            <w:iCs/>
            <w:color w:val="000000" w:themeColor="text1"/>
          </w:rPr>
          <w:t xml:space="preserve">Strangio</w:t>
        </w:r>
      </w:ins>
      <w:ins w:id="200667" w:author="Claude" w:date="2026-09-27T12:00:00Z">
        <w:r>
          <w:rPr>
            <w:i/>
            <w:iCs/>
            <w:color w:val="000000" w:themeColor="text1"/>
          </w:rPr>
          <w:t xml:space="preserve"> Things</w:t>
        </w:r>
      </w:ins>
      <w:ins w:id="200668" w:author="Claude" w:date="2026-09-27T12:00:00Z">
        <w:r>
          <w:rPr>
            <w:color w:val="000000" w:themeColor="text1"/>
          </w:rPr>
          <w:t xml:space="preserve">, </w:t>
        </w:r>
      </w:ins>
      <w:del w:id="60025" w:author="Claude" w:date="2026-09-27T05:00:00Z">
        <w:ins w:id="200669" w:author="Claude" w:date="2026-09-27T12:00:00Z">
          <w:r>
            <w:rPr>
              <w:smallCaps/>
              <w:color w:val="000000" w:themeColor="text1"/>
            </w:rPr>
            <w:delText xml:space="preserve">The </w:delText>
          </w:r>
        </w:ins>
      </w:del>
      <w:ins w:id="200670" w:author="Claude" w:date="2026-09-27T12:00:00Z">
        <w:r>
          <w:rPr>
            <w:smallCaps/>
            <w:color w:val="000000" w:themeColor="text1"/>
          </w:rPr>
          <w:t xml:space="preserve">Weekly Dish</w:t>
        </w:r>
      </w:ins>
      <w:ins w:id="200671" w:author="Claude" w:date="2026-09-27T12:00:00Z">
        <w:r>
          <w:rPr>
            <w:color w:val="000000" w:themeColor="text1"/>
          </w:rPr>
          <w:t xml:space="preserve"> (June 20, 2025), https://andrewsullivan.substack.com/p/strangio-things-ab3 [create </w:t>
        </w:r>
      </w:ins>
      <w:ins w:id="200672" w:author="Claude" w:date="2026-09-27T12:00:00Z">
        <w:r>
          <w:rPr>
            <w:color w:val="000000" w:themeColor="text1"/>
          </w:rPr>
          <w:t xml:space="preserve">perma</w:t>
        </w:r>
      </w:ins>
      <w:ins w:id="200673" w:author="Claude" w:date="2026-09-27T12:00:00Z">
        <w:r>
          <w:rPr>
            <w:color w:val="000000" w:themeColor="text1"/>
          </w:rPr>
          <w:t xml:space="preserve"> link] (</w:t>
        </w:r>
      </w:ins>
      <w:ins w:id="60026" w:author="Claude" w:date="2026-09-27T05:00:00Z">
        <w:r>
          <w:rPr>
            <w:color w:val="000000" w:themeColor="text1"/>
          </w:rPr>
          <w:t xml:space="preserve">noting that </w:t>
        </w:r>
      </w:ins>
      <w:ins w:id="200674" w:author="Claude" w:date="2026-09-27T12:00:00Z">
        <w:r>
          <w:rPr>
            <w:color w:val="000000" w:themeColor="text1"/>
          </w:rPr>
          <w:t xml:space="preserve">Strangio</w:t>
        </w:r>
      </w:ins>
      <w:ins w:id="200675" w:author="Claude" w:date="2026-09-27T12:00:00Z">
        <w:r>
          <w:rPr>
            <w:color w:val="000000" w:themeColor="text1"/>
          </w:rPr>
          <w:t xml:space="preserve"> described himself as “a constitutional lawyer who fundamentally doesn’t believe in the Constitution</w:t>
        </w:r>
      </w:ins>
      <w:del w:id="60027" w:author="Claude" w:date="2026-09-27T05:00:00Z">
        <w:ins w:id="200676" w:author="Claude" w:date="2026-09-27T12:00:00Z">
          <w:r>
            <w:rPr>
              <w:color w:val="000000" w:themeColor="text1"/>
            </w:rPr>
            <w:delText xml:space="preserve">.</w:delText>
          </w:r>
        </w:ins>
      </w:del>
      <w:ins w:id="200677" w:author="Claude" w:date="2026-09-27T12:00:00Z">
        <w:r>
          <w:rPr>
            <w:color w:val="000000" w:themeColor="text1"/>
          </w:rPr>
          <w:t xml:space="preserve">”).</w:t>
        </w:r>
      </w:ins>
    </w:p>
  </w:footnote>
  <w:footnote w:id="733">
    <w:p w14:paraId="39D5E94F" w14:textId="69915B75" w:rsidR="008809AB" w:rsidRPr="005B3E31" w:rsidRDefault="008809AB" w:rsidP="003D74D8">
      <w:pPr>
        <w:pStyle w:val="FootnoteText"/>
        <w:spacing w:line="480" w:lineRule="auto"/>
        <w:rPr>
          <w:ins w:id="200722" w:author="Claude" w:date="2026-09-27T12:00:00Z"/>
          <w:color w:val="000000" w:themeColor="text1"/>
        </w:rPr>
      </w:pPr>
      <w:ins w:id="200679" w:author="Claude" w:date="2026-09-27T12:00:00Z">
        <w:r>
          <w:rPr>
            <w:rStyle w:val="FootnoteReference"/>
            <w:color w:val="000000" w:themeColor="text1"/>
          </w:rPr>
          <w:footnoteRef/>
        </w:r>
      </w:ins>
      <w:ins w:id="200680" w:author="Claude" w:date="2026-09-27T12:00:00Z">
        <w:r>
          <w:rPr>
            <w:color w:val="000000" w:themeColor="text1"/>
          </w:rPr>
          <w:t xml:space="preserve"> Michael Powell, </w:t>
        </w:r>
      </w:ins>
      <w:ins w:id="200681" w:author="Claude" w:date="2026-09-27T12:00:00Z">
        <w:r>
          <w:rPr>
            <w:i/>
            <w:iCs/>
            <w:color w:val="000000" w:themeColor="text1"/>
          </w:rPr>
          <w:t xml:space="preserve">Once a Bastion of Free Speech, the ACLU Faces an Identity Crisis</w:t>
        </w:r>
      </w:ins>
      <w:ins w:id="200682" w:author="Claude" w:date="2026-09-27T12:00:00Z">
        <w:r>
          <w:rPr>
            <w:color w:val="000000" w:themeColor="text1"/>
          </w:rPr>
          <w:t xml:space="preserve">, </w:t>
        </w:r>
      </w:ins>
      <w:ins w:id="200683" w:author="Claude" w:date="2026-09-27T12:00:00Z">
        <w:r>
          <w:rPr>
            <w:smallCaps/>
            <w:color w:val="000000" w:themeColor="text1"/>
          </w:rPr>
          <w:t xml:space="preserve">N.Y. Times</w:t>
        </w:r>
      </w:ins>
      <w:ins w:id="200684" w:author="Claude" w:date="2026-09-27T12:00:00Z">
        <w:r>
          <w:rPr>
            <w:color w:val="000000" w:themeColor="text1"/>
          </w:rPr>
          <w:t xml:space="preserve"> (June 6, 2021), https://www.nytimes.com/2021/06/06/us/aclu-free-speech.html [create </w:t>
        </w:r>
      </w:ins>
      <w:ins w:id="200685" w:author="Claude" w:date="2026-09-27T12:00:00Z">
        <w:r>
          <w:rPr>
            <w:color w:val="000000" w:themeColor="text1"/>
          </w:rPr>
          <w:t xml:space="preserve">perma</w:t>
        </w:r>
      </w:ins>
      <w:ins w:id="200686" w:author="Claude" w:date="2026-09-27T12:00:00Z">
        <w:r>
          <w:rPr>
            <w:color w:val="000000" w:themeColor="text1"/>
          </w:rPr>
          <w:t xml:space="preserve"> link]; </w:t>
        </w:r>
      </w:ins>
      <w:ins w:id="200687" w:author="Claude" w:date="2026-09-27T12:00:00Z">
        <w:r>
          <w:rPr>
            <w:i/>
            <w:iCs/>
            <w:color w:val="000000" w:themeColor="text1"/>
          </w:rPr>
          <w:t xml:space="preserve">see also</w:t>
        </w:r>
      </w:ins>
      <w:ins w:id="200688" w:author="Claude" w:date="2026-09-27T12:00:00Z">
        <w:r>
          <w:rPr>
            <w:color w:val="000000" w:themeColor="text1"/>
          </w:rPr>
          <w:t xml:space="preserve"> Molly Redden, </w:t>
        </w:r>
      </w:ins>
      <w:ins w:id="200689" w:author="Claude" w:date="2026-09-27T12:00:00Z">
        <w:r>
          <w:rPr>
            <w:i/>
            <w:iCs/>
            <w:color w:val="000000" w:themeColor="text1"/>
          </w:rPr>
          <w:t xml:space="preserve">Top ACLU Executive Is Out Following Years </w:t>
        </w:r>
      </w:ins>
      <w:del w:id="60028" w:author="Claude" w:date="2026-09-27T05:00:00Z">
        <w:ins w:id="200690" w:author="Claude" w:date="2026-09-27T12:00:00Z">
          <w:r>
            <w:rPr>
              <w:i/>
              <w:iCs/>
              <w:color w:val="000000" w:themeColor="text1"/>
            </w:rPr>
            <w:delText xml:space="preserve">Of </w:delText>
          </w:r>
        </w:ins>
      </w:del>
      <w:ins w:id="60029" w:author="Claude" w:date="2026-09-27T05:00:00Z">
        <w:r>
          <w:rPr>
            <w:i/>
            <w:iCs/>
            <w:color w:val="000000" w:themeColor="text1"/>
          </w:rPr>
          <w:t xml:space="preserve">of </w:t>
        </w:r>
      </w:ins>
      <w:ins w:id="200691" w:author="Claude" w:date="2026-09-27T12:00:00Z">
        <w:r>
          <w:rPr>
            <w:i/>
            <w:iCs/>
            <w:color w:val="000000" w:themeColor="text1"/>
          </w:rPr>
          <w:t xml:space="preserve">Complaints </w:t>
        </w:r>
      </w:ins>
      <w:del w:id="60030" w:author="Claude" w:date="2026-09-27T05:00:00Z">
        <w:ins w:id="200692" w:author="Claude" w:date="2026-09-27T12:00:00Z">
          <w:r>
            <w:rPr>
              <w:i/>
              <w:iCs/>
              <w:color w:val="000000" w:themeColor="text1"/>
            </w:rPr>
            <w:delText xml:space="preserve">And An </w:delText>
          </w:r>
        </w:ins>
      </w:del>
      <w:ins w:id="60031" w:author="Claude" w:date="2026-09-27T05:00:00Z">
        <w:r>
          <w:rPr>
            <w:i/>
            <w:iCs/>
            <w:color w:val="000000" w:themeColor="text1"/>
          </w:rPr>
          <w:t xml:space="preserve">and an </w:t>
        </w:r>
      </w:ins>
      <w:ins w:id="200693" w:author="Claude" w:date="2026-09-27T12:00:00Z">
        <w:r>
          <w:rPr>
            <w:i/>
            <w:iCs/>
            <w:color w:val="000000" w:themeColor="text1"/>
          </w:rPr>
          <w:t xml:space="preserve">Outside Investigation</w:t>
        </w:r>
      </w:ins>
      <w:ins w:id="200694" w:author="Claude" w:date="2026-09-27T12:00:00Z">
        <w:r>
          <w:rPr>
            <w:color w:val="000000" w:themeColor="text1"/>
          </w:rPr>
          <w:t xml:space="preserve">, </w:t>
        </w:r>
      </w:ins>
      <w:ins w:id="200695" w:author="Claude" w:date="2026-09-27T12:00:00Z">
        <w:r>
          <w:rPr>
            <w:smallCaps/>
            <w:color w:val="000000" w:themeColor="text1"/>
          </w:rPr>
          <w:t xml:space="preserve">HuffPost</w:t>
        </w:r>
      </w:ins>
      <w:ins w:id="200696" w:author="Claude" w:date="2026-09-27T12:00:00Z">
        <w:r>
          <w:rPr>
            <w:color w:val="000000" w:themeColor="text1"/>
          </w:rPr>
          <w:t xml:space="preserve"> (Feb. 17, 2022, </w:t>
        </w:r>
      </w:ins>
      <w:del w:id="60032" w:author="Claude" w:date="2026-09-27T05:00:00Z">
        <w:ins w:id="200697" w:author="Claude" w:date="2026-09-27T12:00:00Z">
          <w:r>
            <w:rPr>
              <w:color w:val="000000" w:themeColor="text1"/>
            </w:rPr>
            <w:delText xml:space="preserve">at 20</w:delText>
          </w:r>
        </w:ins>
      </w:del>
      <w:ins w:id="60033" w:author="Claude" w:date="2026-09-27T05:00:00Z">
        <w:r>
          <w:rPr>
            <w:color w:val="000000" w:themeColor="text1"/>
          </w:rPr>
          <w:t xml:space="preserve">8</w:t>
        </w:r>
      </w:ins>
      <w:ins w:id="200698" w:author="Claude" w:date="2026-09-27T12:00:00Z">
        <w:r>
          <w:rPr>
            <w:color w:val="000000" w:themeColor="text1"/>
          </w:rPr>
          <w:t xml:space="preserve">:17 </w:t>
        </w:r>
      </w:ins>
      <w:del w:id="60034" w:author="Claude" w:date="2026-09-27T05:00:00Z">
        <w:ins w:id="200699" w:author="Claude" w:date="2026-09-27T12:00:00Z">
          <w:r>
            <w:rPr>
              <w:color w:val="000000" w:themeColor="text1"/>
            </w:rPr>
            <w:delText xml:space="preserve">EST</w:delText>
          </w:r>
        </w:ins>
      </w:del>
      <w:ins w:id="60035" w:author="Claude" w:date="2026-09-27T05:00:00Z">
        <w:r>
          <w:rPr>
            <w:color w:val="000000" w:themeColor="text1"/>
          </w:rPr>
          <w:t xml:space="preserve">PM</w:t>
        </w:r>
      </w:ins>
      <w:ins w:id="200700" w:author="Claude" w:date="2026-09-27T12:00:00Z">
        <w:r>
          <w:rPr>
            <w:color w:val="000000" w:themeColor="text1"/>
            <w:shd w:val="clear" w:color="auto" w:fill="FFFFFF"/>
          </w:rPr>
          <w:t xml:space="preserve">), https://www.huffpost.com/entry/aclu-executive-ronald-newman_n_620ec196e4b06212585a8620 </w:t>
        </w:r>
      </w:ins>
      <w:ins w:id="200701" w:author="Claude" w:date="2026-09-27T12:00:00Z">
        <w:r>
          <w:rPr>
            <w:color w:val="000000" w:themeColor="text1"/>
          </w:rPr>
          <w:t xml:space="preserve">[create </w:t>
        </w:r>
      </w:ins>
      <w:ins w:id="200702" w:author="Claude" w:date="2026-09-27T12:00:00Z">
        <w:r>
          <w:rPr>
            <w:color w:val="000000" w:themeColor="text1"/>
          </w:rPr>
          <w:t xml:space="preserve">perma</w:t>
        </w:r>
      </w:ins>
      <w:ins w:id="200703" w:author="Claude" w:date="2026-09-27T12:00:00Z">
        <w:r>
          <w:rPr>
            <w:color w:val="000000" w:themeColor="text1"/>
          </w:rPr>
          <w:t xml:space="preserve"> link] (“[T]he ACLU has lost the ability to effectively advocate on some of its core issues”); </w:t>
        </w:r>
      </w:ins>
      <w:del w:id="60036" w:author="Claude" w:date="2026-09-27T05:00:00Z">
        <w:ins w:id="200704" w:author="Claude" w:date="2026-09-27T12:00:00Z">
          <w:r>
            <w:rPr>
              <w:i/>
              <w:iCs/>
              <w:color w:val="000000" w:themeColor="text1"/>
            </w:rPr>
            <w:delText xml:space="preserve">see also</w:delText>
          </w:r>
        </w:ins>
      </w:del>
      <w:del w:id="60037" w:author="Claude" w:date="2026-09-27T05:00:00Z">
        <w:ins w:id="200705" w:author="Claude" w:date="2026-09-27T12:00:00Z">
          <w:r>
            <w:rPr>
              <w:color w:val="000000" w:themeColor="text1"/>
            </w:rPr>
            <w:delText xml:space="preserve"> </w:delText>
          </w:r>
        </w:ins>
      </w:del>
      <w:ins w:id="200706" w:author="Claude" w:date="2026-09-27T12:00:00Z">
        <w:r>
          <w:rPr>
            <w:color w:val="000000" w:themeColor="text1"/>
          </w:rPr>
          <w:t xml:space="preserve">Ryan Grim, </w:t>
        </w:r>
      </w:ins>
      <w:ins w:id="200707" w:author="Claude" w:date="2026-09-27T12:00:00Z">
        <w:r>
          <w:rPr>
            <w:i/>
            <w:iCs/>
            <w:color w:val="000000" w:themeColor="text1"/>
          </w:rPr>
          <w:t xml:space="preserve">Elephant in the Zoom: Meltdowns Have Brought Progressive Advocacy Groups to a Standstill at a Critical Moment in World History</w:t>
        </w:r>
      </w:ins>
      <w:ins w:id="200708" w:author="Claude" w:date="2026-09-27T12:00:00Z">
        <w:r>
          <w:rPr>
            <w:color w:val="000000" w:themeColor="text1"/>
          </w:rPr>
          <w:t xml:space="preserve">, </w:t>
        </w:r>
      </w:ins>
      <w:del w:id="60038" w:author="Claude" w:date="2026-09-27T05:00:00Z">
        <w:ins w:id="200709" w:author="Claude" w:date="2026-09-27T12:00:00Z">
          <w:r>
            <w:rPr>
              <w:smallCaps/>
              <w:color w:val="000000" w:themeColor="text1"/>
            </w:rPr>
            <w:delText xml:space="preserve">The </w:delText>
          </w:r>
        </w:ins>
      </w:del>
      <w:ins w:id="200710" w:author="Claude" w:date="2026-09-27T12:00:00Z">
        <w:r>
          <w:rPr>
            <w:smallCaps/>
            <w:color w:val="000000" w:themeColor="text1"/>
          </w:rPr>
          <w:t xml:space="preserve">Intercept</w:t>
        </w:r>
      </w:ins>
      <w:ins w:id="200711" w:author="Claude" w:date="2026-09-27T12:00:00Z">
        <w:r>
          <w:rPr>
            <w:color w:val="000000" w:themeColor="text1"/>
          </w:rPr>
          <w:t xml:space="preserve"> (June 13, 2022, </w:t>
        </w:r>
      </w:ins>
      <w:del w:id="60039" w:author="Claude" w:date="2026-09-27T05:00:00Z">
        <w:ins w:id="200712" w:author="Claude" w:date="2026-09-27T12:00:00Z">
          <w:r>
            <w:rPr>
              <w:color w:val="000000" w:themeColor="text1"/>
            </w:rPr>
            <w:delText xml:space="preserve">at 18</w:delText>
          </w:r>
        </w:ins>
      </w:del>
      <w:ins w:id="60040" w:author="Claude" w:date="2026-09-27T05:00:00Z">
        <w:r>
          <w:rPr>
            <w:color w:val="000000" w:themeColor="text1"/>
          </w:rPr>
          <w:t xml:space="preserve">6</w:t>
        </w:r>
      </w:ins>
      <w:ins w:id="200713" w:author="Claude" w:date="2026-09-27T12:00:00Z">
        <w:r>
          <w:rPr>
            <w:color w:val="000000" w:themeColor="text1"/>
          </w:rPr>
          <w:t xml:space="preserve">:07 </w:t>
        </w:r>
      </w:ins>
      <w:del w:id="60041" w:author="Claude" w:date="2026-09-27T05:00:00Z">
        <w:ins w:id="200714" w:author="Claude" w:date="2026-09-27T12:00:00Z">
          <w:r>
            <w:rPr>
              <w:color w:val="000000" w:themeColor="text1"/>
            </w:rPr>
            <w:delText xml:space="preserve">ET</w:delText>
          </w:r>
        </w:ins>
      </w:del>
      <w:ins w:id="60042" w:author="Claude" w:date="2026-09-27T05:00:00Z">
        <w:r>
          <w:rPr>
            <w:color w:val="000000" w:themeColor="text1"/>
          </w:rPr>
          <w:t xml:space="preserve">PM</w:t>
        </w:r>
      </w:ins>
      <w:ins w:id="200715" w:author="Claude" w:date="2026-09-27T12:00:00Z">
        <w:r>
          <w:rPr>
            <w:color w:val="000000" w:themeColor="text1"/>
          </w:rPr>
          <w:t xml:space="preserve">), https://theintercept.com/2022/06/13/progressive-organizing-infighting-callout-culture/ [create </w:t>
        </w:r>
      </w:ins>
      <w:ins w:id="200716" w:author="Claude" w:date="2026-09-27T12:00:00Z">
        <w:r>
          <w:rPr>
            <w:color w:val="000000" w:themeColor="text1"/>
          </w:rPr>
          <w:t xml:space="preserve">perma</w:t>
        </w:r>
      </w:ins>
      <w:ins w:id="200717" w:author="Claude" w:date="2026-09-27T12:00:00Z">
        <w:r>
          <w:rPr>
            <w:color w:val="000000" w:themeColor="text1"/>
          </w:rPr>
          <w:t xml:space="preserve"> link] (explaining that one employee said that “[</w:t>
        </w:r>
      </w:ins>
      <w:del w:id="60043" w:author="Claude" w:date="2026-09-27T05:00:00Z">
        <w:ins w:id="200718" w:author="Claude" w:date="2026-09-27T12:00:00Z">
          <w:r>
            <w:rPr>
              <w:color w:val="000000" w:themeColor="text1"/>
            </w:rPr>
            <w:delText xml:space="preserve">during] </w:delText>
          </w:r>
        </w:ins>
      </w:del>
      <w:ins w:id="60044" w:author="Claude" w:date="2026-09-27T05:00:00Z">
        <w:r>
          <w:rPr>
            <w:color w:val="000000" w:themeColor="text1"/>
          </w:rPr>
          <w:t xml:space="preserve">d]uring </w:t>
        </w:r>
      </w:ins>
      <w:ins w:id="200719" w:author="Claude" w:date="2026-09-27T12:00:00Z">
        <w:r>
          <w:rPr>
            <w:color w:val="000000" w:themeColor="text1"/>
          </w:rPr>
          <w:t xml:space="preserve">my last nine months, I was spending 90 to 95 percent of my time on internal strife</w:t>
        </w:r>
      </w:ins>
      <w:del w:id="60045" w:author="Claude" w:date="2026-09-27T05:00:00Z">
        <w:ins w:id="200720" w:author="Claude" w:date="2026-09-27T12:00:00Z">
          <w:r>
            <w:rPr>
              <w:color w:val="000000" w:themeColor="text1"/>
            </w:rPr>
            <w:delText xml:space="preserve">.</w:delText>
          </w:r>
        </w:ins>
      </w:del>
      <w:ins w:id="200721" w:author="Claude" w:date="2026-09-27T12:00:00Z">
        <w:r>
          <w:rPr>
            <w:color w:val="000000" w:themeColor="text1"/>
          </w:rPr>
          <w:t xml:space="preserve">”). </w:t>
        </w:r>
      </w:ins>
    </w:p>
  </w:footnote>
  <w:footnote w:id="734">
    <w:p w14:paraId="5F4D457C" w14:textId="0EAF9ED3" w:rsidR="00E00694" w:rsidRPr="005B3E31" w:rsidRDefault="00E00694" w:rsidP="003D74D8">
      <w:pPr>
        <w:pStyle w:val="FootnoteText"/>
        <w:spacing w:line="480" w:lineRule="auto"/>
        <w:rPr>
          <w:ins w:id="200781" w:author="Claude" w:date="2026-09-27T12:00:00Z"/>
          <w:color w:val="000000" w:themeColor="text1"/>
        </w:rPr>
      </w:pPr>
      <w:ins w:id="200751" w:author="Claude" w:date="2026-09-27T12:00:00Z">
        <w:r>
          <w:rPr>
            <w:rStyle w:val="FootnoteReference"/>
            <w:color w:val="000000" w:themeColor="text1"/>
          </w:rPr>
          <w:footnoteRef/>
        </w:r>
      </w:ins>
      <w:ins w:id="200752" w:author="Claude" w:date="2026-09-27T12:00:00Z">
        <w:r>
          <w:rPr>
            <w:color w:val="000000" w:themeColor="text1"/>
          </w:rPr>
          <w:t xml:space="preserve"> </w:t>
        </w:r>
      </w:ins>
      <w:ins w:id="200753" w:author="Claude" w:date="2026-09-27T12:00:00Z">
        <w:r>
          <w:rPr>
            <w:smallCaps/>
            <w:color w:val="000000" w:themeColor="text1"/>
          </w:rPr>
          <w:t xml:space="preserve">Judy </w:t>
        </w:r>
      </w:ins>
      <w:ins w:id="200754" w:author="Claude" w:date="2026-09-27T12:00:00Z">
        <w:r>
          <w:rPr>
            <w:smallCaps/>
            <w:color w:val="000000" w:themeColor="text1"/>
          </w:rPr>
          <w:t xml:space="preserve">Kutulas</w:t>
        </w:r>
      </w:ins>
      <w:ins w:id="200755" w:author="Claude" w:date="2026-09-27T12:00:00Z">
        <w:r>
          <w:rPr>
            <w:color w:val="000000" w:themeColor="text1"/>
          </w:rPr>
          <w:t xml:space="preserve">, </w:t>
        </w:r>
      </w:ins>
      <w:ins w:id="200756" w:author="Claude" w:date="2026-09-27T12:00:00Z">
        <w:r>
          <w:rPr>
            <w:smallCaps/>
            <w:color w:val="000000" w:themeColor="text1"/>
          </w:rPr>
          <w:t xml:space="preserve">The American Civil Liberties Union </w:t>
        </w:r>
      </w:ins>
      <w:del w:id="60046" w:author="Claude" w:date="2026-09-27T05:00:00Z">
        <w:ins w:id="200757" w:author="Claude" w:date="2026-09-27T12:00:00Z">
          <w:r>
            <w:rPr>
              <w:smallCaps/>
              <w:color w:val="000000" w:themeColor="text1"/>
            </w:rPr>
            <w:delText xml:space="preserve">&amp; </w:delText>
          </w:r>
        </w:ins>
      </w:del>
      <w:ins w:id="60047" w:author="Claude" w:date="2026-09-27T05:00:00Z">
        <w:r>
          <w:rPr>
            <w:smallCaps/>
            <w:color w:val="000000" w:themeColor="text1"/>
          </w:rPr>
          <w:t xml:space="preserve">and</w:t>
        </w:r>
      </w:ins>
      <w:ins w:id="60048" w:author="Claude" w:date="2026-09-27T05:00:00Z">
        <w:r>
          <w:rPr>
            <w:color w:val="000000" w:themeColor="text1"/>
          </w:rPr>
          <w:t xml:space="preserve"> </w:t>
        </w:r>
      </w:ins>
      <w:ins w:id="200758" w:author="Claude" w:date="2026-09-27T12:00:00Z">
        <w:r>
          <w:rPr>
            <w:smallCaps/>
            <w:color w:val="000000" w:themeColor="text1"/>
          </w:rPr>
          <w:t xml:space="preserve">the Making of Modern Liberalism</w:t>
        </w:r>
      </w:ins>
      <w:del w:id="60049" w:author="Claude" w:date="2026-09-27T05:00:00Z">
        <w:ins w:id="200759" w:author="Claude" w:date="2026-09-27T12:00:00Z">
          <w:r>
            <w:rPr>
              <w:smallCaps/>
              <w:color w:val="000000" w:themeColor="text1"/>
            </w:rPr>
            <w:delText xml:space="preserve">: </w:delText>
          </w:r>
        </w:ins>
      </w:del>
      <w:ins w:id="60050" w:author="Claude" w:date="2026-09-27T05:00:00Z">
        <w:r>
          <w:rPr>
            <w:smallCaps/>
            <w:color w:val="000000" w:themeColor="text1"/>
          </w:rPr>
          <w:t xml:space="preserve">, </w:t>
        </w:r>
      </w:ins>
      <w:ins w:id="200760" w:author="Claude" w:date="2026-09-27T12:00:00Z">
        <w:r>
          <w:rPr>
            <w:smallCaps/>
            <w:color w:val="000000" w:themeColor="text1"/>
          </w:rPr>
          <w:t xml:space="preserve">1930–</w:t>
        </w:r>
      </w:ins>
      <w:del w:id="60051" w:author="Claude" w:date="2026-09-27T05:00:00Z">
        <w:ins w:id="200761" w:author="Claude" w:date="2026-09-27T12:00:00Z">
          <w:r>
            <w:rPr>
              <w:smallCaps/>
              <w:color w:val="000000" w:themeColor="text1"/>
            </w:rPr>
            <w:delText xml:space="preserve">1960</w:delText>
          </w:r>
        </w:ins>
      </w:del>
      <w:del w:id="60052" w:author="Claude" w:date="2026-09-27T05:00:00Z">
        <w:ins w:id="200762" w:author="Claude" w:date="2026-09-27T12:00:00Z">
          <w:r>
            <w:rPr>
              <w:color w:val="000000" w:themeColor="text1"/>
            </w:rPr>
            <w:delText xml:space="preserve"> </w:delText>
          </w:r>
        </w:ins>
      </w:del>
      <w:ins w:id="60053" w:author="Claude" w:date="2026-09-27T05:00:00Z">
        <w:r>
          <w:rPr>
            <w:smallCaps/>
            <w:color w:val="000000" w:themeColor="text1"/>
          </w:rPr>
          <w:t xml:space="preserve">1960</w:t>
        </w:r>
      </w:ins>
      <w:ins w:id="60054" w:author="Claude" w:date="2026-09-27T05:00:00Z">
        <w:r>
          <w:rPr>
            <w:color w:val="000000" w:themeColor="text1"/>
          </w:rPr>
          <w:t xml:space="preserve">, at </w:t>
        </w:r>
      </w:ins>
      <w:ins w:id="200763" w:author="Claude" w:date="2026-09-27T12:00:00Z">
        <w:r>
          <w:rPr>
            <w:color w:val="000000" w:themeColor="text1"/>
          </w:rPr>
          <w:t xml:space="preserve">187 (2006) (describing the mid-century ACLU, where “there was no room in the organization for people with different opinions”); Sarah </w:t>
        </w:r>
      </w:ins>
      <w:ins w:id="200764" w:author="Claude" w:date="2026-09-27T12:00:00Z">
        <w:r>
          <w:rPr>
            <w:color w:val="000000" w:themeColor="text1"/>
          </w:rPr>
          <w:t xml:space="preserve">Isgur</w:t>
        </w:r>
      </w:ins>
      <w:ins w:id="200765" w:author="Claude" w:date="2026-09-27T12:00:00Z">
        <w:r>
          <w:rPr>
            <w:color w:val="000000" w:themeColor="text1"/>
          </w:rPr>
          <w:t xml:space="preserve"> &amp; David French, </w:t>
        </w:r>
      </w:ins>
      <w:ins w:id="200766" w:author="Claude" w:date="2026-09-27T12:00:00Z">
        <w:r>
          <w:rPr>
            <w:i/>
            <w:iCs/>
            <w:color w:val="000000" w:themeColor="text1"/>
          </w:rPr>
          <w:t xml:space="preserve">Hubris in Legal Movements</w:t>
        </w:r>
      </w:ins>
      <w:ins w:id="200767" w:author="Claude" w:date="2026-09-27T12:00:00Z">
        <w:r>
          <w:rPr>
            <w:color w:val="000000" w:themeColor="text1"/>
          </w:rPr>
          <w:t xml:space="preserve">, </w:t>
        </w:r>
      </w:ins>
      <w:del w:id="60055" w:author="Claude" w:date="2026-09-27T05:00:00Z">
        <w:ins w:id="200768" w:author="Claude" w:date="2026-09-27T12:00:00Z">
          <w:r>
            <w:rPr>
              <w:smallCaps/>
              <w:color w:val="000000" w:themeColor="text1"/>
            </w:rPr>
            <w:delText xml:space="preserve">The </w:delText>
          </w:r>
        </w:ins>
      </w:del>
      <w:ins w:id="200769" w:author="Claude" w:date="2026-09-27T12:00:00Z">
        <w:r>
          <w:rPr>
            <w:smallCaps/>
            <w:color w:val="000000" w:themeColor="text1"/>
          </w:rPr>
          <w:t xml:space="preserve">Dispatch: Advisory Opinions</w:t>
        </w:r>
      </w:ins>
      <w:ins w:id="200770" w:author="Claude" w:date="2026-09-27T12:00:00Z">
        <w:r>
          <w:rPr>
            <w:color w:val="000000" w:themeColor="text1"/>
          </w:rPr>
          <w:t xml:space="preserve"> (June 24, 2025), https://thedispatch.com/podcast/advisoryopinions/hubris-in-legal-movements/ [create </w:t>
        </w:r>
      </w:ins>
      <w:ins w:id="200771" w:author="Claude" w:date="2026-09-27T12:00:00Z">
        <w:r>
          <w:rPr>
            <w:color w:val="000000" w:themeColor="text1"/>
          </w:rPr>
          <w:t xml:space="preserve">perma</w:t>
        </w:r>
      </w:ins>
      <w:ins w:id="200772" w:author="Claude" w:date="2026-09-27T12:00:00Z">
        <w:r>
          <w:rPr>
            <w:color w:val="000000" w:themeColor="text1"/>
          </w:rPr>
          <w:t xml:space="preserve"> link] (discussing “how much the ACLU would have benefited if they had people at the ACLU who disagreed with them or who had clerked for a conservative justice</w:t>
        </w:r>
      </w:ins>
      <w:del w:id="60056" w:author="Claude" w:date="2026-09-27T05:00:00Z">
        <w:ins w:id="200773" w:author="Claude" w:date="2026-09-27T12:00:00Z">
          <w:r>
            <w:rPr>
              <w:color w:val="000000" w:themeColor="text1"/>
            </w:rPr>
            <w:delText xml:space="preserve">.</w:delText>
          </w:r>
        </w:ins>
      </w:del>
      <w:ins w:id="200774" w:author="Claude" w:date="2026-09-27T12:00:00Z">
        <w:r>
          <w:rPr>
            <w:color w:val="000000" w:themeColor="text1"/>
          </w:rPr>
          <w:t xml:space="preserve">”); </w:t>
        </w:r>
      </w:ins>
      <w:ins w:id="200775" w:author="Claude" w:date="2026-09-27T12:00:00Z">
        <w:r>
          <w:rPr>
            <w:color w:val="000000" w:themeColor="text1"/>
          </w:rPr>
          <w:t xml:space="preserve">Confessore</w:t>
        </w:r>
      </w:ins>
      <w:ins w:id="200776" w:author="Claude" w:date="2026-09-27T12:00:00Z">
        <w:r>
          <w:rPr>
            <w:color w:val="000000" w:themeColor="text1"/>
          </w:rPr>
          <w:t xml:space="preserve">, </w:t>
        </w:r>
      </w:ins>
      <w:ins w:id="200777" w:author="Claude" w:date="2026-09-27T12:00:00Z">
        <w:r>
          <w:rPr>
            <w:i/>
            <w:iCs/>
            <w:color w:val="000000" w:themeColor="text1"/>
            <w:rPrChange w:id="60057" w:author="Claude" w:date="2026-09-27T05:00:00Z">
              <w:rPr>
                <w:color w:val="000000" w:themeColor="text1"/>
              </w:rPr>
            </w:rPrChange>
          </w:rPr>
          <w:t xml:space="preserve">supra</w:t>
        </w:r>
      </w:ins>
      <w:ins w:id="200778" w:author="Claude" w:date="2026-09-27T12:00:00Z">
        <w:r>
          <w:rPr>
            <w:color w:val="000000" w:themeColor="text1"/>
          </w:rPr>
          <w:t xml:space="preserve"> note 3 (reporting critics’ views: “[T]he movement was consumed by theories of sex and gender that most voters didn’t grasp or support, radicalizing its politics just as the culture wars reignited and the Supreme Court began moving further right. And as </w:t>
        </w:r>
      </w:ins>
      <w:ins w:id="200779" w:author="Claude" w:date="2026-09-27T12:00:00Z">
        <w:r>
          <w:rPr>
            <w:color w:val="000000" w:themeColor="text1"/>
          </w:rPr>
          <w:t xml:space="preserve">Skrmetti</w:t>
        </w:r>
      </w:ins>
      <w:ins w:id="200780" w:author="Claude" w:date="2026-09-27T12:00:00Z">
        <w:r>
          <w:rPr>
            <w:color w:val="000000" w:themeColor="text1"/>
          </w:rPr>
          <w:t xml:space="preserve">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ins>
    </w:p>
  </w:footnote>
  <w:footnote w:id="735">
    <w:p w14:paraId="7E8D0D40" w14:textId="25AE699A" w:rsidR="00E01DE8" w:rsidRPr="005B3E31" w:rsidRDefault="00E01DE8" w:rsidP="003D74D8">
      <w:pPr>
        <w:pStyle w:val="FootnoteText"/>
        <w:spacing w:line="480" w:lineRule="auto"/>
        <w:rPr>
          <w:ins w:id="200790" w:author="Claude" w:date="2026-09-27T12:00:00Z"/>
          <w:color w:val="000000" w:themeColor="text1"/>
        </w:rPr>
      </w:pPr>
      <w:ins w:id="200782" w:author="Claude" w:date="2026-09-27T12:00:00Z">
        <w:r>
          <w:rPr>
            <w:rStyle w:val="FootnoteReference"/>
            <w:color w:val="000000" w:themeColor="text1"/>
          </w:rPr>
          <w:footnoteRef/>
        </w:r>
      </w:ins>
      <w:ins w:id="200783" w:author="Claude" w:date="2026-09-27T12:00:00Z">
        <w:r>
          <w:rPr>
            <w:color w:val="000000" w:themeColor="text1"/>
          </w:rPr>
          <w:t xml:space="preserve"> McArdle, </w:t>
        </w:r>
      </w:ins>
      <w:ins w:id="200784" w:author="Claude" w:date="2026-09-27T12:00:00Z">
        <w:r>
          <w:rPr>
            <w:i/>
            <w:iCs/>
            <w:color w:val="000000" w:themeColor="text1"/>
          </w:rPr>
          <w:t>supra</w:t>
        </w:r>
      </w:ins>
      <w:ins w:id="200785" w:author="Claude" w:date="2026-09-27T12:00:00Z">
        <w:r>
          <w:rPr>
            <w:color w:val="000000" w:themeColor="text1"/>
          </w:rPr>
          <w:t xml:space="preserve"> note 2 (“[T]he case departed from the incrementalist strategy that helped the LGBTQ+ movement win victories such as marriage equality.”); </w:t>
        </w:r>
      </w:ins>
      <w:ins w:id="200786" w:author="Claude" w:date="2026-09-27T12:00:00Z">
        <w:r>
          <w:rPr>
            <w:color w:val="000000" w:themeColor="text1"/>
          </w:rPr>
          <w:t>Confessore</w:t>
        </w:r>
      </w:ins>
      <w:ins w:id="200787" w:author="Claude" w:date="2026-09-27T12:00:00Z">
        <w:r>
          <w:rPr>
            <w:color w:val="000000" w:themeColor="text1"/>
          </w:rPr>
          <w:t xml:space="preserve">, </w:t>
        </w:r>
      </w:ins>
      <w:ins w:id="200788" w:author="Claude" w:date="2026-09-27T12:00:00Z">
        <w:r>
          <w:rPr>
            <w:i/>
            <w:iCs/>
            <w:color w:val="000000" w:themeColor="text1"/>
          </w:rPr>
          <w:t>supra</w:t>
        </w:r>
      </w:ins>
      <w:ins w:id="200789" w:author="Claude" w:date="2026-09-27T12:00:00Z">
        <w:r>
          <w:rPr>
            <w:color w:val="000000" w:themeColor="text1"/>
          </w:rPr>
          <w:t xml:space="preserve"> note 3 (“L.G.B.T.Q. groups and the A.C.L.U. might have looked to state Courts, seeking incremental wins without the risk of a binding Supreme Court precedent.”).</w:t>
        </w:r>
      </w:ins>
    </w:p>
  </w:footnote>
  <w:footnote w:id="736">
    <w:p w14:paraId="022F0698" w14:textId="5AD6AF2C" w:rsidR="001F58B7" w:rsidRPr="005B3E31" w:rsidRDefault="001F58B7" w:rsidP="003D74D8">
      <w:pPr>
        <w:pStyle w:val="FootnoteText"/>
        <w:spacing w:line="480" w:lineRule="auto"/>
        <w:rPr>
          <w:ins w:id="200803" w:author="Claude" w:date="2026-09-27T12:00:00Z"/>
          <w:color w:val="000000" w:themeColor="text1"/>
        </w:rPr>
      </w:pPr>
      <w:ins w:id="200791" w:author="Claude" w:date="2026-09-27T12:00:00Z">
        <w:r>
          <w:rPr>
            <w:rStyle w:val="FootnoteReference"/>
            <w:color w:val="000000" w:themeColor="text1"/>
          </w:rPr>
          <w:footnoteRef/>
        </w:r>
      </w:ins>
      <w:ins w:id="200792" w:author="Claude" w:date="2026-09-27T12:00:00Z">
        <w:r>
          <w:rPr>
            <w:color w:val="000000" w:themeColor="text1"/>
          </w:rPr>
          <w:t xml:space="preserve"> </w:t>
        </w:r>
      </w:ins>
      <w:ins w:id="200793" w:author="Claude" w:date="2026-09-27T12:00:00Z">
        <w:r>
          <w:rPr>
            <w:i/>
            <w:iCs/>
            <w:color w:val="000000" w:themeColor="text1"/>
          </w:rPr>
          <w:t xml:space="preserve">But see</w:t>
        </w:r>
      </w:ins>
      <w:ins w:id="200794" w:author="Claude" w:date="2026-09-27T12:00:00Z">
        <w:r>
          <w:rPr>
            <w:color w:val="000000" w:themeColor="text1"/>
          </w:rPr>
          <w:t xml:space="preserve"> Kate Redburn, </w:t>
        </w:r>
      </w:ins>
      <w:ins w:id="200795" w:author="Claude" w:date="2026-09-27T12:00:00Z">
        <w:r>
          <w:rPr>
            <w:color w:val="000000" w:themeColor="text1"/>
          </w:rPr>
          <w:t xml:space="preserve">Skrmetti</w:t>
        </w:r>
      </w:ins>
      <w:ins w:id="200796" w:author="Claude" w:date="2026-09-27T12:00:00Z">
        <w:r>
          <w:rPr>
            <w:color w:val="000000" w:themeColor="text1"/>
          </w:rPr>
          <w:t xml:space="preserve"> </w:t>
        </w:r>
      </w:ins>
      <w:ins w:id="200797" w:author="Claude" w:date="2026-09-27T12:00:00Z">
        <w:r>
          <w:rPr>
            <w:i/>
            <w:iCs/>
            <w:color w:val="000000" w:themeColor="text1"/>
          </w:rPr>
          <w:t xml:space="preserve">Beyond Scrutiny</w:t>
        </w:r>
      </w:ins>
      <w:ins w:id="200798" w:author="Claude" w:date="2026-09-27T12:00:00Z">
        <w:r>
          <w:rPr>
            <w:color w:val="000000" w:themeColor="text1"/>
          </w:rPr>
          <w:t xml:space="preserve">, 139 </w:t>
        </w:r>
      </w:ins>
      <w:ins w:id="200799" w:author="Claude" w:date="2026-09-27T12:00:00Z">
        <w:r>
          <w:rPr>
            <w:smallCaps/>
            <w:color w:val="000000" w:themeColor="text1"/>
            <w:rPrChange w:id="60058" w:author="Claude" w:date="2026-09-27T05:00:00Z">
              <w:rPr>
                <w:color w:val="000000" w:themeColor="text1"/>
              </w:rPr>
            </w:rPrChange>
          </w:rPr>
          <w:t xml:space="preserve">Harv. L. Rev.</w:t>
        </w:r>
      </w:ins>
      <w:ins w:id="200800" w:author="Claude" w:date="2026-09-27T12:00:00Z">
        <w:r>
          <w:rPr>
            <w:color w:val="000000" w:themeColor="text1"/>
          </w:rPr>
          <w:t xml:space="preserve"> 167, 193 &amp; n.226 (2025) (arguing that </w:t>
        </w:r>
      </w:ins>
      <w:ins w:id="200801" w:author="Claude" w:date="2026-09-27T12:00:00Z">
        <w:r>
          <w:rPr>
            <w:i/>
            <w:iCs/>
            <w:color w:val="000000" w:themeColor="text1"/>
            <w:rPrChange w:id="60059" w:author="Claude" w:date="2026-09-27T05:00:00Z">
              <w:rPr>
                <w:color w:val="000000" w:themeColor="text1"/>
              </w:rPr>
            </w:rPrChange>
          </w:rPr>
          <w:t xml:space="preserve">Skrmetti</w:t>
        </w:r>
      </w:ins>
      <w:ins w:id="200802" w:author="Claude" w:date="2026-09-27T12:00:00Z">
        <w:r>
          <w:rPr>
            <w:color w:val="000000" w:themeColor="text1"/>
          </w:rPr>
          <w:t xml:space="preserve"> was mischaracterized as turning on scientific rather than legal questions).</w:t>
        </w:r>
      </w:ins>
    </w:p>
  </w:footnote>
  <w:footnote w:id="737">
    <w:p w14:paraId="5B2FCF9B" w14:textId="23558142" w:rsidR="00E01DE8" w:rsidRPr="005B3E31" w:rsidRDefault="00E01DE8" w:rsidP="003D74D8">
      <w:pPr>
        <w:pStyle w:val="FootnoteText"/>
        <w:spacing w:line="480" w:lineRule="auto"/>
        <w:rPr>
          <w:ins w:id="200817" w:author="Claude" w:date="2026-09-27T12:00:00Z"/>
          <w:color w:val="000000" w:themeColor="text1"/>
        </w:rPr>
      </w:pPr>
      <w:ins w:id="200804" w:author="Claude" w:date="2026-09-27T12:00:00Z">
        <w:r>
          <w:rPr>
            <w:rStyle w:val="FootnoteReference"/>
            <w:color w:val="000000" w:themeColor="text1"/>
          </w:rPr>
          <w:footnoteRef/>
        </w:r>
      </w:ins>
      <w:ins w:id="200805" w:author="Claude" w:date="2026-09-27T12:00:00Z">
        <w:r>
          <w:rPr>
            <w:color w:val="000000" w:themeColor="text1"/>
          </w:rPr>
          <w:t xml:space="preserve">  </w:t>
        </w:r>
      </w:ins>
      <w:del w:id="60060" w:author="Claude" w:date="2026-09-27T05:00:00Z">
        <w:ins w:id="200806" w:author="Claude" w:date="2026-09-27T12:00:00Z">
          <w:r>
            <w:rPr>
              <w:i/>
              <w:iCs/>
              <w:color w:val="000000" w:themeColor="text1"/>
            </w:rPr>
            <w:delText xml:space="preserve">A Conversation About </w:delText>
          </w:r>
        </w:ins>
      </w:del>
      <w:del w:id="60061" w:author="Claude" w:date="2026-09-27T05:00:00Z">
        <w:ins w:id="200807" w:author="Claude" w:date="2026-09-27T12:00:00Z">
          <w:r>
            <w:rPr>
              <w:i/>
              <w:iCs/>
              <w:color w:val="000000" w:themeColor="text1"/>
            </w:rPr>
            <w:delText xml:space="preserve">Skrmetti</w:delText>
          </w:r>
        </w:ins>
      </w:del>
      <w:del w:id="60062" w:author="Claude" w:date="2026-09-27T05:00:00Z">
        <w:ins w:id="200808" w:author="Claude" w:date="2026-09-27T12:00:00Z">
          <w:r>
            <w:rPr>
              <w:i/>
              <w:iCs/>
              <w:color w:val="000000" w:themeColor="text1"/>
            </w:rPr>
            <w:delText xml:space="preserve"> with Ezra Young &amp; Naomi </w:delText>
          </w:r>
        </w:ins>
      </w:del>
      <w:del w:id="60063" w:author="Claude" w:date="2026-09-27T05:00:00Z">
        <w:ins w:id="200809" w:author="Claude" w:date="2026-09-27T12:00:00Z">
          <w:r>
            <w:rPr>
              <w:i/>
              <w:iCs/>
              <w:color w:val="000000" w:themeColor="text1"/>
            </w:rPr>
            <w:delText xml:space="preserve">Schoenbaum</w:delText>
          </w:r>
        </w:ins>
      </w:del>
      <w:del w:id="60064" w:author="Claude" w:date="2026-09-27T05:00:00Z">
        <w:ins w:id="200810" w:author="Claude" w:date="2026-09-27T12:00:00Z">
          <w:r>
            <w:rPr>
              <w:color w:val="000000" w:themeColor="text1"/>
            </w:rPr>
            <w:delText xml:space="preserve">, </w:delText>
          </w:r>
        </w:ins>
      </w:del>
      <w:del w:id="60065" w:author="Claude" w:date="2026-09-27T05:00:00Z">
        <w:ins w:id="200811" w:author="Claude" w:date="2026-09-27T12:00:00Z">
          <w:r>
            <w:rPr>
              <w:smallCaps/>
              <w:color w:val="000000" w:themeColor="text1"/>
            </w:rPr>
            <w:delText xml:space="preserve">Assigned Media</w:delText>
          </w:r>
        </w:ins>
      </w:del>
      <w:del w:id="60066" w:author="Claude" w:date="2026-09-27T05:00:00Z">
        <w:ins w:id="200812" w:author="Claude" w:date="2026-09-27T12:00:00Z">
          <w:r>
            <w:delText xml:space="preserve"> (July 8, 2025),</w:delText>
          </w:r>
        </w:ins>
      </w:del>
      <w:del w:id="60067" w:author="Claude" w:date="2026-09-27T05:00:00Z">
        <w:ins w:id="200813" w:author="Claude" w:date="2026-09-27T12:00:00Z">
          <w:r>
            <w:rPr>
              <w:color w:val="000000" w:themeColor="text1"/>
            </w:rPr>
            <w:delText xml:space="preserve"> https://www.assignedmedia.org/breaking-news/skrmetti-interview-ezra-young-naomi-schoenbaum [create </w:delText>
          </w:r>
        </w:ins>
      </w:del>
      <w:del w:id="60068" w:author="Claude" w:date="2026-09-27T05:00:00Z">
        <w:ins w:id="200814" w:author="Claude" w:date="2026-09-27T12:00:00Z">
          <w:r>
            <w:rPr>
              <w:color w:val="000000" w:themeColor="text1"/>
            </w:rPr>
            <w:delText xml:space="preserve">perma</w:delText>
          </w:r>
        </w:ins>
      </w:del>
      <w:del w:id="60069" w:author="Claude" w:date="2026-09-27T05:00:00Z">
        <w:ins w:id="200815" w:author="Claude" w:date="2026-09-27T12:00:00Z">
          <w:r>
            <w:rPr>
              <w:color w:val="000000" w:themeColor="text1"/>
            </w:rPr>
            <w:delText xml:space="preserve"> link]</w:delText>
          </w:r>
        </w:ins>
      </w:del>
      <w:ins w:id="60070" w:author="Claude" w:date="2026-09-27T05:00:00Z">
        <w:r>
          <w:rPr>
            <w:color w:val="000000" w:themeColor="text1"/>
          </w:rPr>
          <w:t xml:space="preserve">Wilchins, </w:t>
        </w:r>
      </w:ins>
      <w:ins w:id="60071" w:author="Claude" w:date="2026-09-27T05:00:00Z">
        <w:r>
          <w:rPr>
            <w:i/>
            <w:iCs/>
            <w:color w:val="000000" w:themeColor="text1"/>
          </w:rPr>
          <w:t xml:space="preserve">supra</w:t>
        </w:r>
      </w:ins>
      <w:ins w:id="60072" w:author="Claude" w:date="2026-09-27T05:00:00Z">
        <w:r>
          <w:rPr>
            <w:color w:val="000000" w:themeColor="text1"/>
          </w:rPr>
          <w:t xml:space="preserve"> note 2</w:t>
        </w:r>
      </w:ins>
      <w:ins w:id="200816" w:author="Claude" w:date="2026-09-27T12:00:00Z">
        <w:r>
          <w:rPr>
            <w:color w:val="000000" w:themeColor="text1"/>
          </w:rPr>
          <w:t xml:space="preserve"> (“So you end up with the national ACLU sending people up to the Supreme Court on a sex discrimination case and they don’t know much about sex discrimination jurisprudence. That’s bad. That’s not good.”). </w:t>
        </w:r>
      </w:ins>
    </w:p>
  </w:footnote>
  <w:footnote w:id="738">
    <w:p w14:paraId="6CB808FF" w14:textId="790B1767" w:rsidR="00105CBB" w:rsidRPr="005B3E31" w:rsidRDefault="00105CBB" w:rsidP="003D74D8">
      <w:pPr>
        <w:pStyle w:val="FootnoteText"/>
        <w:spacing w:line="480" w:lineRule="auto"/>
        <w:rPr>
          <w:ins w:id="200822" w:author="Claude" w:date="2026-09-27T12:00:00Z"/>
          <w:color w:val="000000" w:themeColor="text1"/>
        </w:rPr>
      </w:pPr>
      <w:ins w:id="200818" w:author="Claude" w:date="2026-09-27T12:00:00Z">
        <w:r>
          <w:rPr>
            <w:rStyle w:val="FootnoteReference"/>
            <w:color w:val="000000" w:themeColor="text1"/>
          </w:rPr>
          <w:footnoteRef/>
        </w:r>
      </w:ins>
      <w:ins w:id="200819" w:author="Claude" w:date="2026-09-27T12:00:00Z">
        <w:r>
          <w:rPr>
            <w:color w:val="000000" w:themeColor="text1"/>
          </w:rPr>
          <w:t xml:space="preserve"> United States v. </w:t>
        </w:r>
      </w:ins>
      <w:ins w:id="200820" w:author="Claude" w:date="2026-09-27T12:00:00Z">
        <w:r>
          <w:rPr>
            <w:color w:val="000000" w:themeColor="text1"/>
          </w:rPr>
          <w:t>Skrmetti</w:t>
        </w:r>
      </w:ins>
      <w:ins w:id="200821" w:author="Claude" w:date="2026-09-27T12:00:00Z">
        <w:r>
          <w:rPr>
            <w:color w:val="000000" w:themeColor="text1"/>
          </w:rPr>
          <w:t>, 145 S. Ct. 1816, 1829, 1835–37 (2025).</w:t>
        </w:r>
      </w:ins>
    </w:p>
  </w:footnote>
  <w:footnote w:id="739">
    <w:p w14:paraId="4643402C" w14:textId="5EFFDE01" w:rsidR="0073200D" w:rsidRPr="005B3E31" w:rsidRDefault="0073200D" w:rsidP="003D74D8">
      <w:pPr>
        <w:pStyle w:val="FootnoteText"/>
        <w:spacing w:line="480" w:lineRule="auto"/>
        <w:rPr>
          <w:ins w:id="200835" w:author="Claude" w:date="2026-09-27T12:00:00Z"/>
          <w:color w:val="000000" w:themeColor="text1"/>
        </w:rPr>
      </w:pPr>
      <w:ins w:id="200823" w:author="Claude" w:date="2026-09-27T12:00:00Z">
        <w:r>
          <w:rPr>
            <w:rStyle w:val="FootnoteReference"/>
            <w:color w:val="000000" w:themeColor="text1"/>
          </w:rPr>
          <w:footnoteRef/>
        </w:r>
      </w:ins>
      <w:ins w:id="200824" w:author="Claude" w:date="2026-09-27T12:00:00Z">
        <w:r>
          <w:rPr>
            <w:color w:val="000000" w:themeColor="text1"/>
          </w:rPr>
          <w:t xml:space="preserve"> Paul ’t Hart, </w:t>
        </w:r>
      </w:ins>
      <w:ins w:id="200825" w:author="Claude" w:date="2026-09-27T12:00:00Z">
        <w:r>
          <w:rPr>
            <w:i/>
            <w:iCs/>
            <w:color w:val="000000" w:themeColor="text1"/>
          </w:rPr>
          <w:t xml:space="preserve">Irving L. Janis’ Victims of Groupthink</w:t>
        </w:r>
      </w:ins>
      <w:ins w:id="200826" w:author="Claude" w:date="2026-09-27T12:00:00Z">
        <w:r>
          <w:rPr>
            <w:color w:val="000000" w:themeColor="text1"/>
          </w:rPr>
          <w:t xml:space="preserve">, 12 </w:t>
        </w:r>
      </w:ins>
      <w:ins w:id="200827" w:author="Claude" w:date="2026-09-27T12:00:00Z">
        <w:r>
          <w:rPr>
            <w:smallCaps/>
            <w:color w:val="000000" w:themeColor="text1"/>
          </w:rPr>
          <w:t xml:space="preserve">Pol. Psychol.</w:t>
        </w:r>
      </w:ins>
      <w:ins w:id="200828" w:author="Claude" w:date="2026-09-27T12:00:00Z">
        <w:r>
          <w:rPr>
            <w:color w:val="000000" w:themeColor="text1"/>
          </w:rPr>
          <w:t xml:space="preserve"> 247, 256 (1991) (describing groupthink); </w:t>
        </w:r>
      </w:ins>
      <w:ins w:id="200829" w:author="Claude" w:date="2026-09-27T12:00:00Z">
        <w:r>
          <w:rPr>
            <w:color w:val="000000" w:themeColor="text1"/>
          </w:rPr>
          <w:t xml:space="preserve">Confessore</w:t>
        </w:r>
      </w:ins>
      <w:ins w:id="200830" w:author="Claude" w:date="2026-09-27T12:00:00Z">
        <w:r>
          <w:rPr>
            <w:color w:val="000000" w:themeColor="text1"/>
          </w:rPr>
          <w:t xml:space="preserve">, </w:t>
        </w:r>
      </w:ins>
      <w:ins w:id="200831" w:author="Claude" w:date="2026-09-27T12:00:00Z">
        <w:r>
          <w:rPr>
            <w:i/>
            <w:iCs/>
            <w:color w:val="000000" w:themeColor="text1"/>
            <w:rPrChange w:id="60073" w:author="Claude" w:date="2026-09-27T05:00:00Z">
              <w:rPr>
                <w:color w:val="000000" w:themeColor="text1"/>
              </w:rPr>
            </w:rPrChange>
          </w:rPr>
          <w:t xml:space="preserve">supra</w:t>
        </w:r>
      </w:ins>
      <w:ins w:id="200832" w:author="Claude" w:date="2026-09-27T12:00:00Z">
        <w:r>
          <w:rPr>
            <w:color w:val="000000" w:themeColor="text1"/>
          </w:rPr>
          <w:t xml:space="preserve"> note 3 (quoting Michael Ulrich: “If you can’t win a challenge to strike down a gender-affirming care ban, it’s going to be hard to win other cases around trans rights”); </w:t>
        </w:r>
      </w:ins>
      <w:ins w:id="200833" w:author="Claude" w:date="2026-09-27T12:00:00Z">
        <w:r>
          <w:rPr>
            <w:i/>
            <w:iCs/>
            <w:color w:val="000000" w:themeColor="text1"/>
          </w:rPr>
          <w:t xml:space="preserve">see infra</w:t>
        </w:r>
      </w:ins>
      <w:ins w:id="200834" w:author="Claude" w:date="2026-09-27T12:00:00Z">
        <w:r>
          <w:rPr>
            <w:color w:val="000000" w:themeColor="text1"/>
          </w:rPr>
          <w:t xml:space="preserve"> Section II.</w:t>
        </w:r>
      </w:ins>
    </w:p>
  </w:footnote>
  <w:footnote w:id="740">
    <w:p w14:paraId="0113D4F5" w14:textId="76A09CAC" w:rsidR="00E2020C" w:rsidRPr="005B3E31" w:rsidRDefault="00E2020C" w:rsidP="003D74D8">
      <w:pPr>
        <w:pStyle w:val="FootnoteText"/>
        <w:spacing w:line="480" w:lineRule="auto"/>
        <w:rPr>
          <w:ins w:id="200845" w:author="Claude" w:date="2026-09-27T12:00:00Z"/>
          <w:color w:val="000000" w:themeColor="text1"/>
        </w:rPr>
      </w:pPr>
      <w:ins w:id="200836" w:author="Claude" w:date="2026-09-27T12:00:00Z">
        <w:r>
          <w:rPr>
            <w:rStyle w:val="FootnoteReference"/>
            <w:color w:val="000000" w:themeColor="text1"/>
          </w:rPr>
          <w:footnoteRef/>
        </w:r>
      </w:ins>
      <w:ins w:id="200837" w:author="Claude" w:date="2026-09-27T12:00:00Z">
        <w:r>
          <w:rPr>
            <w:color w:val="000000" w:themeColor="text1"/>
          </w:rPr>
          <w:t xml:space="preserve"> </w:t>
        </w:r>
      </w:ins>
      <w:del w:id="60074" w:author="Claude" w:date="2026-09-27T05:00:00Z">
        <w:ins w:id="200838" w:author="Claude" w:date="2026-09-27T12:00:00Z">
          <w:r>
            <w:rPr>
              <w:color w:val="000000" w:themeColor="text1"/>
            </w:rPr>
            <w:delText xml:space="preserve">Sarah </w:delText>
          </w:r>
        </w:ins>
      </w:del>
      <w:del w:id="60075" w:author="Claude" w:date="2026-09-27T05:00:00Z">
        <w:ins w:id="200839" w:author="Claude" w:date="2026-09-27T12:00:00Z">
          <w:r>
            <w:rPr>
              <w:color w:val="000000" w:themeColor="text1"/>
            </w:rPr>
            <w:delText xml:space="preserve">Isgur</w:delText>
          </w:r>
        </w:ins>
      </w:del>
      <w:del w:id="60076" w:author="Claude" w:date="2026-09-27T05:00:00Z">
        <w:ins w:id="200840" w:author="Claude" w:date="2026-09-27T12:00:00Z">
          <w:r>
            <w:rPr>
              <w:color w:val="000000" w:themeColor="text1"/>
            </w:rPr>
            <w:delText xml:space="preserve"> &amp; David French, </w:delText>
          </w:r>
        </w:ins>
      </w:del>
      <w:del w:id="60077" w:author="Claude" w:date="2026-09-27T05:00:00Z">
        <w:ins w:id="200841" w:author="Claude" w:date="2026-09-27T12:00:00Z">
          <w:r>
            <w:rPr>
              <w:i/>
              <w:iCs/>
            </w:rPr>
            <w:delText xml:space="preserve">Hubris in Legal Movements</w:delText>
          </w:r>
        </w:ins>
      </w:del>
      <w:del w:id="60078" w:author="Claude" w:date="2026-09-27T05:00:00Z">
        <w:ins w:id="200842" w:author="Claude" w:date="2026-09-27T12:00:00Z">
          <w:r>
            <w:delText xml:space="preserve">, The Dispatch: Advisory Opinions (June 24, 2025), https://thedispatch.com/podcast/advisoryopinions/hubris-in-legal-movements/ [create </w:delText>
          </w:r>
        </w:ins>
      </w:del>
      <w:del w:id="60079" w:author="Claude" w:date="2026-09-27T05:00:00Z">
        <w:ins w:id="200843" w:author="Claude" w:date="2026-09-27T12:00:00Z">
          <w:r>
            <w:delText xml:space="preserve">perma</w:delText>
          </w:r>
        </w:ins>
      </w:del>
      <w:del w:id="60080" w:author="Claude" w:date="2026-09-27T05:00:00Z">
        <w:ins w:id="200844" w:author="Claude" w:date="2026-09-27T12:00:00Z">
          <w:r>
            <w:delText xml:space="preserve"> link].</w:delText>
          </w:r>
        </w:ins>
      </w:del>
      <w:ins w:id="60081" w:author="Claude" w:date="2026-09-27T05:00:00Z">
        <w:r>
          <w:t xml:space="preserve">Isgur &amp; French, </w:t>
        </w:r>
      </w:ins>
      <w:ins w:id="60082" w:author="Claude" w:date="2026-09-27T05:00:00Z">
        <w:r>
          <w:rPr>
            <w:i/>
            <w:iCs/>
          </w:rPr>
          <w:t xml:space="preserve">supra</w:t>
        </w:r>
      </w:ins>
      <w:ins w:id="60083" w:author="Claude" w:date="2026-09-27T05:00:00Z">
        <w:r>
          <w:t xml:space="preserve"> note 10.</w:t>
        </w:r>
      </w:ins>
    </w:p>
  </w:footnote>
  <w:footnote w:id="741">
    <w:p w14:paraId="18D35CBD" w14:textId="67C20FB1" w:rsidR="00BE5202" w:rsidRPr="005B3E31" w:rsidRDefault="00BE5202" w:rsidP="003D74D8">
      <w:pPr>
        <w:pStyle w:val="FootnoteText"/>
        <w:spacing w:line="480" w:lineRule="auto"/>
        <w:rPr>
          <w:ins w:id="200856" w:author="Claude" w:date="2026-09-27T12:00:00Z"/>
          <w:color w:val="000000" w:themeColor="text1"/>
        </w:rPr>
      </w:pPr>
      <w:ins w:id="200846" w:author="Claude" w:date="2026-09-27T12:00:00Z">
        <w:r>
          <w:rPr>
            <w:rStyle w:val="FootnoteReference"/>
            <w:color w:val="000000" w:themeColor="text1"/>
          </w:rPr>
          <w:footnoteRef/>
        </w:r>
      </w:ins>
      <w:ins w:id="200847" w:author="Claude" w:date="2026-09-27T12:00:00Z">
        <w:r>
          <w:rPr>
            <w:color w:val="000000" w:themeColor="text1"/>
          </w:rPr>
          <w:t xml:space="preserve"> Ross Douthat &amp; Chase </w:t>
        </w:r>
      </w:ins>
      <w:ins w:id="200848" w:author="Claude" w:date="2026-09-27T12:00:00Z">
        <w:r>
          <w:rPr>
            <w:color w:val="000000" w:themeColor="text1"/>
          </w:rPr>
          <w:t>Strangio</w:t>
        </w:r>
      </w:ins>
      <w:ins w:id="200849" w:author="Claude" w:date="2026-09-27T12:00:00Z">
        <w:r>
          <w:rPr>
            <w:color w:val="000000" w:themeColor="text1"/>
          </w:rPr>
          <w:t xml:space="preserve">, </w:t>
        </w:r>
      </w:ins>
      <w:ins w:id="200850" w:author="Claude" w:date="2026-09-27T12:00:00Z">
        <w:r>
          <w:rPr>
            <w:i/>
            <w:iCs/>
            <w:color w:val="000000" w:themeColor="text1"/>
          </w:rPr>
          <w:t>The Shifting Politics of Transgender Rights</w:t>
        </w:r>
      </w:ins>
      <w:ins w:id="200851" w:author="Claude" w:date="2026-09-27T12:00:00Z">
        <w:r>
          <w:rPr>
            <w:color w:val="000000" w:themeColor="text1"/>
          </w:rPr>
          <w:t xml:space="preserve">, </w:t>
        </w:r>
      </w:ins>
      <w:ins w:id="200852" w:author="Claude" w:date="2026-09-27T12:00:00Z">
        <w:r>
          <w:rPr>
            <w:smallCaps/>
            <w:color w:val="000000" w:themeColor="text1"/>
          </w:rPr>
          <w:t>N.Y. Times</w:t>
        </w:r>
      </w:ins>
      <w:ins w:id="200853" w:author="Claude" w:date="2026-09-27T12:00:00Z">
        <w:r>
          <w:rPr>
            <w:color w:val="000000" w:themeColor="text1"/>
          </w:rPr>
          <w:t xml:space="preserve"> (Dec. 4, 2025), https://www.nytimes.com/2025/12/04/opinion/transgender-rights-strangio-douthat.html [create </w:t>
        </w:r>
      </w:ins>
      <w:ins w:id="200854" w:author="Claude" w:date="2026-09-27T12:00:00Z">
        <w:r>
          <w:rPr>
            <w:color w:val="000000" w:themeColor="text1"/>
          </w:rPr>
          <w:t>perma</w:t>
        </w:r>
      </w:ins>
      <w:ins w:id="200855" w:author="Claude" w:date="2026-09-27T12:00:00Z">
        <w:r>
          <w:rPr>
            <w:color w:val="000000" w:themeColor="text1"/>
          </w:rPr>
          <w:t xml:space="preserve"> link]. </w:t>
        </w:r>
      </w:ins>
    </w:p>
  </w:footnote>
  <w:footnote w:id="742">
    <w:p w14:paraId="41483A2B" w14:textId="40BC705F" w:rsidR="00D13E93" w:rsidRPr="005B3E31" w:rsidRDefault="00D13E93" w:rsidP="003D74D8">
      <w:pPr>
        <w:pStyle w:val="FootnoteText"/>
        <w:spacing w:line="480" w:lineRule="auto"/>
        <w:rPr>
          <w:ins w:id="200895" w:author="Claude" w:date="2026-09-27T12:00:00Z"/>
        </w:rPr>
      </w:pPr>
      <w:ins w:id="200892" w:author="Claude" w:date="2026-09-27T12:00:00Z">
        <w:r>
          <w:rPr>
            <w:rStyle w:val="FootnoteReference"/>
          </w:rPr>
          <w:footnoteRef/>
        </w:r>
      </w:ins>
      <w:ins w:id="200893" w:author="Claude" w:date="2026-09-27T12:00:00Z">
        <w:r>
          <w:t xml:space="preserve"> </w:t>
        </w:r>
      </w:ins>
      <w:ins w:id="200894" w:author="Claude" w:date="2026-09-27T12:00:00Z">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ins>
    </w:p>
  </w:footnote>
  <w:footnote w:id="743">
    <w:p w14:paraId="6119D837" w14:textId="1735BB1F" w:rsidR="00C97DF2" w:rsidRPr="005B3E31" w:rsidRDefault="00C97DF2" w:rsidP="003D74D8">
      <w:pPr>
        <w:pStyle w:val="FootnoteText"/>
        <w:spacing w:line="480" w:lineRule="auto"/>
        <w:ind w:left="720" w:hanging="720"/>
        <w:rPr>
          <w:ins w:id="200902" w:author="Claude" w:date="2026-09-27T12:00:00Z"/>
          <w:color w:val="000000" w:themeColor="text1"/>
        </w:rPr>
      </w:pPr>
      <w:ins w:id="200898" w:author="Claude" w:date="2026-09-27T12:00:00Z">
        <w:r>
          <w:rPr>
            <w:rStyle w:val="FootnoteReference"/>
            <w:color w:val="000000" w:themeColor="text1"/>
          </w:rPr>
          <w:footnoteRef/>
        </w:r>
      </w:ins>
      <w:ins w:id="200899" w:author="Claude" w:date="2026-09-27T12:00:00Z">
        <w:r>
          <w:rPr>
            <w:color w:val="000000" w:themeColor="text1"/>
          </w:rPr>
          <w:t xml:space="preserve"> </w:t>
        </w:r>
      </w:ins>
      <w:ins w:id="200900" w:author="Claude" w:date="2026-09-27T12:00:00Z">
        <w:r>
          <w:rPr>
            <w:smallCaps/>
            <w:color w:val="000000" w:themeColor="text1"/>
          </w:rPr>
          <w:t>Tenn. Code Ann</w:t>
        </w:r>
      </w:ins>
      <w:ins w:id="200901" w:author="Claude" w:date="2026-09-27T12:00:00Z">
        <w:r>
          <w:rPr>
            <w:color w:val="000000" w:themeColor="text1"/>
          </w:rPr>
          <w:t>. §§ 68-33-101 to -107 (2023).</w:t>
        </w:r>
      </w:ins>
    </w:p>
  </w:footnote>
  <w:footnote w:id="744">
    <w:p w14:paraId="388AB3B7" w14:textId="77777777" w:rsidR="00C97DF2" w:rsidRPr="005B3E31" w:rsidRDefault="00C97DF2" w:rsidP="003D74D8">
      <w:pPr>
        <w:pStyle w:val="FootnoteText"/>
        <w:spacing w:line="480" w:lineRule="auto"/>
        <w:rPr>
          <w:ins w:id="200907" w:author="Claude" w:date="2026-09-27T12:00:00Z"/>
          <w:color w:val="000000" w:themeColor="text1"/>
        </w:rPr>
      </w:pPr>
      <w:ins w:id="200903" w:author="Claude" w:date="2026-09-27T12:00:00Z">
        <w:r>
          <w:rPr>
            <w:rStyle w:val="FootnoteReference"/>
            <w:color w:val="000000" w:themeColor="text1"/>
          </w:rPr>
          <w:footnoteRef/>
        </w:r>
      </w:ins>
      <w:ins w:id="200904" w:author="Claude" w:date="2026-09-27T12:00:00Z">
        <w:r>
          <w:rPr>
            <w:color w:val="000000" w:themeColor="text1"/>
          </w:rPr>
          <w:t xml:space="preserve"> </w:t>
        </w:r>
      </w:ins>
      <w:ins w:id="200905" w:author="Claude" w:date="2026-09-27T12:00:00Z">
        <w:r>
          <w:rPr>
            <w:i/>
            <w:iCs/>
            <w:color w:val="000000" w:themeColor="text1"/>
          </w:rPr>
          <w:t>Id</w:t>
        </w:r>
      </w:ins>
      <w:ins w:id="200906" w:author="Claude" w:date="2026-09-27T12:00:00Z">
        <w:r>
          <w:rPr>
            <w:color w:val="000000" w:themeColor="text1"/>
          </w:rPr>
          <w:t xml:space="preserve">. </w:t>
        </w:r>
      </w:ins>
    </w:p>
  </w:footnote>
  <w:footnote w:id="745">
    <w:p w14:paraId="21D70EE0" w14:textId="18F4C779" w:rsidR="00C97DF2" w:rsidRPr="005B3E31" w:rsidRDefault="00C97DF2" w:rsidP="003D74D8">
      <w:pPr>
        <w:pStyle w:val="FootnoteText"/>
        <w:spacing w:line="480" w:lineRule="auto"/>
        <w:rPr>
          <w:ins w:id="200922" w:author="Claude" w:date="2026-09-27T12:00:00Z"/>
          <w:color w:val="000000" w:themeColor="text1"/>
        </w:rPr>
      </w:pPr>
      <w:ins w:id="200908" w:author="Claude" w:date="2026-09-27T12:00:00Z">
        <w:r>
          <w:rPr>
            <w:rStyle w:val="FootnoteReference"/>
            <w:color w:val="000000" w:themeColor="text1"/>
          </w:rPr>
          <w:footnoteRef/>
        </w:r>
      </w:ins>
      <w:ins w:id="200909" w:author="Claude" w:date="2026-09-27T12:00:00Z">
        <w:r>
          <w:rPr>
            <w:color w:val="000000" w:themeColor="text1"/>
          </w:rPr>
          <w:t xml:space="preserve"> </w:t>
        </w:r>
      </w:ins>
      <w:ins w:id="60084" w:author="Claude" w:date="2026-09-27T05:00:00Z">
        <w:r>
          <w:rPr>
            <w:color w:val="000000" w:themeColor="text1"/>
          </w:rPr>
          <w:t xml:space="preserve">Press Release, </w:t>
        </w:r>
      </w:ins>
      <w:ins w:id="200910" w:author="Claude" w:date="2026-09-27T12:00:00Z">
        <w:r>
          <w:rPr>
            <w:color w:val="000000" w:themeColor="text1"/>
            <w:rPrChange w:id="60085" w:author="Claude" w:date="2026-09-27T05:00:00Z">
              <w:rPr>
                <w:smallCaps/>
                <w:color w:val="000000" w:themeColor="text1"/>
              </w:rPr>
            </w:rPrChange>
          </w:rPr>
          <w:t xml:space="preserve">Ala. </w:t>
        </w:r>
      </w:ins>
      <w:ins w:id="200911" w:author="Claude" w:date="2026-09-27T12:00:00Z">
        <w:r>
          <w:rPr>
            <w:color w:val="000000" w:themeColor="text1"/>
            <w:rPrChange w:id="60086" w:author="Claude" w:date="2026-09-27T05:00:00Z">
              <w:rPr>
                <w:smallCaps/>
                <w:color w:val="000000" w:themeColor="text1"/>
              </w:rPr>
            </w:rPrChange>
          </w:rPr>
          <w:t xml:space="preserve">Att’y</w:t>
        </w:r>
      </w:ins>
      <w:ins w:id="200912" w:author="Claude" w:date="2026-09-27T12:00:00Z">
        <w:r>
          <w:rPr>
            <w:color w:val="000000" w:themeColor="text1"/>
            <w:rPrChange w:id="60087" w:author="Claude" w:date="2026-09-27T05:00:00Z">
              <w:rPr>
                <w:smallCaps/>
                <w:color w:val="000000" w:themeColor="text1"/>
              </w:rPr>
            </w:rPrChange>
          </w:rPr>
          <w:t xml:space="preserve"> Gen</w:t>
        </w:r>
      </w:ins>
      <w:ins w:id="200913" w:author="Claude" w:date="2026-09-27T12:00:00Z">
        <w:r>
          <w:rPr>
            <w:color w:val="000000" w:themeColor="text1"/>
          </w:rPr>
          <w:t xml:space="preserve">., </w:t>
        </w:r>
      </w:ins>
      <w:ins w:id="60088" w:author="Claude" w:date="2026-09-27T05:00:00Z">
        <w:r>
          <w:rPr>
            <w:i/>
            <w:iCs/>
            <w:color w:val="000000" w:themeColor="text1"/>
          </w:rPr>
          <w:t xml:space="preserve">Attorney General Marshall: </w:t>
        </w:r>
      </w:ins>
      <w:ins w:id="200914" w:author="Claude" w:date="2026-09-27T12:00:00Z">
        <w:r>
          <w:rPr>
            <w:i/>
            <w:iCs/>
            <w:color w:val="000000" w:themeColor="text1"/>
          </w:rPr>
          <w:t xml:space="preserve">Supreme Court Agrees on Tennessee’s Case, States Can Impose Age Limits on Sex-Change Procedures</w:t>
        </w:r>
      </w:ins>
      <w:ins w:id="200915" w:author="Claude" w:date="2026-09-27T12:00:00Z">
        <w:r>
          <w:rPr>
            <w:color w:val="000000" w:themeColor="text1"/>
          </w:rPr>
          <w:t xml:space="preserve"> (June 18, 2025), https://www.alabamaag.gov/wp-content/uploads/2025/06/2025.6.18-Attorney-General-Marshall-Supreme-Court-Agrees-on-Tennessees-Case-States-Can-Impose-Age-Limits-on-Sex-Change-Procedures.pdf [create </w:t>
        </w:r>
      </w:ins>
      <w:ins w:id="200916" w:author="Claude" w:date="2026-09-27T12:00:00Z">
        <w:r>
          <w:rPr>
            <w:color w:val="000000" w:themeColor="text1"/>
          </w:rPr>
          <w:t xml:space="preserve">perma</w:t>
        </w:r>
      </w:ins>
      <w:ins w:id="200917" w:author="Claude" w:date="2026-09-27T12:00:00Z">
        <w:r>
          <w:rPr>
            <w:color w:val="000000" w:themeColor="text1"/>
          </w:rPr>
          <w:t xml:space="preserve"> link]; </w:t>
        </w:r>
      </w:ins>
      <w:ins w:id="200918" w:author="Claude" w:date="2026-09-27T12:00:00Z">
        <w:r>
          <w:rPr>
            <w:color w:val="000000" w:themeColor="text1"/>
          </w:rPr>
          <w:t xml:space="preserve">Confessore</w:t>
        </w:r>
      </w:ins>
      <w:ins w:id="200919" w:author="Claude" w:date="2026-09-27T12:00:00Z">
        <w:r>
          <w:rPr>
            <w:color w:val="000000" w:themeColor="text1"/>
          </w:rPr>
          <w:t xml:space="preserve">, </w:t>
        </w:r>
      </w:ins>
      <w:ins w:id="200920" w:author="Claude" w:date="2026-09-27T12:00:00Z">
        <w:r>
          <w:rPr>
            <w:i/>
            <w:iCs/>
            <w:color w:val="000000" w:themeColor="text1"/>
            <w:rPrChange w:id="60089" w:author="Claude" w:date="2026-09-27T05:00:00Z">
              <w:rPr>
                <w:color w:val="000000" w:themeColor="text1"/>
              </w:rPr>
            </w:rPrChange>
          </w:rPr>
          <w:t xml:space="preserve">supra</w:t>
        </w:r>
      </w:ins>
      <w:ins w:id="200921" w:author="Claude" w:date="2026-09-27T12:00:00Z">
        <w:r>
          <w:rPr>
            <w:color w:val="000000" w:themeColor="text1"/>
          </w:rPr>
          <w:t xml:space="preserve"> note 3.</w:t>
        </w:r>
      </w:ins>
    </w:p>
  </w:footnote>
  <w:footnote w:id="746">
    <w:p w14:paraId="2776AE9D" w14:textId="584932EF" w:rsidR="00C97DF2" w:rsidRPr="005B3E31" w:rsidRDefault="00C97DF2" w:rsidP="003D74D8">
      <w:pPr>
        <w:pStyle w:val="FootnoteText"/>
        <w:spacing w:line="480" w:lineRule="auto"/>
        <w:rPr>
          <w:ins w:id="200932" w:author="Claude" w:date="2026-09-27T12:00:00Z"/>
          <w:color w:val="000000" w:themeColor="text1"/>
        </w:rPr>
      </w:pPr>
      <w:ins w:id="200923" w:author="Claude" w:date="2026-09-27T12:00:00Z">
        <w:r>
          <w:rPr>
            <w:rStyle w:val="FootnoteReference"/>
            <w:color w:val="000000" w:themeColor="text1"/>
          </w:rPr>
          <w:footnoteRef/>
        </w:r>
      </w:ins>
      <w:ins w:id="200924" w:author="Claude" w:date="2026-09-27T12:00:00Z">
        <w:r>
          <w:rPr>
            <w:color w:val="000000" w:themeColor="text1"/>
          </w:rPr>
          <w:t xml:space="preserve"> </w:t>
        </w:r>
      </w:ins>
      <w:ins w:id="200925" w:author="Claude" w:date="2026-09-27T12:00:00Z">
        <w:r>
          <w:rPr>
            <w:color w:val="000000" w:themeColor="text1"/>
          </w:rPr>
          <w:t xml:space="preserve">Isgur</w:t>
        </w:r>
      </w:ins>
      <w:ins w:id="200926" w:author="Claude" w:date="2026-09-27T12:00:00Z">
        <w:r>
          <w:rPr>
            <w:color w:val="000000" w:themeColor="text1"/>
          </w:rPr>
          <w:t xml:space="preserve"> &amp; French, </w:t>
        </w:r>
      </w:ins>
      <w:ins w:id="200927" w:author="Claude" w:date="2026-09-27T12:00:00Z">
        <w:r>
          <w:rPr>
            <w:i/>
            <w:iCs/>
            <w:color w:val="000000" w:themeColor="text1"/>
          </w:rPr>
          <w:t xml:space="preserve">supra</w:t>
        </w:r>
      </w:ins>
      <w:ins w:id="200928" w:author="Claude" w:date="2026-09-27T12:00:00Z">
        <w:r>
          <w:rPr>
            <w:color w:val="000000" w:themeColor="text1"/>
          </w:rPr>
          <w:t xml:space="preserve"> note 7; </w:t>
        </w:r>
      </w:ins>
      <w:del w:id="60090" w:author="Claude" w:date="2026-09-27T05:00:00Z">
        <w:ins w:id="200929" w:author="Claude" w:date="2026-09-27T12:00:00Z">
          <w:r>
            <w:rPr>
              <w:color w:val="000000" w:themeColor="text1"/>
            </w:rPr>
            <w:delText xml:space="preserve">Steve Marshall, Attorney General Marshall: </w:delText>
          </w:r>
        </w:ins>
      </w:del>
      <w:del w:id="60091" w:author="Claude" w:date="2026-09-27T05:00:00Z">
        <w:ins w:id="200930" w:author="Claude" w:date="2026-09-27T12:00:00Z">
          <w:r>
            <w:rPr>
              <w:i/>
              <w:iCs/>
              <w:color w:val="000000" w:themeColor="text1"/>
            </w:rPr>
            <w:delText xml:space="preserve">Supreme Court Agrees on Tennessee’s Case, States Can Impose Age Limits on Sex-Change Procedures</w:delText>
          </w:r>
        </w:ins>
      </w:del>
      <w:del w:id="60092" w:author="Claude" w:date="2026-09-27T05:00:00Z">
        <w:ins w:id="200931" w:author="Claude" w:date="2026-09-27T12:00:00Z">
          <w:r>
            <w:rPr>
              <w:color w:val="000000" w:themeColor="text1"/>
            </w:rPr>
            <w:delText xml:space="preserve"> (June 18, 2025).</w:delText>
          </w:r>
        </w:ins>
      </w:del>
      <w:ins w:id="60093" w:author="Claude" w:date="2026-09-27T05:00:00Z">
        <w:r>
          <w:rPr>
            <w:color w:val="000000" w:themeColor="text1"/>
          </w:rPr>
          <w:t xml:space="preserve">Ala. Att’y Gen., </w:t>
        </w:r>
      </w:ins>
      <w:ins w:id="60094" w:author="Claude" w:date="2026-09-27T05:00:00Z">
        <w:r>
          <w:rPr>
            <w:i/>
            <w:iCs/>
            <w:color w:val="000000" w:themeColor="text1"/>
          </w:rPr>
          <w:t xml:space="preserve">supra</w:t>
        </w:r>
      </w:ins>
      <w:ins w:id="60095" w:author="Claude" w:date="2026-09-27T05:00:00Z">
        <w:r>
          <w:rPr>
            <w:color w:val="000000" w:themeColor="text1"/>
          </w:rPr>
          <w:t xml:space="preserve"> note 20.</w:t>
        </w:r>
      </w:ins>
    </w:p>
  </w:footnote>
  <w:footnote w:id="747">
    <w:p w14:paraId="6AF397A3" w14:textId="538B1728" w:rsidR="006A70B9" w:rsidRPr="005B3E31" w:rsidRDefault="006A70B9" w:rsidP="003D74D8">
      <w:pPr>
        <w:pStyle w:val="FootnoteText"/>
        <w:spacing w:line="480" w:lineRule="auto"/>
        <w:rPr>
          <w:ins w:id="200974" w:author="Claude" w:date="2026-09-27T12:00:00Z"/>
          <w:color w:val="000000" w:themeColor="text1"/>
        </w:rPr>
      </w:pPr>
      <w:ins w:id="200949" w:author="Claude" w:date="2026-09-27T12:00:00Z">
        <w:r>
          <w:rPr>
            <w:rStyle w:val="FootnoteReference"/>
            <w:color w:val="000000" w:themeColor="text1"/>
          </w:rPr>
          <w:footnoteRef/>
        </w:r>
      </w:ins>
      <w:ins w:id="200950" w:author="Claude" w:date="2026-09-27T12:00:00Z">
        <w:r>
          <w:rPr>
            <w:color w:val="000000" w:themeColor="text1"/>
          </w:rPr>
          <w:t xml:space="preserve">  First Amended Complaint for Declaratory and Injunctive Relief ¶ 30, </w:t>
        </w:r>
      </w:ins>
      <w:ins w:id="200951" w:author="Claude" w:date="2026-09-27T12:00:00Z">
        <w:r>
          <w:rPr>
            <w:color w:val="000000" w:themeColor="text1"/>
          </w:rPr>
          <w:t xml:space="preserve">Eknes</w:t>
        </w:r>
      </w:ins>
      <w:ins w:id="200952" w:author="Claude" w:date="2026-09-27T12:00:00Z">
        <w:r>
          <w:rPr>
            <w:color w:val="000000" w:themeColor="text1"/>
          </w:rPr>
          <w:t xml:space="preserve">-Tucker v. Marshall, No. 2:22-cv-00184-LCB-CWB (M.D. Ala. Aug. 9, 2022) (“Healthcare providers who specialize in the treatment of gender dysphoria follow [WPATH’s] well-established standard of care that has been adopted by the major medical and mental health associations”); </w:t>
        </w:r>
      </w:ins>
      <w:ins w:id="200953" w:author="Claude" w:date="2026-09-27T12:00:00Z">
        <w:r>
          <w:rPr>
            <w:i/>
            <w:iCs/>
            <w:color w:val="000000" w:themeColor="text1"/>
          </w:rPr>
          <w:t xml:space="preserve">see also</w:t>
        </w:r>
      </w:ins>
      <w:ins w:id="200954" w:author="Claude" w:date="2026-09-27T12:00:00Z">
        <w:r>
          <w:rPr>
            <w:color w:val="000000" w:themeColor="text1"/>
          </w:rPr>
          <w:t xml:space="preserve"> Amended Complaint in Intervention ¶ 48, </w:t>
        </w:r>
      </w:ins>
      <w:ins w:id="200955" w:author="Claude" w:date="2026-09-27T12:00:00Z">
        <w:r>
          <w:rPr>
            <w:color w:val="000000" w:themeColor="text1"/>
          </w:rPr>
          <w:t xml:space="preserve">Eknes</w:t>
        </w:r>
      </w:ins>
      <w:ins w:id="200956" w:author="Claude" w:date="2026-09-27T12:00:00Z">
        <w:r>
          <w:rPr>
            <w:color w:val="000000" w:themeColor="text1"/>
          </w:rPr>
          <w:t xml:space="preserve">-Tucker v. Ivey, No. 2:22-cv-00184-LCB-SRW (M.D. Ala. May 4, 2022) (“S.B. 184 prohibits transgender minors from obtaining care that is well recognized within the medical community as medically appropriate and necessary”); Rohan </w:t>
        </w:r>
      </w:ins>
      <w:ins w:id="200957" w:author="Claude" w:date="2026-09-27T12:00:00Z">
        <w:r>
          <w:rPr>
            <w:color w:val="000000" w:themeColor="text1"/>
          </w:rPr>
          <w:t xml:space="preserve">Lokanadham</w:t>
        </w:r>
      </w:ins>
      <w:ins w:id="200958" w:author="Claude" w:date="2026-09-27T12:00:00Z">
        <w:r>
          <w:rPr>
            <w:color w:val="000000" w:themeColor="text1"/>
          </w:rPr>
          <w:t xml:space="preserve">, </w:t>
        </w:r>
      </w:ins>
      <w:ins w:id="200959" w:author="Claude" w:date="2026-09-27T12:00:00Z">
        <w:r>
          <w:rPr>
            <w:i/>
            <w:iCs/>
            <w:color w:val="000000" w:themeColor="text1"/>
          </w:rPr>
          <w:t xml:space="preserve">Law School Hosts Panel on How </w:t>
        </w:r>
      </w:ins>
      <w:ins w:id="200960" w:author="Claude" w:date="2026-09-27T12:00:00Z">
        <w:r>
          <w:rPr>
            <w:color w:val="000000" w:themeColor="text1"/>
            <w:rPrChange w:id="60096" w:author="Claude" w:date="2026-09-27T05:00:00Z">
              <w:rPr>
                <w:i/>
                <w:iCs/>
                <w:color w:val="000000" w:themeColor="text1"/>
              </w:rPr>
            </w:rPrChange>
          </w:rPr>
          <w:t xml:space="preserve">United States v. </w:t>
        </w:r>
      </w:ins>
      <w:ins w:id="200961" w:author="Claude" w:date="2026-09-27T12:00:00Z">
        <w:r>
          <w:rPr>
            <w:color w:val="000000" w:themeColor="text1"/>
            <w:rPrChange w:id="60097" w:author="Claude" w:date="2026-09-27T05:00:00Z">
              <w:rPr>
                <w:i/>
                <w:iCs/>
                <w:color w:val="000000" w:themeColor="text1"/>
              </w:rPr>
            </w:rPrChange>
          </w:rPr>
          <w:t xml:space="preserve">Skrmetti</w:t>
        </w:r>
      </w:ins>
      <w:ins w:id="200962" w:author="Claude" w:date="2026-09-27T12:00:00Z">
        <w:r>
          <w:rPr>
            <w:i/>
            <w:iCs/>
            <w:color w:val="000000" w:themeColor="text1"/>
          </w:rPr>
          <w:t xml:space="preserve"> Puts Transgender Healthcare on the Line</w:t>
        </w:r>
      </w:ins>
      <w:ins w:id="200963" w:author="Claude" w:date="2026-09-27T12:00:00Z">
        <w:r>
          <w:rPr>
            <w:color w:val="000000" w:themeColor="text1"/>
          </w:rPr>
          <w:t xml:space="preserve">, </w:t>
        </w:r>
      </w:ins>
      <w:ins w:id="200964" w:author="Claude" w:date="2026-09-27T12:00:00Z">
        <w:r>
          <w:rPr>
            <w:smallCaps/>
            <w:color w:val="000000" w:themeColor="text1"/>
          </w:rPr>
          <w:t xml:space="preserve">Yale Daily News</w:t>
        </w:r>
      </w:ins>
      <w:ins w:id="200965" w:author="Claude" w:date="2026-09-27T12:00:00Z">
        <w:r>
          <w:rPr>
            <w:color w:val="000000" w:themeColor="text1"/>
          </w:rPr>
          <w:t xml:space="preserve"> (Nov. 18, 2024</w:t>
        </w:r>
      </w:ins>
      <w:del w:id="60098" w:author="Claude" w:date="2026-09-27T05:00:00Z">
        <w:ins w:id="200966" w:author="Claude" w:date="2026-09-27T12:00:00Z">
          <w:r>
            <w:rPr>
              <w:color w:val="000000" w:themeColor="text1"/>
            </w:rPr>
            <w:delText xml:space="preserve">, at 1:23 ET</w:delText>
          </w:r>
        </w:ins>
      </w:del>
      <w:ins w:id="200967" w:author="Claude" w:date="2026-09-27T12:00:00Z">
        <w:r>
          <w:rPr>
            <w:color w:val="000000" w:themeColor="text1"/>
          </w:rPr>
          <w:t xml:space="preserve">), https://yaledailynews.com/blog/2024/11/18/law-school-hosts-panel-on-how-united-states-v-skrmetti-puts-transgender-healthcare-on-the-line</w:t>
        </w:r>
      </w:ins>
      <w:del w:id="60099" w:author="Claude" w:date="2026-09-27T05:00:00Z">
        <w:ins w:id="200968" w:author="Claude" w:date="2026-09-27T12:00:00Z">
          <w:r>
            <w:rPr>
              <w:color w:val="000000" w:themeColor="text1"/>
            </w:rPr>
            <w:delText xml:space="preserve">/  </w:delText>
          </w:r>
        </w:ins>
      </w:del>
      <w:ins w:id="60100" w:author="Claude" w:date="2026-09-27T05:00:00Z">
        <w:r>
          <w:rPr>
            <w:color w:val="000000" w:themeColor="text1"/>
          </w:rPr>
          <w:t xml:space="preserve">/ </w:t>
        </w:r>
      </w:ins>
      <w:ins w:id="200969" w:author="Claude" w:date="2026-09-27T12:00:00Z">
        <w:r>
          <w:rPr>
            <w:color w:val="000000" w:themeColor="text1"/>
          </w:rPr>
          <w:t xml:space="preserve">[create </w:t>
        </w:r>
      </w:ins>
      <w:ins w:id="200970" w:author="Claude" w:date="2026-09-27T12:00:00Z">
        <w:r>
          <w:rPr>
            <w:color w:val="000000" w:themeColor="text1"/>
          </w:rPr>
          <w:t xml:space="preserve">perma</w:t>
        </w:r>
      </w:ins>
      <w:ins w:id="200971" w:author="Claude" w:date="2026-09-27T12:00:00Z">
        <w:r>
          <w:rPr>
            <w:color w:val="000000" w:themeColor="text1"/>
          </w:rPr>
          <w:t xml:space="preserve"> link] (discussing a parade of </w:t>
        </w:r>
      </w:ins>
      <w:ins w:id="200972" w:author="Claude" w:date="2026-09-27T12:00:00Z">
        <w:r>
          <w:rPr>
            <w:color w:val="000000" w:themeColor="text1"/>
          </w:rPr>
          <w:t xml:space="preserve">horribles</w:t>
        </w:r>
      </w:ins>
      <w:ins w:id="200973" w:author="Claude" w:date="2026-09-27T12:00:00Z">
        <w:r>
          <w:rPr>
            <w:color w:val="000000" w:themeColor="text1"/>
          </w:rPr>
          <w:t xml:space="preserve"> if courts do not defer to medical institutions).</w:t>
        </w:r>
      </w:ins>
    </w:p>
  </w:footnote>
  <w:footnote w:id="748">
    <w:p w14:paraId="79F79CAB" w14:textId="1A0434A6" w:rsidR="00DB5F62" w:rsidRPr="005B3E31" w:rsidRDefault="00DB5F62" w:rsidP="003D74D8">
      <w:pPr>
        <w:pStyle w:val="FootnoteText"/>
        <w:spacing w:line="480" w:lineRule="auto"/>
        <w:rPr>
          <w:ins w:id="200979" w:author="Claude" w:date="2026-09-27T12:00:00Z"/>
          <w:color w:val="000000" w:themeColor="text1"/>
        </w:rPr>
      </w:pPr>
      <w:ins w:id="200975" w:author="Claude" w:date="2026-09-27T12:00:00Z">
        <w:r>
          <w:rPr>
            <w:rStyle w:val="FootnoteReference"/>
            <w:color w:val="000000" w:themeColor="text1"/>
          </w:rPr>
          <w:footnoteRef/>
        </w:r>
      </w:ins>
      <w:ins w:id="200976" w:author="Claude" w:date="2026-09-27T12:00:00Z">
        <w:r>
          <w:rPr>
            <w:color w:val="000000" w:themeColor="text1"/>
          </w:rPr>
          <w:t xml:space="preserve"> Amended Complaint in Intervention ¶ 28, </w:t>
        </w:r>
      </w:ins>
      <w:ins w:id="200977" w:author="Claude" w:date="2026-09-27T12:00:00Z">
        <w:r>
          <w:rPr>
            <w:color w:val="000000" w:themeColor="text1"/>
          </w:rPr>
          <w:t>Eknes</w:t>
        </w:r>
      </w:ins>
      <w:ins w:id="200978" w:author="Claude" w:date="2026-09-27T12:00:00Z">
        <w:r>
          <w:rPr>
            <w:color w:val="000000" w:themeColor="text1"/>
          </w:rPr>
          <w:t>-Tucker v. Ivey, No. 2:22-cv-00184-LCB-SRW (M.D. Ala. May 4, 2022).</w:t>
        </w:r>
      </w:ins>
    </w:p>
  </w:footnote>
  <w:footnote w:id="749">
    <w:p w14:paraId="2936E8EA" w14:textId="2E647E73" w:rsidR="00C0099B" w:rsidRPr="005B3E31" w:rsidRDefault="00C0099B" w:rsidP="003D74D8">
      <w:pPr>
        <w:pStyle w:val="FootnoteText"/>
        <w:spacing w:line="480" w:lineRule="auto"/>
        <w:rPr>
          <w:ins w:id="200988" w:author="Claude" w:date="2026-09-27T12:00:00Z"/>
          <w:color w:val="000000" w:themeColor="text1"/>
        </w:rPr>
      </w:pPr>
      <w:ins w:id="200980" w:author="Claude" w:date="2026-09-27T12:00:00Z">
        <w:r>
          <w:rPr>
            <w:rStyle w:val="FootnoteReference"/>
            <w:color w:val="000000" w:themeColor="text1"/>
          </w:rPr>
          <w:footnoteRef/>
        </w:r>
      </w:ins>
      <w:ins w:id="200981" w:author="Claude" w:date="2026-09-27T12:00:00Z">
        <w:r>
          <w:rPr>
            <w:color w:val="000000" w:themeColor="text1"/>
          </w:rPr>
          <w:t xml:space="preserve"> Memorandum in Support of Plaintiffs’ Motion for a Temporary Restraining Order and/or Preliminary </w:t>
        </w:r>
      </w:ins>
      <w:del w:id="60101" w:author="Claude" w:date="2026-09-27T05:00:00Z">
        <w:ins w:id="200982" w:author="Claude" w:date="2026-09-27T12:00:00Z">
          <w:r>
            <w:rPr>
              <w:color w:val="000000" w:themeColor="text1"/>
            </w:rPr>
            <w:delText xml:space="preserve">Injunction</w:delText>
          </w:r>
        </w:ins>
      </w:del>
      <w:ins w:id="60102" w:author="Claude" w:date="2026-09-27T05:00:00Z">
        <w:r>
          <w:rPr>
            <w:color w:val="000000" w:themeColor="text1"/>
          </w:rPr>
          <w:t xml:space="preserve">Injunction at 13, 16, 28</w:t>
        </w:r>
      </w:ins>
      <w:ins w:id="200983" w:author="Claude" w:date="2026-09-27T12:00:00Z">
        <w:r>
          <w:rPr>
            <w:color w:val="000000" w:themeColor="text1"/>
          </w:rPr>
          <w:t xml:space="preserve">, </w:t>
        </w:r>
      </w:ins>
      <w:ins w:id="200984" w:author="Claude" w:date="2026-09-27T12:00:00Z">
        <w:r>
          <w:rPr>
            <w:color w:val="000000" w:themeColor="text1"/>
          </w:rPr>
          <w:t xml:space="preserve">Eknes</w:t>
        </w:r>
      </w:ins>
      <w:ins w:id="200985" w:author="Claude" w:date="2026-09-27T12:00:00Z">
        <w:r>
          <w:rPr>
            <w:color w:val="000000" w:themeColor="text1"/>
          </w:rPr>
          <w:t xml:space="preserve">-Tucker v. Ivey, No. 2:</w:t>
        </w:r>
      </w:ins>
      <w:del w:id="60103" w:author="Claude" w:date="2026-09-27T05:00:00Z">
        <w:ins w:id="200986" w:author="Claude" w:date="2026-09-27T12:00:00Z">
          <w:r>
            <w:rPr>
              <w:color w:val="000000" w:themeColor="text1"/>
            </w:rPr>
            <w:delText xml:space="preserve">22-cv-00184-LCB-SRW, at 13, 16, 28 </w:delText>
          </w:r>
        </w:ins>
      </w:del>
      <w:ins w:id="60104" w:author="Claude" w:date="2026-09-27T05:00:00Z">
        <w:r>
          <w:rPr>
            <w:color w:val="000000" w:themeColor="text1"/>
          </w:rPr>
          <w:t xml:space="preserve">22-cv-00184-LCB-SRW </w:t>
        </w:r>
      </w:ins>
      <w:ins w:id="200987" w:author="Claude" w:date="2026-09-27T12:00:00Z">
        <w:r>
          <w:rPr>
            <w:color w:val="000000" w:themeColor="text1"/>
          </w:rPr>
          <w:t xml:space="preserve">(M.D. Ala. Apr. 21, 2022). </w:t>
        </w:r>
      </w:ins>
    </w:p>
  </w:footnote>
  <w:footnote w:id="750">
    <w:p w14:paraId="131F5DA6" w14:textId="3701B47F" w:rsidR="001D4FB2" w:rsidRPr="005B3E31" w:rsidRDefault="001D4FB2" w:rsidP="003D74D8">
      <w:pPr>
        <w:pStyle w:val="FootnoteText"/>
        <w:spacing w:line="480" w:lineRule="auto"/>
        <w:rPr>
          <w:ins w:id="200995" w:author="Claude" w:date="2026-09-27T12:00:00Z"/>
          <w:color w:val="000000" w:themeColor="text1"/>
        </w:rPr>
      </w:pPr>
      <w:ins w:id="200989" w:author="Claude" w:date="2026-09-27T12:00:00Z">
        <w:r>
          <w:rPr>
            <w:rStyle w:val="FootnoteReference"/>
            <w:color w:val="000000" w:themeColor="text1"/>
          </w:rPr>
          <w:footnoteRef/>
        </w:r>
      </w:ins>
      <w:ins w:id="200990" w:author="Claude" w:date="2026-09-27T12:00:00Z">
        <w:r>
          <w:rPr>
            <w:color w:val="000000" w:themeColor="text1"/>
          </w:rPr>
          <w:t xml:space="preserve"> </w:t>
        </w:r>
      </w:ins>
      <w:ins w:id="200991" w:author="Claude" w:date="2026-09-27T12:00:00Z">
        <w:r>
          <w:rPr>
            <w:color w:val="000000" w:themeColor="text1"/>
          </w:rPr>
          <w:t>Isgur</w:t>
        </w:r>
      </w:ins>
      <w:ins w:id="200992" w:author="Claude" w:date="2026-09-27T12:00:00Z">
        <w:r>
          <w:rPr>
            <w:color w:val="000000" w:themeColor="text1"/>
          </w:rPr>
          <w:t xml:space="preserve"> &amp; French, </w:t>
        </w:r>
      </w:ins>
      <w:ins w:id="200993" w:author="Claude" w:date="2026-09-27T12:00:00Z">
        <w:r>
          <w:rPr>
            <w:i/>
            <w:iCs/>
            <w:color w:val="000000" w:themeColor="text1"/>
          </w:rPr>
          <w:t>supra</w:t>
        </w:r>
      </w:ins>
      <w:ins w:id="200994" w:author="Claude" w:date="2026-09-27T12:00:00Z">
        <w:r>
          <w:rPr>
            <w:color w:val="000000" w:themeColor="text1"/>
          </w:rPr>
          <w:t> note 7.</w:t>
        </w:r>
      </w:ins>
    </w:p>
  </w:footnote>
  <w:footnote w:id="751">
    <w:p w14:paraId="56144834" w14:textId="458D1F71" w:rsidR="00545012" w:rsidRPr="005B3E31" w:rsidRDefault="00545012" w:rsidP="003D74D8">
      <w:pPr>
        <w:pStyle w:val="FootnoteText"/>
        <w:spacing w:line="480" w:lineRule="auto"/>
        <w:rPr>
          <w:ins w:id="201034" w:author="Claude" w:date="2026-09-27T12:00:00Z"/>
          <w:color w:val="000000" w:themeColor="text1"/>
        </w:rPr>
      </w:pPr>
      <w:ins w:id="201011" w:author="Claude" w:date="2026-09-27T12:00:00Z">
        <w:r>
          <w:rPr>
            <w:rStyle w:val="FootnoteReference"/>
            <w:color w:val="000000" w:themeColor="text1"/>
          </w:rPr>
          <w:footnoteRef/>
        </w:r>
      </w:ins>
      <w:ins w:id="201012" w:author="Claude" w:date="2026-09-27T12:00:00Z">
        <w:r>
          <w:rPr>
            <w:color w:val="000000" w:themeColor="text1"/>
          </w:rPr>
          <w:t xml:space="preserve"> Brief of Amici Curiae State of Alabama and 23 Other States in Support of Jurisdiction at 3, Moe v. Yost, No. 2025-0472 (Ohio May 16, 2025); </w:t>
        </w:r>
      </w:ins>
      <w:ins w:id="201013" w:author="Claude" w:date="2026-09-27T12:00:00Z">
        <w:r>
          <w:rPr>
            <w:i/>
            <w:iCs/>
            <w:color w:val="000000" w:themeColor="text1"/>
          </w:rPr>
          <w:t xml:space="preserve">see also</w:t>
        </w:r>
      </w:ins>
      <w:ins w:id="201014" w:author="Claude" w:date="2026-09-27T12:00:00Z">
        <w:r>
          <w:rPr>
            <w:color w:val="000000" w:themeColor="text1"/>
          </w:rPr>
          <w:t xml:space="preserve"> Chloe K. Jones, </w:t>
        </w:r>
      </w:ins>
      <w:ins w:id="201015" w:author="Claude" w:date="2026-09-27T12:00:00Z">
        <w:r>
          <w:rPr>
            <w:i/>
            <w:iCs/>
            <w:color w:val="000000" w:themeColor="text1"/>
          </w:rPr>
          <w:t xml:space="preserve">The Facade of Medical Consensus: How Medical Associations Prioritize Politics </w:t>
        </w:r>
      </w:ins>
      <w:del w:id="60105" w:author="Claude" w:date="2026-09-27T05:00:00Z">
        <w:ins w:id="201016" w:author="Claude" w:date="2026-09-27T12:00:00Z">
          <w:r>
            <w:rPr>
              <w:i/>
              <w:iCs/>
              <w:color w:val="000000" w:themeColor="text1"/>
            </w:rPr>
            <w:delText xml:space="preserve">Over </w:delText>
          </w:r>
        </w:ins>
      </w:del>
      <w:ins w:id="60106" w:author="Claude" w:date="2026-09-27T05:00:00Z">
        <w:r>
          <w:rPr>
            <w:i/>
            <w:iCs/>
            <w:color w:val="000000" w:themeColor="text1"/>
          </w:rPr>
          <w:t xml:space="preserve">over </w:t>
        </w:r>
      </w:ins>
      <w:ins w:id="201017" w:author="Claude" w:date="2026-09-27T12:00:00Z">
        <w:r>
          <w:rPr>
            <w:i/>
            <w:iCs/>
            <w:color w:val="000000" w:themeColor="text1"/>
          </w:rPr>
          <w:t xml:space="preserve">Science</w:t>
        </w:r>
      </w:ins>
      <w:ins w:id="201018" w:author="Claude" w:date="2026-09-27T12:00:00Z">
        <w:r>
          <w:rPr>
            <w:color w:val="000000" w:themeColor="text1"/>
          </w:rPr>
          <w:t xml:space="preserve">, 2025 </w:t>
        </w:r>
      </w:ins>
      <w:ins w:id="201019" w:author="Claude" w:date="2026-09-27T12:00:00Z">
        <w:r>
          <w:rPr>
            <w:smallCaps/>
            <w:color w:val="000000" w:themeColor="text1"/>
          </w:rPr>
          <w:t xml:space="preserve">Harv. J.L. &amp; Pub. </w:t>
        </w:r>
      </w:ins>
      <w:ins w:id="201020" w:author="Claude" w:date="2026-09-27T12:00:00Z">
        <w:r>
          <w:rPr>
            <w:smallCaps/>
            <w:color w:val="000000" w:themeColor="text1"/>
          </w:rPr>
          <w:t xml:space="preserve">Pol’y</w:t>
        </w:r>
      </w:ins>
      <w:ins w:id="201021" w:author="Claude" w:date="2026-09-27T12:00:00Z">
        <w:r>
          <w:rPr>
            <w:smallCaps/>
            <w:color w:val="000000" w:themeColor="text1"/>
          </w:rPr>
          <w:t xml:space="preserve"> Per </w:t>
        </w:r>
      </w:ins>
      <w:ins w:id="201022" w:author="Claude" w:date="2026-09-27T12:00:00Z">
        <w:r>
          <w:rPr>
            <w:smallCaps/>
            <w:color w:val="000000" w:themeColor="text1"/>
          </w:rPr>
          <w:t xml:space="preserve">Curiam</w:t>
        </w:r>
      </w:ins>
      <w:ins w:id="201023" w:author="Claude" w:date="2026-09-27T12:00:00Z">
        <w:r>
          <w:rPr>
            <w:color w:val="000000" w:themeColor="text1"/>
          </w:rPr>
          <w:t xml:space="preserve"> 1, 2–5 (2025) (</w:t>
        </w:r>
      </w:ins>
      <w:del w:id="60107" w:author="Claude" w:date="2026-09-27T05:00:00Z">
        <w:ins w:id="201024" w:author="Claude" w:date="2026-09-27T12:00:00Z">
          <w:r>
            <w:rPr>
              <w:color w:val="000000" w:themeColor="text1"/>
            </w:rPr>
            <w:delText xml:space="preserve">explaining that </w:delText>
          </w:r>
        </w:ins>
      </w:del>
      <w:ins w:id="60108" w:author="Claude" w:date="2026-09-27T05:00:00Z">
        <w:r>
          <w:rPr>
            <w:color w:val="000000" w:themeColor="text1"/>
          </w:rPr>
          <w:t xml:space="preserve">quoting </w:t>
        </w:r>
      </w:ins>
      <w:ins w:id="201025" w:author="Claude" w:date="2026-09-27T12:00:00Z">
        <w:r>
          <w:rPr>
            <w:color w:val="000000" w:themeColor="text1"/>
          </w:rPr>
          <w:t xml:space="preserve">a WPATH author </w:t>
        </w:r>
      </w:ins>
      <w:del w:id="60109" w:author="Claude" w:date="2026-09-27T05:00:00Z">
        <w:ins w:id="201026" w:author="Claude" w:date="2026-09-27T12:00:00Z">
          <w:r>
            <w:rPr>
              <w:color w:val="000000" w:themeColor="text1"/>
            </w:rPr>
            <w:delText xml:space="preserve">said </w:delText>
          </w:r>
        </w:ins>
      </w:del>
      <w:ins w:id="60110" w:author="Claude" w:date="2026-09-27T05:00:00Z">
        <w:r>
          <w:rPr>
            <w:color w:val="000000" w:themeColor="text1"/>
          </w:rPr>
          <w:t xml:space="preserve">who wrote that </w:t>
        </w:r>
      </w:ins>
      <w:ins w:id="201027" w:author="Claude" w:date="2026-09-27T12:00:00Z">
        <w:r>
          <w:rPr>
            <w:color w:val="000000" w:themeColor="text1"/>
          </w:rPr>
          <w:t xml:space="preserve">“[</w:t>
        </w:r>
      </w:ins>
      <w:del w:id="60111" w:author="Claude" w:date="2026-09-27T05:00:00Z">
        <w:ins w:id="201028" w:author="Claude" w:date="2026-09-27T12:00:00Z">
          <w:r>
            <w:rPr>
              <w:color w:val="000000" w:themeColor="text1"/>
            </w:rPr>
            <w:delText xml:space="preserve">W</w:delText>
          </w:r>
        </w:ins>
      </w:del>
      <w:ins w:id="60112" w:author="Claude" w:date="2026-09-27T05:00:00Z">
        <w:r>
          <w:rPr>
            <w:color w:val="000000" w:themeColor="text1"/>
          </w:rPr>
          <w:t xml:space="preserve">w</w:t>
        </w:r>
      </w:ins>
      <w:ins w:id="201029" w:author="Claude" w:date="2026-09-27T12:00:00Z">
        <w:r>
          <w:rPr>
            <w:color w:val="000000" w:themeColor="text1"/>
          </w:rPr>
          <w:t xml:space="preserve">]e need[] a tool for our attorneys to use in defending access to care</w:t>
        </w:r>
      </w:ins>
      <w:del w:id="60113" w:author="Claude" w:date="2026-09-27T05:00:00Z">
        <w:ins w:id="201030" w:author="Claude" w:date="2026-09-27T12:00:00Z">
          <w:r>
            <w:rPr>
              <w:color w:val="000000" w:themeColor="text1"/>
            </w:rPr>
            <w:delText xml:space="preserve">… </w:delText>
          </w:r>
        </w:ins>
      </w:del>
      <w:ins w:id="60114" w:author="Claude" w:date="2026-09-27T05:00:00Z">
        <w:r>
          <w:rPr>
            <w:color w:val="000000" w:themeColor="text1"/>
          </w:rPr>
          <w:t xml:space="preserve">” and concluding that “</w:t>
        </w:r>
      </w:ins>
      <w:ins w:id="201031" w:author="Claude" w:date="2026-09-27T12:00:00Z">
        <w:r>
          <w:rPr>
            <w:color w:val="000000" w:themeColor="text1"/>
          </w:rPr>
          <w:t xml:space="preserve">many associations selectively shape scientific findings to advance specific policy outcomes</w:t>
        </w:r>
      </w:ins>
      <w:del w:id="60115" w:author="Claude" w:date="2026-09-27T05:00:00Z">
        <w:ins w:id="201032" w:author="Claude" w:date="2026-09-27T12:00:00Z">
          <w:r>
            <w:rPr>
              <w:color w:val="000000" w:themeColor="text1"/>
            </w:rPr>
            <w:delText xml:space="preserve">.</w:delText>
          </w:r>
        </w:ins>
      </w:del>
      <w:ins w:id="201033" w:author="Claude" w:date="2026-09-27T12:00:00Z">
        <w:r>
          <w:rPr>
            <w:color w:val="000000" w:themeColor="text1"/>
          </w:rPr>
          <w:t xml:space="preserve">”).</w:t>
        </w:r>
      </w:ins>
    </w:p>
  </w:footnote>
  <w:footnote w:id="752">
    <w:p w14:paraId="1FCAB974" w14:textId="577670D2" w:rsidR="00545012" w:rsidRPr="005B3E31" w:rsidRDefault="00545012" w:rsidP="003D74D8">
      <w:pPr>
        <w:pStyle w:val="FootnoteText"/>
        <w:spacing w:line="480" w:lineRule="auto"/>
        <w:rPr>
          <w:ins w:id="201046" w:author="Claude" w:date="2026-09-27T12:00:00Z"/>
          <w:color w:val="000000" w:themeColor="text1"/>
        </w:rPr>
      </w:pPr>
      <w:ins w:id="201035" w:author="Claude" w:date="2026-09-27T12:00:00Z">
        <w:r>
          <w:rPr>
            <w:rStyle w:val="FootnoteReference"/>
            <w:color w:val="000000" w:themeColor="text1"/>
          </w:rPr>
          <w:footnoteRef/>
        </w:r>
      </w:ins>
      <w:ins w:id="201036" w:author="Claude" w:date="2026-09-27T12:00:00Z">
        <w:r>
          <w:rPr>
            <w:color w:val="000000" w:themeColor="text1"/>
          </w:rPr>
          <w:t xml:space="preserve"> Brief of Alabama as Amicus Curiae Supporting State Respondents at 11, United States v. </w:t>
        </w:r>
      </w:ins>
      <w:ins w:id="201037" w:author="Claude" w:date="2026-09-27T12:00:00Z">
        <w:r>
          <w:rPr>
            <w:color w:val="000000" w:themeColor="text1"/>
          </w:rPr>
          <w:t xml:space="preserve">Skrmetti</w:t>
        </w:r>
      </w:ins>
      <w:ins w:id="201038" w:author="Claude" w:date="2026-09-27T12:00:00Z">
        <w:r>
          <w:rPr>
            <w:color w:val="000000" w:themeColor="text1"/>
          </w:rPr>
          <w:t xml:space="preserve">, </w:t>
        </w:r>
      </w:ins>
      <w:ins w:id="60116" w:author="Claude" w:date="2026-09-27T05:00:00Z">
        <w:r>
          <w:rPr>
            <w:color w:val="000000" w:themeColor="text1"/>
          </w:rPr>
          <w:t xml:space="preserve">145 S. Ct. 1816 (2025) (</w:t>
        </w:r>
      </w:ins>
      <w:ins w:id="201039" w:author="Claude" w:date="2026-09-27T12:00:00Z">
        <w:r>
          <w:rPr>
            <w:color w:val="000000" w:themeColor="text1"/>
          </w:rPr>
          <w:t xml:space="preserve">No. </w:t>
        </w:r>
      </w:ins>
      <w:del w:id="60117" w:author="Claude" w:date="2026-09-27T05:00:00Z">
        <w:ins w:id="201040" w:author="Claude" w:date="2026-09-27T12:00:00Z">
          <w:r>
            <w:rPr>
              <w:color w:val="000000" w:themeColor="text1"/>
            </w:rPr>
            <w:delText xml:space="preserve">23-477 (U.S. Oct. 15, 2024</w:delText>
          </w:r>
        </w:ins>
      </w:del>
      <w:ins w:id="60118" w:author="Claude" w:date="2026-09-27T05:00:00Z">
        <w:r>
          <w:rPr>
            <w:color w:val="000000" w:themeColor="text1"/>
          </w:rPr>
          <w:t xml:space="preserve">23-477</w:t>
        </w:r>
      </w:ins>
      <w:ins w:id="201041" w:author="Claude" w:date="2026-09-27T12:00:00Z">
        <w:r>
          <w:rPr>
            <w:color w:val="000000" w:themeColor="text1"/>
          </w:rPr>
          <w:t xml:space="preserve">); </w:t>
        </w:r>
      </w:ins>
      <w:ins w:id="201042" w:author="Claude" w:date="2026-09-27T12:00:00Z">
        <w:r>
          <w:rPr>
            <w:i/>
            <w:iCs/>
            <w:color w:val="000000" w:themeColor="text1"/>
          </w:rPr>
          <w:t xml:space="preserve">see also</w:t>
        </w:r>
      </w:ins>
      <w:ins w:id="201043" w:author="Claude" w:date="2026-09-27T12:00:00Z">
        <w:r>
          <w:rPr>
            <w:color w:val="000000" w:themeColor="text1"/>
          </w:rPr>
          <w:t xml:space="preserve"> Powell, </w:t>
        </w:r>
      </w:ins>
      <w:ins w:id="201044" w:author="Claude" w:date="2026-09-27T12:00:00Z">
        <w:r>
          <w:rPr>
            <w:i/>
            <w:iCs/>
            <w:color w:val="000000" w:themeColor="text1"/>
          </w:rPr>
          <w:t xml:space="preserve">supra</w:t>
        </w:r>
      </w:ins>
      <w:ins w:id="201045" w:author="Claude" w:date="2026-09-27T12:00:00Z">
        <w:r>
          <w:rPr>
            <w:color w:val="000000" w:themeColor="text1"/>
          </w:rPr>
          <w:t xml:space="preserve"> note 9 (quoting David Goldberger: “I got the sense it was more important for A.C.L.U. staff to identify with clients and progressive causes than to stand on principle”). </w:t>
        </w:r>
      </w:ins>
    </w:p>
  </w:footnote>
  <w:footnote w:id="753">
    <w:p w14:paraId="5880891E" w14:textId="5EBD8754" w:rsidR="00545012" w:rsidRPr="005B3E31" w:rsidRDefault="00545012" w:rsidP="003D74D8">
      <w:pPr>
        <w:pStyle w:val="FootnoteText"/>
        <w:spacing w:line="480" w:lineRule="auto"/>
        <w:rPr>
          <w:ins w:id="201051" w:author="Claude" w:date="2026-09-27T12:00:00Z"/>
          <w:color w:val="000000" w:themeColor="text1"/>
        </w:rPr>
      </w:pPr>
      <w:ins w:id="201047" w:author="Claude" w:date="2026-09-27T12:00:00Z">
        <w:r>
          <w:rPr>
            <w:rStyle w:val="FootnoteReference"/>
            <w:color w:val="000000" w:themeColor="text1"/>
          </w:rPr>
          <w:footnoteRef/>
        </w:r>
      </w:ins>
      <w:ins w:id="201048" w:author="Claude" w:date="2026-09-27T12:00:00Z">
        <w:r>
          <w:rPr>
            <w:color w:val="000000" w:themeColor="text1"/>
          </w:rPr>
          <w:t xml:space="preserve"> Brief of Alabama as Amicus Curiae, </w:t>
        </w:r>
      </w:ins>
      <w:ins w:id="201049" w:author="Claude" w:date="2026-09-27T12:00:00Z">
        <w:r>
          <w:rPr>
            <w:i/>
            <w:iCs/>
            <w:color w:val="000000" w:themeColor="text1"/>
          </w:rPr>
          <w:t>supra</w:t>
        </w:r>
      </w:ins>
      <w:ins w:id="201050" w:author="Claude" w:date="2026-09-27T12:00:00Z">
        <w:r>
          <w:rPr>
            <w:color w:val="000000" w:themeColor="text1"/>
          </w:rPr>
          <w:t> note 27, at 11.</w:t>
        </w:r>
      </w:ins>
    </w:p>
  </w:footnote>
  <w:footnote w:id="754">
    <w:p w14:paraId="600C387D" w14:textId="5F83A894" w:rsidR="00545012" w:rsidRPr="005B3E31" w:rsidRDefault="00545012" w:rsidP="003D74D8">
      <w:pPr>
        <w:pStyle w:val="FootnoteText"/>
        <w:spacing w:line="480" w:lineRule="auto"/>
        <w:rPr>
          <w:ins w:id="201055" w:author="Claude" w:date="2026-09-27T12:00:00Z"/>
          <w:color w:val="000000" w:themeColor="text1"/>
        </w:rPr>
      </w:pPr>
      <w:ins w:id="201052" w:author="Claude" w:date="2026-09-27T12:00:00Z">
        <w:r>
          <w:rPr>
            <w:rStyle w:val="FootnoteReference"/>
            <w:color w:val="000000" w:themeColor="text1"/>
          </w:rPr>
          <w:footnoteRef/>
        </w:r>
      </w:ins>
      <w:ins w:id="201053" w:author="Claude" w:date="2026-09-27T12:00:00Z">
        <w:r>
          <w:rPr>
            <w:color w:val="000000" w:themeColor="text1"/>
          </w:rPr>
          <w:t xml:space="preserve"> </w:t>
        </w:r>
      </w:ins>
      <w:ins w:id="201054" w:author="Claude" w:date="2026-09-27T12:00:00Z">
        <w:r>
          <w:rPr>
            <w:i/>
            <w:iCs/>
            <w:color w:val="000000" w:themeColor="text1"/>
          </w:rPr>
          <w:t>Id.</w:t>
        </w:r>
      </w:ins>
    </w:p>
  </w:footnote>
  <w:footnote w:id="755">
    <w:p w14:paraId="65926698" w14:textId="351EBD37" w:rsidR="00545012" w:rsidRPr="005B3E31" w:rsidRDefault="00545012" w:rsidP="003D74D8">
      <w:pPr>
        <w:pStyle w:val="FootnoteText"/>
        <w:spacing w:line="480" w:lineRule="auto"/>
        <w:rPr>
          <w:ins w:id="201083" w:author="Claude" w:date="2026-09-27T12:00:00Z"/>
          <w:color w:val="000000" w:themeColor="text1"/>
        </w:rPr>
      </w:pPr>
      <w:ins w:id="201067" w:author="Claude" w:date="2026-09-27T12:00:00Z">
        <w:r>
          <w:rPr>
            <w:rStyle w:val="FootnoteReference"/>
            <w:color w:val="000000" w:themeColor="text1"/>
          </w:rPr>
          <w:footnoteRef/>
        </w:r>
      </w:ins>
      <w:ins w:id="201068" w:author="Claude" w:date="2026-09-27T12:00:00Z">
        <w:r>
          <w:rPr>
            <w:color w:val="000000" w:themeColor="text1"/>
          </w:rPr>
          <w:t xml:space="preserve"> Brief of Alabama as Amicus Curiae, </w:t>
        </w:r>
      </w:ins>
      <w:ins w:id="201069" w:author="Claude" w:date="2026-09-27T12:00:00Z">
        <w:r>
          <w:rPr>
            <w:i/>
            <w:iCs/>
            <w:color w:val="000000" w:themeColor="text1"/>
          </w:rPr>
          <w:t xml:space="preserve">supra</w:t>
        </w:r>
      </w:ins>
      <w:ins w:id="201070" w:author="Claude" w:date="2026-09-27T12:00:00Z">
        <w:r>
          <w:rPr>
            <w:color w:val="000000" w:themeColor="text1"/>
          </w:rPr>
          <w:t xml:space="preserve"> note 27, at 14–15; Brief of Amici Curiae State of Alabama, </w:t>
        </w:r>
      </w:ins>
      <w:ins w:id="201071" w:author="Claude" w:date="2026-09-27T12:00:00Z">
        <w:r>
          <w:rPr>
            <w:i/>
            <w:iCs/>
            <w:color w:val="000000" w:themeColor="text1"/>
          </w:rPr>
          <w:t xml:space="preserve">supra</w:t>
        </w:r>
      </w:ins>
      <w:ins w:id="201072" w:author="Claude" w:date="2026-09-27T12:00:00Z">
        <w:r>
          <w:rPr>
            <w:color w:val="000000" w:themeColor="text1"/>
          </w:rPr>
          <w:t xml:space="preserve"> note 26, at 2; </w:t>
        </w:r>
      </w:ins>
      <w:ins w:id="201073" w:author="Claude" w:date="2026-09-27T12:00:00Z">
        <w:r>
          <w:rPr>
            <w:i/>
            <w:iCs/>
            <w:color w:val="000000" w:themeColor="text1"/>
          </w:rPr>
          <w:t xml:space="preserve">see also</w:t>
        </w:r>
      </w:ins>
      <w:ins w:id="201074" w:author="Claude" w:date="2026-09-27T12:00:00Z">
        <w:r>
          <w:rPr>
            <w:color w:val="000000" w:themeColor="text1"/>
          </w:rPr>
          <w:t xml:space="preserve"> Leor Sapir, </w:t>
        </w:r>
      </w:ins>
      <w:ins w:id="201075" w:author="Claude" w:date="2026-09-27T12:00:00Z">
        <w:r>
          <w:rPr>
            <w:i/>
            <w:iCs/>
            <w:color w:val="000000" w:themeColor="text1"/>
          </w:rPr>
          <w:t xml:space="preserve">What Does the DOJ Not Want Americans to Know?</w:t>
        </w:r>
      </w:ins>
      <w:ins w:id="201076" w:author="Claude" w:date="2026-09-27T12:00:00Z">
        <w:r>
          <w:rPr>
            <w:color w:val="000000" w:themeColor="text1"/>
          </w:rPr>
          <w:t xml:space="preserve">, </w:t>
        </w:r>
      </w:ins>
      <w:ins w:id="201077" w:author="Claude" w:date="2026-09-27T12:00:00Z">
        <w:r>
          <w:rPr>
            <w:smallCaps/>
            <w:color w:val="000000" w:themeColor="text1"/>
          </w:rPr>
          <w:t xml:space="preserve">City </w:t>
        </w:r>
      </w:ins>
      <w:del w:id="60119" w:author="Claude" w:date="2026-09-27T05:00:00Z">
        <w:ins w:id="201078" w:author="Claude" w:date="2026-09-27T12:00:00Z">
          <w:r>
            <w:rPr>
              <w:smallCaps/>
              <w:color w:val="000000" w:themeColor="text1"/>
            </w:rPr>
            <w:delText xml:space="preserve">Journal</w:delText>
          </w:r>
        </w:ins>
      </w:del>
      <w:del w:id="60120" w:author="Claude" w:date="2026-09-27T05:00:00Z">
        <w:ins w:id="201079" w:author="Claude" w:date="2026-09-27T12:00:00Z">
          <w:r>
            <w:rPr>
              <w:color w:val="000000" w:themeColor="text1"/>
            </w:rPr>
            <w:delText xml:space="preserve"> </w:delText>
          </w:r>
        </w:ins>
      </w:del>
      <w:ins w:id="60121" w:author="Claude" w:date="2026-09-27T05:00:00Z">
        <w:r>
          <w:rPr>
            <w:smallCaps/>
            <w:color w:val="000000" w:themeColor="text1"/>
          </w:rPr>
          <w:t xml:space="preserve">J.</w:t>
        </w:r>
      </w:ins>
      <w:ins w:id="60122" w:author="Claude" w:date="2026-09-27T05:00:00Z">
        <w:r>
          <w:rPr>
            <w:color w:val="000000" w:themeColor="text1"/>
          </w:rPr>
          <w:t xml:space="preserve"> </w:t>
        </w:r>
      </w:ins>
      <w:ins w:id="201080" w:author="Claude" w:date="2026-09-27T12:00:00Z">
        <w:r>
          <w:rPr>
            <w:color w:val="000000" w:themeColor="text1"/>
          </w:rPr>
          <w:t xml:space="preserve">(July 12, 2024), https://www.city-journal.org/article/what-does-the-doj-not-want-americans-to-know [create </w:t>
        </w:r>
      </w:ins>
      <w:ins w:id="201081" w:author="Claude" w:date="2026-09-27T12:00:00Z">
        <w:r>
          <w:rPr>
            <w:color w:val="000000" w:themeColor="text1"/>
          </w:rPr>
          <w:t xml:space="preserve">perma</w:t>
        </w:r>
      </w:ins>
      <w:ins w:id="201082" w:author="Claude" w:date="2026-09-27T12:00:00Z">
        <w:r>
          <w:rPr>
            <w:color w:val="000000" w:themeColor="text1"/>
          </w:rPr>
          <w:t xml:space="preserve"> link] (“The (WPATH-commissioned) Johns Hopkins research team lead, Karen Robinson, informed AHRQ in an email that her team ‘found little to no evidence about children and adolescents.’”).</w:t>
        </w:r>
      </w:ins>
    </w:p>
  </w:footnote>
  <w:footnote w:id="756">
    <w:p w14:paraId="6C17F5AB" w14:textId="774DA7A4" w:rsidR="00545012" w:rsidRPr="005B3E31" w:rsidRDefault="00545012" w:rsidP="003D74D8">
      <w:pPr>
        <w:pStyle w:val="FootnoteText"/>
        <w:spacing w:line="480" w:lineRule="auto"/>
        <w:rPr>
          <w:ins w:id="201090" w:author="Claude" w:date="2026-09-27T12:00:00Z"/>
          <w:color w:val="000000" w:themeColor="text1"/>
        </w:rPr>
      </w:pPr>
      <w:ins w:id="201084" w:author="Claude" w:date="2026-09-27T12:00:00Z">
        <w:r>
          <w:rPr>
            <w:rStyle w:val="FootnoteReference"/>
            <w:color w:val="000000" w:themeColor="text1"/>
          </w:rPr>
          <w:footnoteRef/>
        </w:r>
      </w:ins>
      <w:ins w:id="201085" w:author="Claude" w:date="2026-09-27T12:00:00Z">
        <w:r>
          <w:rPr>
            <w:color w:val="000000" w:themeColor="text1"/>
          </w:rPr>
          <w:t xml:space="preserve"> Brief of Alabama as Amicus Curiae, </w:t>
        </w:r>
      </w:ins>
      <w:ins w:id="201086" w:author="Claude" w:date="2026-09-27T12:00:00Z">
        <w:r>
          <w:rPr>
            <w:i/>
            <w:iCs/>
            <w:color w:val="000000" w:themeColor="text1"/>
          </w:rPr>
          <w:t>supra</w:t>
        </w:r>
      </w:ins>
      <w:ins w:id="201087" w:author="Claude" w:date="2026-09-27T12:00:00Z">
        <w:r>
          <w:rPr>
            <w:color w:val="000000" w:themeColor="text1"/>
          </w:rPr>
          <w:t> note 27, at 15–19; Brief of Amici Curiae State of Alabama, </w:t>
        </w:r>
      </w:ins>
      <w:ins w:id="201088" w:author="Claude" w:date="2026-09-27T12:00:00Z">
        <w:r>
          <w:rPr>
            <w:i/>
            <w:iCs/>
            <w:color w:val="000000" w:themeColor="text1"/>
          </w:rPr>
          <w:t>supra</w:t>
        </w:r>
      </w:ins>
      <w:ins w:id="201089" w:author="Claude" w:date="2026-09-27T12:00:00Z">
        <w:r>
          <w:rPr>
            <w:color w:val="000000" w:themeColor="text1"/>
          </w:rPr>
          <w:t> note 26, at 5–7 (describing Admiral Rachel Levine’s meetings with WPATH leaders and pressure to remove age limitations).</w:t>
        </w:r>
      </w:ins>
    </w:p>
  </w:footnote>
  <w:footnote w:id="757">
    <w:p w14:paraId="38385733" w14:textId="5A42CBA5" w:rsidR="00545012" w:rsidRPr="005B3E31" w:rsidRDefault="00545012" w:rsidP="003D74D8">
      <w:pPr>
        <w:pStyle w:val="FootnoteText"/>
        <w:spacing w:line="480" w:lineRule="auto"/>
        <w:rPr>
          <w:ins w:id="201108" w:author="Claude" w:date="2026-09-27T12:00:00Z"/>
          <w:color w:val="000000" w:themeColor="text1"/>
        </w:rPr>
      </w:pPr>
      <w:ins w:id="201091" w:author="Claude" w:date="2026-09-27T12:00:00Z">
        <w:r>
          <w:rPr>
            <w:rStyle w:val="FootnoteReference"/>
            <w:color w:val="000000" w:themeColor="text1"/>
          </w:rPr>
          <w:footnoteRef/>
        </w:r>
      </w:ins>
      <w:ins w:id="201092" w:author="Claude" w:date="2026-09-27T12:00:00Z">
        <w:r>
          <w:rPr>
            <w:color w:val="000000" w:themeColor="text1"/>
          </w:rPr>
          <w:t xml:space="preserve"> Brief of Alabama as Amicus Curiae, </w:t>
        </w:r>
      </w:ins>
      <w:ins w:id="201093" w:author="Claude" w:date="2026-09-27T12:00:00Z">
        <w:r>
          <w:rPr>
            <w:i/>
            <w:iCs/>
            <w:color w:val="000000" w:themeColor="text1"/>
          </w:rPr>
          <w:t xml:space="preserve">supra</w:t>
        </w:r>
      </w:ins>
      <w:ins w:id="201094" w:author="Claude" w:date="2026-09-27T12:00:00Z">
        <w:r>
          <w:rPr>
            <w:color w:val="000000" w:themeColor="text1"/>
          </w:rPr>
          <w:t xml:space="preserve"> note 27, at 15–20; Brief of Amici Curiae State of Alabama, </w:t>
        </w:r>
      </w:ins>
      <w:ins w:id="201095" w:author="Claude" w:date="2026-09-27T12:00:00Z">
        <w:r>
          <w:rPr>
            <w:i/>
            <w:iCs/>
            <w:color w:val="000000" w:themeColor="text1"/>
            <w:rPrChange w:id="60123" w:author="Claude" w:date="2026-09-27T05:00:00Z">
              <w:rPr>
                <w:color w:val="000000" w:themeColor="text1"/>
              </w:rPr>
            </w:rPrChange>
          </w:rPr>
          <w:t xml:space="preserve">supra</w:t>
        </w:r>
      </w:ins>
      <w:ins w:id="201096" w:author="Claude" w:date="2026-09-27T12:00:00Z">
        <w:r>
          <w:rPr>
            <w:color w:val="000000" w:themeColor="text1"/>
          </w:rPr>
          <w:t xml:space="preserve"> note 26, at 5–7; </w:t>
        </w:r>
      </w:ins>
      <w:del w:id="60124" w:author="Claude" w:date="2026-09-27T05:00:00Z">
        <w:ins w:id="201097" w:author="Claude" w:date="2026-09-27T12:00:00Z">
          <w:r>
            <w:rPr>
              <w:color w:val="000000" w:themeColor="text1"/>
            </w:rPr>
            <w:delText xml:space="preserve">A. </w:delText>
          </w:r>
        </w:ins>
      </w:del>
      <w:ins w:id="60125" w:author="Claude" w:date="2026-09-27T05:00:00Z">
        <w:r>
          <w:rPr>
            <w:color w:val="000000" w:themeColor="text1"/>
          </w:rPr>
          <w:t xml:space="preserve">Azeen </w:t>
        </w:r>
      </w:ins>
      <w:ins w:id="201098" w:author="Claude" w:date="2026-09-27T12:00:00Z">
        <w:r>
          <w:rPr>
            <w:color w:val="000000" w:themeColor="text1"/>
          </w:rPr>
          <w:t xml:space="preserve">Ghorayshi</w:t>
        </w:r>
      </w:ins>
      <w:ins w:id="201099" w:author="Claude" w:date="2026-09-27T12:00:00Z">
        <w:r>
          <w:rPr>
            <w:color w:val="000000" w:themeColor="text1"/>
          </w:rPr>
          <w:t xml:space="preserve">, </w:t>
        </w:r>
      </w:ins>
      <w:ins w:id="201100" w:author="Claude" w:date="2026-09-27T12:00:00Z">
        <w:r>
          <w:rPr>
            <w:i/>
            <w:iCs/>
            <w:color w:val="000000" w:themeColor="text1"/>
          </w:rPr>
          <w:t xml:space="preserve">Biden Officials Pushed to Remove Age Limits for </w:t>
        </w:r>
      </w:ins>
      <w:del w:id="60126" w:author="Claude" w:date="2026-09-27T05:00:00Z">
        <w:ins w:id="201101" w:author="Claude" w:date="2026-09-27T12:00:00Z">
          <w:r>
            <w:rPr>
              <w:i/>
              <w:iCs/>
              <w:color w:val="000000" w:themeColor="text1"/>
            </w:rPr>
            <w:delText xml:space="preserve">Trans Surgery</w:delText>
          </w:r>
        </w:ins>
      </w:del>
      <w:del w:id="60127" w:author="Claude" w:date="2026-09-27T05:00:00Z">
        <w:ins w:id="201102" w:author="Claude" w:date="2026-09-27T12:00:00Z">
          <w:r>
            <w:rPr>
              <w:color w:val="000000" w:themeColor="text1"/>
            </w:rPr>
            <w:delText xml:space="preserve">, </w:delText>
          </w:r>
        </w:ins>
      </w:del>
      <w:del w:id="60128" w:author="Claude" w:date="2026-09-27T05:00:00Z">
        <w:ins w:id="201103" w:author="Claude" w:date="2026-09-27T12:00:00Z">
          <w:r>
            <w:rPr>
              <w:smallCaps/>
              <w:color w:val="000000" w:themeColor="text1"/>
            </w:rPr>
            <w:delText xml:space="preserve">N.Y. Times</w:delText>
          </w:r>
        </w:ins>
      </w:del>
      <w:del w:id="60129" w:author="Claude" w:date="2026-09-27T05:00:00Z">
        <w:ins w:id="201104" w:author="Claude" w:date="2026-09-27T12:00:00Z">
          <w:r>
            <w:rPr>
              <w:color w:val="000000" w:themeColor="text1"/>
            </w:rPr>
            <w:delText xml:space="preserve"> at A1 (June 27, 2024)</w:delText>
          </w:r>
        </w:ins>
      </w:del>
      <w:ins w:id="60130" w:author="Claude" w:date="2026-09-27T05:00:00Z">
        <w:r>
          <w:rPr>
            <w:i/>
            <w:iCs/>
            <w:color w:val="000000" w:themeColor="text1"/>
          </w:rPr>
          <w:t xml:space="preserve">Trans Surgery, Documents Show</w:t>
        </w:r>
      </w:ins>
      <w:ins w:id="60131" w:author="Claude" w:date="2026-09-27T05:00:00Z">
        <w:r>
          <w:rPr>
            <w:color w:val="000000" w:themeColor="text1"/>
          </w:rPr>
          <w:t xml:space="preserve">, </w:t>
        </w:r>
      </w:ins>
      <w:ins w:id="60132" w:author="Claude" w:date="2026-09-27T05:00:00Z">
        <w:r>
          <w:rPr>
            <w:smallCaps/>
            <w:color w:val="000000" w:themeColor="text1"/>
          </w:rPr>
          <w:t xml:space="preserve">N.Y. Times</w:t>
        </w:r>
      </w:ins>
      <w:ins w:id="60133" w:author="Claude" w:date="2026-09-27T05:00:00Z">
        <w:r>
          <w:rPr>
            <w:color w:val="000000" w:themeColor="text1"/>
          </w:rPr>
          <w:t xml:space="preserve"> (June 25, 2024)</w:t>
        </w:r>
      </w:ins>
      <w:ins w:id="201105" w:author="Claude" w:date="2026-09-27T12:00:00Z">
        <w:r>
          <w:rPr>
            <w:color w:val="000000" w:themeColor="text1"/>
          </w:rPr>
          <w:t xml:space="preserve">, https://www.nytimes.com/2024/06/25/health/transgender-minors-surgeries.html [create </w:t>
        </w:r>
      </w:ins>
      <w:ins w:id="201106" w:author="Claude" w:date="2026-09-27T12:00:00Z">
        <w:r>
          <w:rPr>
            <w:color w:val="000000" w:themeColor="text1"/>
          </w:rPr>
          <w:t xml:space="preserve">perma</w:t>
        </w:r>
      </w:ins>
      <w:ins w:id="201107" w:author="Claude" w:date="2026-09-27T12:00:00Z">
        <w:r>
          <w:rPr>
            <w:color w:val="000000" w:themeColor="text1"/>
          </w:rPr>
          <w:t xml:space="preserve"> link].</w:t>
        </w:r>
      </w:ins>
    </w:p>
  </w:footnote>
  <w:footnote w:id="758">
    <w:p w14:paraId="5DB0DDF1" w14:textId="4F8B6C08" w:rsidR="00545012" w:rsidRPr="005B3E31" w:rsidRDefault="00545012" w:rsidP="003D74D8">
      <w:pPr>
        <w:pStyle w:val="FootnoteText"/>
        <w:spacing w:line="480" w:lineRule="auto"/>
        <w:rPr>
          <w:ins w:id="201125" w:author="Claude" w:date="2026-09-27T12:00:00Z"/>
          <w:color w:val="000000" w:themeColor="text1"/>
        </w:rPr>
      </w:pPr>
      <w:ins w:id="201117" w:author="Claude" w:date="2026-09-27T12:00:00Z">
        <w:r>
          <w:rPr>
            <w:rStyle w:val="FootnoteReference"/>
            <w:color w:val="000000" w:themeColor="text1"/>
          </w:rPr>
          <w:footnoteRef/>
        </w:r>
      </w:ins>
      <w:ins w:id="201118" w:author="Claude" w:date="2026-09-27T12:00:00Z">
        <w:r>
          <w:rPr>
            <w:color w:val="000000" w:themeColor="text1"/>
          </w:rPr>
          <w:t xml:space="preserve"> L.W. v. </w:t>
        </w:r>
      </w:ins>
      <w:ins w:id="201119" w:author="Claude" w:date="2026-09-27T12:00:00Z">
        <w:r>
          <w:rPr>
            <w:color w:val="000000" w:themeColor="text1"/>
          </w:rPr>
          <w:t xml:space="preserve">Skrmetti</w:t>
        </w:r>
      </w:ins>
      <w:ins w:id="201120" w:author="Claude" w:date="2026-09-27T12:00:00Z">
        <w:r>
          <w:rPr>
            <w:color w:val="000000" w:themeColor="text1"/>
          </w:rPr>
          <w:t xml:space="preserve">, 679 F. Supp. 3d 668, 677 (M.D. Tenn. 2023); </w:t>
        </w:r>
      </w:ins>
      <w:ins w:id="201121" w:author="Claude" w:date="2026-09-27T12:00:00Z">
        <w:r>
          <w:rPr>
            <w:color w:val="000000" w:themeColor="text1"/>
          </w:rPr>
          <w:t xml:space="preserve">Confessore</w:t>
        </w:r>
      </w:ins>
      <w:ins w:id="201122" w:author="Claude" w:date="2026-09-27T12:00:00Z">
        <w:r>
          <w:rPr>
            <w:color w:val="000000" w:themeColor="text1"/>
          </w:rPr>
          <w:t xml:space="preserve">, </w:t>
        </w:r>
      </w:ins>
      <w:ins w:id="201123" w:author="Claude" w:date="2026-09-27T12:00:00Z">
        <w:r>
          <w:rPr>
            <w:i/>
            <w:iCs/>
            <w:color w:val="000000" w:themeColor="text1"/>
            <w:rPrChange w:id="60134" w:author="Claude" w:date="2026-09-27T05:00:00Z">
              <w:rPr>
                <w:color w:val="000000" w:themeColor="text1"/>
              </w:rPr>
            </w:rPrChange>
          </w:rPr>
          <w:t xml:space="preserve">supra</w:t>
        </w:r>
      </w:ins>
      <w:ins w:id="201124" w:author="Claude" w:date="2026-09-27T12:00:00Z">
        <w:r>
          <w:rPr>
            <w:color w:val="000000" w:themeColor="text1"/>
          </w:rPr>
          <w:t xml:space="preserve"> note 3.</w:t>
        </w:r>
      </w:ins>
    </w:p>
  </w:footnote>
  <w:footnote w:id="759">
    <w:p w14:paraId="6A17B361" w14:textId="2D7D5C72" w:rsidR="00545012" w:rsidRPr="005B3E31" w:rsidRDefault="00545012" w:rsidP="003D74D8">
      <w:pPr>
        <w:pStyle w:val="FootnoteText"/>
        <w:spacing w:line="480" w:lineRule="auto"/>
        <w:rPr>
          <w:ins w:id="201130" w:author="Claude" w:date="2026-09-27T12:00:00Z"/>
          <w:color w:val="000000" w:themeColor="text1"/>
        </w:rPr>
      </w:pPr>
      <w:ins w:id="201126" w:author="Claude" w:date="2026-09-27T12:00:00Z">
        <w:r>
          <w:rPr>
            <w:rStyle w:val="FootnoteReference"/>
            <w:color w:val="000000" w:themeColor="text1"/>
          </w:rPr>
          <w:footnoteRef/>
        </w:r>
      </w:ins>
      <w:ins w:id="201127" w:author="Claude" w:date="2026-09-27T12:00:00Z">
        <w:r>
          <w:rPr>
            <w:color w:val="000000" w:themeColor="text1"/>
          </w:rPr>
          <w:t xml:space="preserve"> L.W. v. </w:t>
        </w:r>
      </w:ins>
      <w:ins w:id="201128" w:author="Claude" w:date="2026-09-27T12:00:00Z">
        <w:r>
          <w:rPr>
            <w:color w:val="000000" w:themeColor="text1"/>
          </w:rPr>
          <w:t>Skrmetti</w:t>
        </w:r>
      </w:ins>
      <w:ins w:id="201129" w:author="Claude" w:date="2026-09-27T12:00:00Z">
        <w:r>
          <w:rPr>
            <w:color w:val="000000" w:themeColor="text1"/>
          </w:rPr>
          <w:t>, 83 F.4th 460, 466 (6th Cir. 2023).</w:t>
        </w:r>
      </w:ins>
    </w:p>
  </w:footnote>
  <w:footnote w:id="760">
    <w:p w14:paraId="360F2949" w14:textId="7C3F990E" w:rsidR="00545012" w:rsidRPr="005B3E31" w:rsidRDefault="00545012" w:rsidP="003D74D8">
      <w:pPr>
        <w:pStyle w:val="FootnoteText"/>
        <w:spacing w:line="480" w:lineRule="auto"/>
        <w:rPr>
          <w:ins w:id="201135" w:author="Claude" w:date="2026-09-27T12:00:00Z"/>
          <w:color w:val="000000" w:themeColor="text1"/>
        </w:rPr>
      </w:pPr>
      <w:ins w:id="201131" w:author="Claude" w:date="2026-09-27T12:00:00Z">
        <w:r>
          <w:rPr>
            <w:rStyle w:val="FootnoteReference"/>
            <w:color w:val="000000" w:themeColor="text1"/>
          </w:rPr>
          <w:footnoteRef/>
        </w:r>
      </w:ins>
      <w:ins w:id="201132" w:author="Claude" w:date="2026-09-27T12:00:00Z">
        <w:r>
          <w:rPr>
            <w:color w:val="000000" w:themeColor="text1"/>
          </w:rPr>
          <w:t xml:space="preserve"> </w:t>
        </w:r>
      </w:ins>
      <w:ins w:id="201133" w:author="Claude" w:date="2026-09-27T12:00:00Z">
        <w:r>
          <w:rPr>
            <w:i/>
            <w:iCs/>
            <w:color w:val="000000" w:themeColor="text1"/>
          </w:rPr>
          <w:t xml:space="preserve">Id. </w:t>
        </w:r>
      </w:ins>
      <w:ins w:id="201134" w:author="Claude" w:date="2026-09-27T12:00:00Z">
        <w:r>
          <w:rPr>
            <w:color w:val="000000" w:themeColor="text1"/>
            <w:rPrChange w:id="60135" w:author="Claude" w:date="2026-09-27T05:00:00Z">
              <w:rPr>
                <w:i/>
                <w:iCs/>
                <w:color w:val="000000" w:themeColor="text1"/>
              </w:rPr>
            </w:rPrChange>
          </w:rPr>
          <w:t xml:space="preserve">at 491.</w:t>
        </w:r>
      </w:ins>
    </w:p>
  </w:footnote>
  <w:footnote w:id="761">
    <w:p w14:paraId="71FFE8BF" w14:textId="2EDFADD7" w:rsidR="00545012" w:rsidRPr="005B3E31" w:rsidRDefault="00545012" w:rsidP="003D74D8">
      <w:pPr>
        <w:pStyle w:val="FootnoteText"/>
        <w:spacing w:line="480" w:lineRule="auto"/>
        <w:rPr>
          <w:ins w:id="201141" w:author="Claude" w:date="2026-09-27T12:00:00Z"/>
          <w:color w:val="000000" w:themeColor="text1"/>
        </w:rPr>
      </w:pPr>
      <w:ins w:id="201136" w:author="Claude" w:date="2026-09-27T12:00:00Z">
        <w:r>
          <w:rPr>
            <w:rStyle w:val="FootnoteReference"/>
            <w:color w:val="000000" w:themeColor="text1"/>
          </w:rPr>
          <w:footnoteRef/>
        </w:r>
      </w:ins>
      <w:ins w:id="201137" w:author="Claude" w:date="2026-09-27T12:00:00Z">
        <w:r>
          <w:rPr>
            <w:color w:val="000000" w:themeColor="text1"/>
          </w:rPr>
          <w:t xml:space="preserve"> </w:t>
        </w:r>
      </w:ins>
      <w:ins w:id="201138" w:author="Claude" w:date="2026-09-27T12:00:00Z">
        <w:r>
          <w:rPr>
            <w:i/>
            <w:iCs/>
            <w:color w:val="000000" w:themeColor="text1"/>
          </w:rPr>
          <w:t xml:space="preserve">Id. </w:t>
        </w:r>
      </w:ins>
      <w:ins w:id="201139" w:author="Claude" w:date="2026-09-27T12:00:00Z">
        <w:r>
          <w:rPr>
            <w:color w:val="000000" w:themeColor="text1"/>
            <w:rPrChange w:id="60136" w:author="Claude" w:date="2026-09-27T05:00:00Z">
              <w:rPr>
                <w:i/>
                <w:iCs/>
                <w:color w:val="000000" w:themeColor="text1"/>
              </w:rPr>
            </w:rPrChange>
          </w:rPr>
          <w:t xml:space="preserve">at 480.</w:t>
        </w:r>
      </w:ins>
      <w:ins w:id="201140" w:author="Claude" w:date="2026-09-27T12:00:00Z">
        <w:r>
          <w:rPr>
            <w:color w:val="000000" w:themeColor="text1"/>
          </w:rPr>
          <w:t xml:space="preserve"> </w:t>
        </w:r>
      </w:ins>
    </w:p>
  </w:footnote>
  <w:footnote w:id="762">
    <w:p w14:paraId="02B86E2C" w14:textId="561CDF68" w:rsidR="006A70B9" w:rsidRPr="005B3E31" w:rsidRDefault="00984811" w:rsidP="003D74D8">
      <w:pPr>
        <w:pStyle w:val="FootnoteText"/>
        <w:spacing w:line="480" w:lineRule="auto"/>
        <w:rPr>
          <w:ins w:id="201150" w:author="Claude" w:date="2026-09-27T12:00:00Z"/>
          <w:color w:val="000000" w:themeColor="text1"/>
        </w:rPr>
      </w:pPr>
      <w:ins w:id="201142" w:author="Claude" w:date="2026-09-27T12:00:00Z">
        <w:r>
          <w:rPr>
            <w:rStyle w:val="FootnoteReference"/>
            <w:color w:val="000000" w:themeColor="text1"/>
          </w:rPr>
          <w:footnoteRef/>
        </w:r>
      </w:ins>
      <w:ins w:id="201143" w:author="Claude" w:date="2026-09-27T12:00:00Z">
        <w:r>
          <w:rPr>
            <w:color w:val="000000" w:themeColor="text1"/>
          </w:rPr>
          <w:t xml:space="preserve"> United States v. </w:t>
        </w:r>
      </w:ins>
      <w:ins w:id="201144" w:author="Claude" w:date="2026-09-27T12:00:00Z">
        <w:r>
          <w:rPr>
            <w:color w:val="000000" w:themeColor="text1"/>
          </w:rPr>
          <w:t xml:space="preserve">Skrmetti</w:t>
        </w:r>
      </w:ins>
      <w:ins w:id="201145" w:author="Claude" w:date="2026-09-27T12:00:00Z">
        <w:r>
          <w:rPr>
            <w:color w:val="000000" w:themeColor="text1"/>
          </w:rPr>
          <w:t xml:space="preserve">, 145 S. Ct. 1816, 1828 (2025); </w:t>
        </w:r>
      </w:ins>
      <w:ins w:id="201146" w:author="Claude" w:date="2026-09-27T12:00:00Z">
        <w:r>
          <w:rPr>
            <w:color w:val="000000" w:themeColor="text1"/>
          </w:rPr>
          <w:t xml:space="preserve">Bursch</w:t>
        </w:r>
      </w:ins>
      <w:ins w:id="201147" w:author="Claude" w:date="2026-09-27T12:00:00Z">
        <w:r>
          <w:rPr>
            <w:color w:val="000000" w:themeColor="text1"/>
          </w:rPr>
          <w:t xml:space="preserve">, </w:t>
        </w:r>
      </w:ins>
      <w:ins w:id="201148" w:author="Claude" w:date="2026-09-27T12:00:00Z">
        <w:r>
          <w:rPr>
            <w:i/>
            <w:iCs/>
            <w:color w:val="000000" w:themeColor="text1"/>
            <w:rPrChange w:id="60137" w:author="Claude" w:date="2026-09-27T05:00:00Z">
              <w:rPr>
                <w:color w:val="000000" w:themeColor="text1"/>
              </w:rPr>
            </w:rPrChange>
          </w:rPr>
          <w:t xml:space="preserve">supra</w:t>
        </w:r>
      </w:ins>
      <w:ins w:id="201149" w:author="Claude" w:date="2026-09-27T12:00:00Z">
        <w:r>
          <w:rPr>
            <w:color w:val="000000" w:themeColor="text1"/>
          </w:rPr>
          <w:t xml:space="preserve"> note 4.</w:t>
        </w:r>
      </w:ins>
    </w:p>
  </w:footnote>
  <w:footnote w:id="763">
    <w:p w14:paraId="09CA9C70" w14:textId="2CB36B81" w:rsidR="007E3419" w:rsidRPr="005B3E31" w:rsidRDefault="007E3419" w:rsidP="003D74D8">
      <w:pPr>
        <w:pStyle w:val="FootnoteText"/>
        <w:spacing w:line="480" w:lineRule="auto"/>
        <w:rPr>
          <w:ins w:id="201160" w:author="Claude" w:date="2026-09-27T12:00:00Z"/>
          <w:color w:val="000000" w:themeColor="text1"/>
        </w:rPr>
      </w:pPr>
      <w:ins w:id="201151" w:author="Claude" w:date="2026-09-27T12:00:00Z">
        <w:r>
          <w:rPr>
            <w:rStyle w:val="FootnoteReference"/>
            <w:color w:val="000000" w:themeColor="text1"/>
          </w:rPr>
          <w:footnoteRef/>
        </w:r>
      </w:ins>
      <w:ins w:id="201152" w:author="Claude" w:date="2026-09-27T12:00:00Z">
        <w:r>
          <w:rPr>
            <w:color w:val="000000" w:themeColor="text1"/>
          </w:rPr>
          <w:t xml:space="preserve">Reply Brief for the Petitioner at 20, United States v. </w:t>
        </w:r>
      </w:ins>
      <w:ins w:id="201153" w:author="Claude" w:date="2026-09-27T12:00:00Z">
        <w:r>
          <w:rPr>
            <w:color w:val="000000" w:themeColor="text1"/>
          </w:rPr>
          <w:t xml:space="preserve">Skrmetti</w:t>
        </w:r>
      </w:ins>
      <w:ins w:id="201154" w:author="Claude" w:date="2026-09-27T12:00:00Z">
        <w:r>
          <w:rPr>
            <w:color w:val="000000" w:themeColor="text1"/>
          </w:rPr>
          <w:t xml:space="preserve">, </w:t>
        </w:r>
      </w:ins>
      <w:ins w:id="60138" w:author="Claude" w:date="2026-09-27T05:00:00Z">
        <w:r>
          <w:rPr>
            <w:color w:val="000000" w:themeColor="text1"/>
          </w:rPr>
          <w:t xml:space="preserve">145 S. Ct. 1816 (2025) (</w:t>
        </w:r>
      </w:ins>
      <w:ins w:id="201155" w:author="Claude" w:date="2026-09-27T12:00:00Z">
        <w:r>
          <w:rPr>
            <w:color w:val="000000" w:themeColor="text1"/>
          </w:rPr>
          <w:t xml:space="preserve">No. </w:t>
        </w:r>
      </w:ins>
      <w:del w:id="60139" w:author="Claude" w:date="2026-09-27T05:00:00Z">
        <w:ins w:id="201156" w:author="Claude" w:date="2026-09-27T12:00:00Z">
          <w:r>
            <w:rPr>
              <w:color w:val="000000" w:themeColor="text1"/>
            </w:rPr>
            <w:delText xml:space="preserve">23-477 (U.S. Nov. 7, 2024</w:delText>
          </w:r>
        </w:ins>
      </w:del>
      <w:ins w:id="60140" w:author="Claude" w:date="2026-09-27T05:00:00Z">
        <w:r>
          <w:rPr>
            <w:color w:val="000000" w:themeColor="text1"/>
          </w:rPr>
          <w:t xml:space="preserve">23-477</w:t>
        </w:r>
      </w:ins>
      <w:ins w:id="201157" w:author="Claude" w:date="2026-09-27T12:00:00Z">
        <w:r>
          <w:rPr>
            <w:color w:val="000000" w:themeColor="text1"/>
          </w:rPr>
          <w:t xml:space="preserve">); Complaint for Declaratory and Injunctive Relief, L.W. v. </w:t>
        </w:r>
      </w:ins>
      <w:ins w:id="201158" w:author="Claude" w:date="2026-09-27T12:00:00Z">
        <w:r>
          <w:rPr>
            <w:color w:val="000000" w:themeColor="text1"/>
          </w:rPr>
          <w:t xml:space="preserve">Skrmetti</w:t>
        </w:r>
      </w:ins>
      <w:ins w:id="201159" w:author="Claude" w:date="2026-09-27T12:00:00Z">
        <w:r>
          <w:rPr>
            <w:color w:val="000000" w:themeColor="text1"/>
          </w:rPr>
          <w:t xml:space="preserve">, No. 3:23-cv-00376 (M.D. Tenn. Apr. 20, 2023).</w:t>
        </w:r>
      </w:ins>
    </w:p>
  </w:footnote>
  <w:footnote w:id="764">
    <w:p w14:paraId="568E539E" w14:textId="4E9A2C5A" w:rsidR="00984811" w:rsidRPr="005B3E31" w:rsidRDefault="00984811" w:rsidP="003D74D8">
      <w:pPr>
        <w:pStyle w:val="FootnoteText"/>
        <w:spacing w:line="480" w:lineRule="auto"/>
        <w:rPr>
          <w:ins w:id="201198" w:author="Claude" w:date="2026-09-27T12:00:00Z"/>
          <w:color w:val="000000" w:themeColor="text1"/>
        </w:rPr>
      </w:pPr>
      <w:ins w:id="201185" w:author="Claude" w:date="2026-09-27T12:00:00Z">
        <w:r>
          <w:rPr>
            <w:rStyle w:val="FootnoteReference"/>
            <w:color w:val="000000" w:themeColor="text1"/>
          </w:rPr>
          <w:footnoteRef/>
        </w:r>
      </w:ins>
      <w:ins w:id="201186" w:author="Claude" w:date="2026-09-27T12:00:00Z">
        <w:r>
          <w:rPr>
            <w:color w:val="000000" w:themeColor="text1"/>
          </w:rPr>
          <w:t xml:space="preserve"> </w:t>
        </w:r>
      </w:ins>
      <w:ins w:id="201187" w:author="Claude" w:date="2026-09-27T12:00:00Z">
        <w:r>
          <w:rPr>
            <w:color w:val="000000" w:themeColor="text1"/>
          </w:rPr>
          <w:t xml:space="preserve">Isgur</w:t>
        </w:r>
      </w:ins>
      <w:ins w:id="201188" w:author="Claude" w:date="2026-09-27T12:00:00Z">
        <w:r>
          <w:rPr>
            <w:color w:val="000000" w:themeColor="text1"/>
          </w:rPr>
          <w:t xml:space="preserve"> &amp; French, </w:t>
        </w:r>
      </w:ins>
      <w:ins w:id="201189" w:author="Claude" w:date="2026-09-27T12:00:00Z">
        <w:r>
          <w:rPr>
            <w:i/>
            <w:iCs/>
            <w:color w:val="000000" w:themeColor="text1"/>
          </w:rPr>
          <w:t xml:space="preserve">supra</w:t>
        </w:r>
      </w:ins>
      <w:ins w:id="201190" w:author="Claude" w:date="2026-09-27T12:00:00Z">
        <w:r>
          <w:rPr>
            <w:color w:val="000000" w:themeColor="text1"/>
          </w:rPr>
          <w:t xml:space="preserve"> note 7; Sarah </w:t>
        </w:r>
      </w:ins>
      <w:ins w:id="201191" w:author="Claude" w:date="2026-09-27T12:00:00Z">
        <w:r>
          <w:rPr>
            <w:color w:val="000000" w:themeColor="text1"/>
          </w:rPr>
          <w:t xml:space="preserve">Isgur</w:t>
        </w:r>
      </w:ins>
      <w:ins w:id="201192" w:author="Claude" w:date="2026-09-27T12:00:00Z">
        <w:r>
          <w:rPr>
            <w:color w:val="000000" w:themeColor="text1"/>
          </w:rPr>
          <w:t xml:space="preserve"> </w:t>
        </w:r>
      </w:ins>
      <w:del w:id="60141" w:author="Claude" w:date="2026-09-27T05:00:00Z">
        <w:ins w:id="201193" w:author="Claude" w:date="2026-09-27T12:00:00Z">
          <w:r>
            <w:rPr>
              <w:color w:val="000000" w:themeColor="text1"/>
            </w:rPr>
            <w:delText xml:space="preserve">and </w:delText>
          </w:r>
        </w:ins>
      </w:del>
      <w:ins w:id="60142" w:author="Claude" w:date="2026-09-27T05:00:00Z">
        <w:r>
          <w:rPr>
            <w:color w:val="000000" w:themeColor="text1"/>
          </w:rPr>
          <w:t xml:space="preserve">&amp; </w:t>
        </w:r>
      </w:ins>
      <w:ins w:id="201194" w:author="Claude" w:date="2026-09-27T12:00:00Z">
        <w:r>
          <w:rPr>
            <w:color w:val="000000" w:themeColor="text1"/>
          </w:rPr>
          <w:t xml:space="preserve">David French, </w:t>
        </w:r>
      </w:ins>
      <w:ins w:id="201195" w:author="Claude" w:date="2026-09-27T12:00:00Z">
        <w:r>
          <w:rPr>
            <w:i/>
            <w:iCs/>
            <w:color w:val="000000" w:themeColor="text1"/>
          </w:rPr>
          <w:t xml:space="preserve">SCOTUS 2025 Term Debrief</w:t>
        </w:r>
      </w:ins>
      <w:ins w:id="201196" w:author="Claude" w:date="2026-09-27T12:00:00Z">
        <w:r>
          <w:rPr>
            <w:color w:val="000000" w:themeColor="text1"/>
          </w:rPr>
          <w:t xml:space="preserve">, </w:t>
        </w:r>
      </w:ins>
      <w:ins w:id="60143" w:author="Claude" w:date="2026-09-27T05:00:00Z">
        <w:r>
          <w:rPr>
            <w:smallCaps/>
            <w:color w:val="000000" w:themeColor="text1"/>
          </w:rPr>
          <w:t xml:space="preserve">Dispatch: Advisory Opinions</w:t>
        </w:r>
      </w:ins>
      <w:ins w:id="60144" w:author="Claude" w:date="2026-09-27T05:00:00Z">
        <w:r>
          <w:rPr>
            <w:color w:val="000000" w:themeColor="text1"/>
          </w:rPr>
          <w:t xml:space="preserve"> (July 3, 2025), https://thedispatch.com/podcast/advisoryopinions/scotus-2025-term-debrief/ [create perma link] </w:t>
        </w:r>
      </w:ins>
      <w:ins w:id="201197" w:author="Claude" w:date="2026-09-27T12:00:00Z">
        <w:r>
          <w:rPr>
            <w:color w:val="000000" w:themeColor="text1"/>
          </w:rPr>
          <w:t xml:space="preserve">(“[W]as this an appeal that [plaintiffs] needed to make after that Sixth Circuit loss?”).</w:t>
        </w:r>
      </w:ins>
    </w:p>
  </w:footnote>
  <w:footnote w:id="765">
    <w:p w14:paraId="603C7F2F" w14:textId="7B878CF1" w:rsidR="00020483" w:rsidRPr="005B3E31" w:rsidRDefault="00020483" w:rsidP="003D74D8">
      <w:pPr>
        <w:pStyle w:val="FootnoteText"/>
        <w:spacing w:line="480" w:lineRule="auto"/>
        <w:rPr>
          <w:ins w:id="201213" w:author="Claude" w:date="2026-09-27T12:00:00Z"/>
          <w:color w:val="000000" w:themeColor="text1"/>
        </w:rPr>
      </w:pPr>
      <w:ins w:id="201199" w:author="Claude" w:date="2026-09-27T12:00:00Z">
        <w:r>
          <w:rPr>
            <w:rStyle w:val="FootnoteReference"/>
            <w:color w:val="000000" w:themeColor="text1"/>
          </w:rPr>
          <w:footnoteRef/>
        </w:r>
      </w:ins>
      <w:ins w:id="201200" w:author="Claude" w:date="2026-09-27T12:00:00Z">
        <w:r>
          <w:rPr>
            <w:color w:val="000000" w:themeColor="text1"/>
          </w:rPr>
          <w:t xml:space="preserve"> Molly E. Pines, </w:t>
        </w:r>
      </w:ins>
      <w:ins w:id="201201" w:author="Claude" w:date="2026-09-27T12:00:00Z">
        <w:r>
          <w:rPr>
            <w:i/>
            <w:iCs/>
            <w:color w:val="000000" w:themeColor="text1"/>
          </w:rPr>
          <w:t xml:space="preserve">Pick Your Precedent: </w:t>
        </w:r>
      </w:ins>
      <w:ins w:id="201202" w:author="Claude" w:date="2026-09-27T12:00:00Z">
        <w:r>
          <w:rPr>
            <w:color w:val="000000" w:themeColor="text1"/>
            <w:rPrChange w:id="60145" w:author="Claude" w:date="2026-09-27T05:00:00Z">
              <w:rPr>
                <w:i/>
                <w:iCs/>
                <w:color w:val="000000" w:themeColor="text1"/>
              </w:rPr>
            </w:rPrChange>
          </w:rPr>
          <w:t xml:space="preserve">Bostock</w:t>
        </w:r>
      </w:ins>
      <w:ins w:id="201203" w:author="Claude" w:date="2026-09-27T12:00:00Z">
        <w:r>
          <w:rPr>
            <w:i/>
            <w:iCs/>
            <w:color w:val="000000" w:themeColor="text1"/>
          </w:rPr>
          <w:t xml:space="preserve">, </w:t>
        </w:r>
      </w:ins>
      <w:ins w:id="201204" w:author="Claude" w:date="2026-09-27T12:00:00Z">
        <w:r>
          <w:rPr>
            <w:color w:val="000000" w:themeColor="text1"/>
            <w:rPrChange w:id="60146" w:author="Claude" w:date="2026-09-27T05:00:00Z">
              <w:rPr>
                <w:i/>
                <w:iCs/>
                <w:color w:val="000000" w:themeColor="text1"/>
              </w:rPr>
            </w:rPrChange>
          </w:rPr>
          <w:t xml:space="preserve">Dobbs</w:t>
        </w:r>
      </w:ins>
      <w:ins w:id="201205" w:author="Claude" w:date="2026-09-27T12:00:00Z">
        <w:r>
          <w:rPr>
            <w:i/>
            <w:iCs/>
            <w:color w:val="000000" w:themeColor="text1"/>
          </w:rPr>
          <w:t xml:space="preserve">, and the Uncertain Reach of Intermediate Scrutiny in</w:t>
        </w:r>
      </w:ins>
      <w:ins w:id="201206" w:author="Claude" w:date="2026-09-27T12:00:00Z">
        <w:r>
          <w:rPr>
            <w:color w:val="000000" w:themeColor="text1"/>
          </w:rPr>
          <w:t xml:space="preserve"> United States v. </w:t>
        </w:r>
      </w:ins>
      <w:ins w:id="201207" w:author="Claude" w:date="2026-09-27T12:00:00Z">
        <w:r>
          <w:rPr>
            <w:color w:val="000000" w:themeColor="text1"/>
          </w:rPr>
          <w:t xml:space="preserve">Skrmetti</w:t>
        </w:r>
      </w:ins>
      <w:ins w:id="201208" w:author="Claude" w:date="2026-09-27T12:00:00Z">
        <w:r>
          <w:rPr>
            <w:color w:val="000000" w:themeColor="text1"/>
          </w:rPr>
          <w:t xml:space="preserve">, 20 </w:t>
        </w:r>
      </w:ins>
      <w:ins w:id="201209" w:author="Claude" w:date="2026-09-27T12:00:00Z">
        <w:r>
          <w:rPr>
            <w:smallCaps/>
            <w:color w:val="000000" w:themeColor="text1"/>
          </w:rPr>
          <w:t xml:space="preserve">Duke J. Const. L. &amp; Pub. </w:t>
        </w:r>
      </w:ins>
      <w:ins w:id="201210" w:author="Claude" w:date="2026-09-27T12:00:00Z">
        <w:r>
          <w:rPr>
            <w:smallCaps/>
            <w:color w:val="000000" w:themeColor="text1"/>
          </w:rPr>
          <w:t xml:space="preserve">Pol’y</w:t>
        </w:r>
      </w:ins>
      <w:ins w:id="201211" w:author="Claude" w:date="2026-09-27T12:00:00Z">
        <w:r>
          <w:rPr>
            <w:smallCaps/>
            <w:color w:val="000000" w:themeColor="text1"/>
          </w:rPr>
          <w:t xml:space="preserve"> Sidebar</w:t>
        </w:r>
      </w:ins>
      <w:ins w:id="201212" w:author="Claude" w:date="2026-09-27T12:00:00Z">
        <w:r>
          <w:rPr>
            <w:color w:val="000000" w:themeColor="text1"/>
          </w:rPr>
          <w:t xml:space="preserve"> 45, 63–65 (2025). </w:t>
        </w:r>
      </w:ins>
    </w:p>
  </w:footnote>
  <w:footnote w:id="766">
    <w:p w14:paraId="76C0C05D" w14:textId="074A5980" w:rsidR="00984811" w:rsidRPr="005B3E31" w:rsidRDefault="00984811" w:rsidP="003D74D8">
      <w:pPr>
        <w:pStyle w:val="FootnoteText"/>
        <w:spacing w:line="480" w:lineRule="auto"/>
        <w:rPr>
          <w:ins w:id="201230" w:author="Claude" w:date="2026-09-27T12:00:00Z"/>
          <w:color w:val="000000" w:themeColor="text1"/>
        </w:rPr>
      </w:pPr>
      <w:ins w:id="201226" w:author="Claude" w:date="2026-09-27T12:00:00Z">
        <w:r>
          <w:rPr>
            <w:rStyle w:val="FootnoteReference"/>
            <w:color w:val="000000" w:themeColor="text1"/>
          </w:rPr>
          <w:footnoteRef/>
        </w:r>
      </w:ins>
      <w:ins w:id="201227" w:author="Claude" w:date="2026-09-27T12:00:00Z">
        <w:r>
          <w:rPr>
            <w:color w:val="000000" w:themeColor="text1"/>
          </w:rPr>
          <w:t xml:space="preserve"> Bostock v. Clayton </w:t>
        </w:r>
      </w:ins>
      <w:del w:id="60147" w:author="Claude" w:date="2026-09-27T05:00:00Z">
        <w:ins w:id="201228" w:author="Claude" w:date="2026-09-27T12:00:00Z">
          <w:r>
            <w:rPr>
              <w:color w:val="000000" w:themeColor="text1"/>
            </w:rPr>
            <w:delText xml:space="preserve">County</w:delText>
          </w:r>
        </w:ins>
      </w:del>
      <w:ins w:id="60148" w:author="Claude" w:date="2026-09-27T05:00:00Z">
        <w:r>
          <w:rPr>
            <w:color w:val="000000" w:themeColor="text1"/>
          </w:rPr>
          <w:t xml:space="preserve">Cnty.</w:t>
        </w:r>
      </w:ins>
      <w:ins w:id="201229" w:author="Claude" w:date="2026-09-27T12:00:00Z">
        <w:r>
          <w:rPr>
            <w:color w:val="000000" w:themeColor="text1"/>
          </w:rPr>
          <w:t xml:space="preserve">, 590 U.S. 644, 656–57 (2020).</w:t>
        </w:r>
      </w:ins>
    </w:p>
  </w:footnote>
  <w:footnote w:id="767">
    <w:p w14:paraId="1A97EB11" w14:textId="1DD8A31A" w:rsidR="00984811" w:rsidRPr="005B3E31" w:rsidRDefault="00984811" w:rsidP="003D74D8">
      <w:pPr>
        <w:pStyle w:val="FootnoteText"/>
        <w:spacing w:line="480" w:lineRule="auto"/>
        <w:rPr>
          <w:ins w:id="201241" w:author="Claude" w:date="2026-09-27T12:00:00Z"/>
          <w:color w:val="000000" w:themeColor="text1"/>
        </w:rPr>
      </w:pPr>
      <w:ins w:id="201231" w:author="Claude" w:date="2026-09-27T12:00:00Z">
        <w:r>
          <w:rPr>
            <w:rStyle w:val="FootnoteReference"/>
            <w:color w:val="000000" w:themeColor="text1"/>
          </w:rPr>
          <w:footnoteRef/>
        </w:r>
      </w:ins>
      <w:ins w:id="201232" w:author="Claude" w:date="2026-09-27T12:00:00Z">
        <w:r>
          <w:rPr>
            <w:color w:val="000000" w:themeColor="text1"/>
          </w:rPr>
          <w:t xml:space="preserve"> Reply Brief for Petitioner at 4, Bostock v. Clayton </w:t>
        </w:r>
      </w:ins>
      <w:del w:id="60149" w:author="Claude" w:date="2026-09-27T05:00:00Z">
        <w:ins w:id="201233" w:author="Claude" w:date="2026-09-27T12:00:00Z">
          <w:r>
            <w:rPr>
              <w:color w:val="000000" w:themeColor="text1"/>
            </w:rPr>
            <w:delText xml:space="preserve">County</w:delText>
          </w:r>
        </w:ins>
      </w:del>
      <w:ins w:id="60150" w:author="Claude" w:date="2026-09-27T05:00:00Z">
        <w:r>
          <w:rPr>
            <w:color w:val="000000" w:themeColor="text1"/>
          </w:rPr>
          <w:t xml:space="preserve">Cnty.</w:t>
        </w:r>
      </w:ins>
      <w:ins w:id="201234" w:author="Claude" w:date="2026-09-27T12:00:00Z">
        <w:r>
          <w:rPr>
            <w:color w:val="000000" w:themeColor="text1"/>
          </w:rPr>
          <w:t xml:space="preserve">, </w:t>
        </w:r>
      </w:ins>
      <w:del w:id="60151" w:author="Claude" w:date="2026-09-27T05:00:00Z">
        <w:ins w:id="201235" w:author="Claude" w:date="2026-09-27T12:00:00Z">
          <w:r>
            <w:rPr>
              <w:color w:val="000000" w:themeColor="text1"/>
            </w:rPr>
            <w:delText xml:space="preserve">No. 17-1618 (</w:delText>
          </w:r>
        </w:ins>
      </w:del>
      <w:ins w:id="60152" w:author="Claude" w:date="2026-09-27T05:00:00Z">
        <w:r>
          <w:rPr>
            <w:color w:val="000000" w:themeColor="text1"/>
          </w:rPr>
          <w:t xml:space="preserve">590 </w:t>
        </w:r>
      </w:ins>
      <w:ins w:id="201236" w:author="Claude" w:date="2026-09-27T12:00:00Z">
        <w:r>
          <w:rPr>
            <w:color w:val="000000" w:themeColor="text1"/>
          </w:rPr>
          <w:t xml:space="preserve">U.S. </w:t>
        </w:r>
      </w:ins>
      <w:del w:id="60153" w:author="Claude" w:date="2026-09-27T05:00:00Z">
        <w:ins w:id="201237" w:author="Claude" w:date="2026-09-27T12:00:00Z">
          <w:r>
            <w:rPr>
              <w:color w:val="000000" w:themeColor="text1"/>
            </w:rPr>
            <w:delText xml:space="preserve">Sept</w:delText>
          </w:r>
        </w:ins>
      </w:del>
      <w:ins w:id="60154" w:author="Claude" w:date="2026-09-27T05:00:00Z">
        <w:r>
          <w:rPr>
            <w:color w:val="000000" w:themeColor="text1"/>
          </w:rPr>
          <w:t xml:space="preserve">644 (2020) (No</w:t>
        </w:r>
      </w:ins>
      <w:ins w:id="201238" w:author="Claude" w:date="2026-09-27T12:00:00Z">
        <w:r>
          <w:rPr>
            <w:color w:val="000000" w:themeColor="text1"/>
          </w:rPr>
          <w:t xml:space="preserve">. </w:t>
        </w:r>
      </w:ins>
      <w:del w:id="60155" w:author="Claude" w:date="2026-09-27T05:00:00Z">
        <w:ins w:id="201239" w:author="Claude" w:date="2026-09-27T12:00:00Z">
          <w:r>
            <w:rPr>
              <w:color w:val="000000" w:themeColor="text1"/>
            </w:rPr>
            <w:delText xml:space="preserve">10, 2019</w:delText>
          </w:r>
        </w:ins>
      </w:del>
      <w:ins w:id="60156" w:author="Claude" w:date="2026-09-27T05:00:00Z">
        <w:r>
          <w:rPr>
            <w:color w:val="000000" w:themeColor="text1"/>
          </w:rPr>
          <w:t xml:space="preserve">17-1618</w:t>
        </w:r>
      </w:ins>
      <w:ins w:id="201240" w:author="Claude" w:date="2026-09-27T12:00:00Z">
        <w:r>
          <w:rPr>
            <w:color w:val="000000" w:themeColor="text1"/>
          </w:rPr>
          <w:t xml:space="preserve">).</w:t>
        </w:r>
      </w:ins>
    </w:p>
  </w:footnote>
  <w:footnote w:id="768">
    <w:p w14:paraId="59A07338" w14:textId="1AF5ED72" w:rsidR="00984811" w:rsidRPr="005B3E31" w:rsidRDefault="00984811" w:rsidP="003D74D8">
      <w:pPr>
        <w:pStyle w:val="FootnoteText"/>
        <w:spacing w:line="480" w:lineRule="auto"/>
        <w:rPr>
          <w:ins w:id="201252" w:author="Claude" w:date="2026-09-27T12:00:00Z"/>
          <w:color w:val="000000" w:themeColor="text1"/>
        </w:rPr>
      </w:pPr>
      <w:ins w:id="201242" w:author="Claude" w:date="2026-09-27T12:00:00Z">
        <w:r>
          <w:rPr>
            <w:rStyle w:val="FootnoteReference"/>
            <w:color w:val="000000" w:themeColor="text1"/>
          </w:rPr>
          <w:footnoteRef/>
        </w:r>
      </w:ins>
      <w:ins w:id="201243" w:author="Claude" w:date="2026-09-27T12:00:00Z">
        <w:r>
          <w:rPr>
            <w:color w:val="000000" w:themeColor="text1"/>
          </w:rPr>
          <w:t xml:space="preserve"> Transcript of Oral Argument at 6, Bostock v. Clayton </w:t>
        </w:r>
      </w:ins>
      <w:del w:id="60157" w:author="Claude" w:date="2026-09-27T05:00:00Z">
        <w:ins w:id="201244" w:author="Claude" w:date="2026-09-27T12:00:00Z">
          <w:r>
            <w:rPr>
              <w:color w:val="000000" w:themeColor="text1"/>
            </w:rPr>
            <w:delText xml:space="preserve">County</w:delText>
          </w:r>
        </w:ins>
      </w:del>
      <w:ins w:id="60158" w:author="Claude" w:date="2026-09-27T05:00:00Z">
        <w:r>
          <w:rPr>
            <w:color w:val="000000" w:themeColor="text1"/>
          </w:rPr>
          <w:t xml:space="preserve">Cnty.</w:t>
        </w:r>
      </w:ins>
      <w:ins w:id="201245" w:author="Claude" w:date="2026-09-27T12:00:00Z">
        <w:r>
          <w:rPr>
            <w:color w:val="000000" w:themeColor="text1"/>
          </w:rPr>
          <w:t xml:space="preserve">, </w:t>
        </w:r>
      </w:ins>
      <w:del w:id="60159" w:author="Claude" w:date="2026-09-27T05:00:00Z">
        <w:ins w:id="201246" w:author="Claude" w:date="2026-09-27T12:00:00Z">
          <w:r>
            <w:rPr>
              <w:color w:val="000000" w:themeColor="text1"/>
            </w:rPr>
            <w:delText xml:space="preserve">No. 17-1618 (</w:delText>
          </w:r>
        </w:ins>
      </w:del>
      <w:ins w:id="60160" w:author="Claude" w:date="2026-09-27T05:00:00Z">
        <w:r>
          <w:rPr>
            <w:color w:val="000000" w:themeColor="text1"/>
          </w:rPr>
          <w:t xml:space="preserve">590 </w:t>
        </w:r>
      </w:ins>
      <w:ins w:id="201247" w:author="Claude" w:date="2026-09-27T12:00:00Z">
        <w:r>
          <w:rPr>
            <w:color w:val="000000" w:themeColor="text1"/>
          </w:rPr>
          <w:t xml:space="preserve">U.S. </w:t>
        </w:r>
      </w:ins>
      <w:del w:id="60161" w:author="Claude" w:date="2026-09-27T05:00:00Z">
        <w:ins w:id="201248" w:author="Claude" w:date="2026-09-27T12:00:00Z">
          <w:r>
            <w:rPr>
              <w:color w:val="000000" w:themeColor="text1"/>
            </w:rPr>
            <w:delText xml:space="preserve">Oct</w:delText>
          </w:r>
        </w:ins>
      </w:del>
      <w:ins w:id="60162" w:author="Claude" w:date="2026-09-27T05:00:00Z">
        <w:r>
          <w:rPr>
            <w:color w:val="000000" w:themeColor="text1"/>
          </w:rPr>
          <w:t xml:space="preserve">644 (2020) (No</w:t>
        </w:r>
      </w:ins>
      <w:ins w:id="201249" w:author="Claude" w:date="2026-09-27T12:00:00Z">
        <w:r>
          <w:rPr>
            <w:color w:val="000000" w:themeColor="text1"/>
          </w:rPr>
          <w:t xml:space="preserve">. </w:t>
        </w:r>
      </w:ins>
      <w:del w:id="60163" w:author="Claude" w:date="2026-09-27T05:00:00Z">
        <w:ins w:id="201250" w:author="Claude" w:date="2026-09-27T12:00:00Z">
          <w:r>
            <w:rPr>
              <w:color w:val="000000" w:themeColor="text1"/>
            </w:rPr>
            <w:delText xml:space="preserve">8, 2019</w:delText>
          </w:r>
        </w:ins>
      </w:del>
      <w:ins w:id="60164" w:author="Claude" w:date="2026-09-27T05:00:00Z">
        <w:r>
          <w:rPr>
            <w:color w:val="000000" w:themeColor="text1"/>
          </w:rPr>
          <w:t xml:space="preserve">17-1618</w:t>
        </w:r>
      </w:ins>
      <w:ins w:id="201251" w:author="Claude" w:date="2026-09-27T12:00:00Z">
        <w:r>
          <w:rPr>
            <w:color w:val="000000" w:themeColor="text1"/>
          </w:rPr>
          <w:t xml:space="preserve">).</w:t>
        </w:r>
      </w:ins>
    </w:p>
  </w:footnote>
  <w:footnote w:id="769">
    <w:p w14:paraId="4E818A31" w14:textId="70C90217" w:rsidR="00984811" w:rsidRPr="005B3E31" w:rsidRDefault="00984811" w:rsidP="003D74D8">
      <w:pPr>
        <w:pStyle w:val="FootnoteText"/>
        <w:spacing w:line="480" w:lineRule="auto"/>
        <w:rPr>
          <w:ins w:id="201257" w:author="Claude" w:date="2026-09-27T12:00:00Z"/>
          <w:color w:val="000000" w:themeColor="text1"/>
        </w:rPr>
      </w:pPr>
      <w:ins w:id="201253" w:author="Claude" w:date="2026-09-27T12:00:00Z">
        <w:r>
          <w:rPr>
            <w:rStyle w:val="FootnoteReference"/>
            <w:color w:val="000000" w:themeColor="text1"/>
          </w:rPr>
          <w:footnoteRef/>
        </w:r>
      </w:ins>
      <w:ins w:id="201254" w:author="Claude" w:date="2026-09-27T12:00:00Z">
        <w:r>
          <w:rPr>
            <w:color w:val="000000" w:themeColor="text1"/>
          </w:rPr>
          <w:t xml:space="preserve"> </w:t>
        </w:r>
      </w:ins>
      <w:ins w:id="201255" w:author="Claude" w:date="2026-09-27T12:00:00Z">
        <w:r>
          <w:rPr>
            <w:i/>
            <w:iCs/>
            <w:color w:val="000000" w:themeColor="text1"/>
          </w:rPr>
          <w:t xml:space="preserve">Bostock</w:t>
        </w:r>
      </w:ins>
      <w:ins w:id="201256" w:author="Claude" w:date="2026-09-27T12:00:00Z">
        <w:r>
          <w:rPr>
            <w:color w:val="000000" w:themeColor="text1"/>
            <w:rPrChange w:id="60165" w:author="Claude" w:date="2026-09-27T05:00:00Z">
              <w:rPr>
                <w:i/>
                <w:iCs/>
                <w:color w:val="000000" w:themeColor="text1"/>
              </w:rPr>
            </w:rPrChange>
          </w:rPr>
          <w:t xml:space="preserve">, 590 U.S. at 653.</w:t>
        </w:r>
      </w:ins>
    </w:p>
  </w:footnote>
  <w:footnote w:id="770">
    <w:p w14:paraId="49699656" w14:textId="0369BBA1" w:rsidR="00984811" w:rsidRPr="005B3E31" w:rsidRDefault="00984811" w:rsidP="003D74D8">
      <w:pPr>
        <w:pStyle w:val="FootnoteText"/>
        <w:spacing w:line="480" w:lineRule="auto"/>
        <w:rPr>
          <w:ins w:id="201274" w:author="Claude" w:date="2026-09-27T12:00:00Z"/>
          <w:color w:val="000000" w:themeColor="text1"/>
        </w:rPr>
      </w:pPr>
      <w:ins w:id="201270" w:author="Claude" w:date="2026-09-27T12:00:00Z">
        <w:r>
          <w:rPr>
            <w:rStyle w:val="FootnoteReference"/>
            <w:color w:val="000000" w:themeColor="text1"/>
          </w:rPr>
          <w:footnoteRef/>
        </w:r>
      </w:ins>
      <w:ins w:id="201271" w:author="Claude" w:date="2026-09-27T12:00:00Z">
        <w:r>
          <w:rPr>
            <w:color w:val="000000" w:themeColor="text1"/>
          </w:rPr>
          <w:t xml:space="preserve"> Reply Brief for the Petitioner, </w:t>
        </w:r>
      </w:ins>
      <w:ins w:id="201272" w:author="Claude" w:date="2026-09-27T12:00:00Z">
        <w:r>
          <w:rPr>
            <w:i/>
            <w:iCs/>
            <w:color w:val="000000" w:themeColor="text1"/>
            <w:rPrChange w:id="60166" w:author="Claude" w:date="2026-09-27T05:00:00Z">
              <w:rPr>
                <w:color w:val="000000" w:themeColor="text1"/>
              </w:rPr>
            </w:rPrChange>
          </w:rPr>
          <w:t xml:space="preserve">supra</w:t>
        </w:r>
      </w:ins>
      <w:ins w:id="201273" w:author="Claude" w:date="2026-09-27T12:00:00Z">
        <w:r>
          <w:rPr>
            <w:color w:val="000000" w:themeColor="text1"/>
          </w:rPr>
          <w:t xml:space="preserve"> note 38, at 8.</w:t>
        </w:r>
      </w:ins>
    </w:p>
  </w:footnote>
  <w:footnote w:id="771">
    <w:p w14:paraId="7D6FB6C4" w14:textId="0A4FD327" w:rsidR="00984811" w:rsidRPr="005B3E31" w:rsidRDefault="00984811" w:rsidP="003D74D8">
      <w:pPr>
        <w:pStyle w:val="FootnoteText"/>
        <w:spacing w:line="480" w:lineRule="auto"/>
        <w:rPr>
          <w:ins w:id="201282" w:author="Claude" w:date="2026-09-27T12:00:00Z"/>
          <w:color w:val="000000" w:themeColor="text1"/>
        </w:rPr>
      </w:pPr>
      <w:ins w:id="201275" w:author="Claude" w:date="2026-09-27T12:00:00Z">
        <w:r>
          <w:rPr>
            <w:rStyle w:val="FootnoteReference"/>
            <w:color w:val="000000" w:themeColor="text1"/>
          </w:rPr>
          <w:footnoteRef/>
        </w:r>
      </w:ins>
      <w:ins w:id="201276" w:author="Claude" w:date="2026-09-27T12:00:00Z">
        <w:r>
          <w:rPr>
            <w:color w:val="000000" w:themeColor="text1"/>
          </w:rPr>
          <w:t xml:space="preserve"> Transcript of Oral Argument at 36, United States v. </w:t>
        </w:r>
      </w:ins>
      <w:ins w:id="201277" w:author="Claude" w:date="2026-09-27T12:00:00Z">
        <w:r>
          <w:rPr>
            <w:color w:val="000000" w:themeColor="text1"/>
          </w:rPr>
          <w:t xml:space="preserve">Skrmetti</w:t>
        </w:r>
      </w:ins>
      <w:ins w:id="201278" w:author="Claude" w:date="2026-09-27T12:00:00Z">
        <w:r>
          <w:rPr>
            <w:color w:val="000000" w:themeColor="text1"/>
          </w:rPr>
          <w:t xml:space="preserve">, </w:t>
        </w:r>
      </w:ins>
      <w:ins w:id="60167" w:author="Claude" w:date="2026-09-27T05:00:00Z">
        <w:r>
          <w:rPr>
            <w:color w:val="000000" w:themeColor="text1"/>
          </w:rPr>
          <w:t xml:space="preserve">145 S. Ct. 1816 (2025) (</w:t>
        </w:r>
      </w:ins>
      <w:ins w:id="201279" w:author="Claude" w:date="2026-09-27T12:00:00Z">
        <w:r>
          <w:rPr>
            <w:color w:val="000000" w:themeColor="text1"/>
          </w:rPr>
          <w:t xml:space="preserve">No. </w:t>
        </w:r>
      </w:ins>
      <w:del w:id="60168" w:author="Claude" w:date="2026-09-27T05:00:00Z">
        <w:ins w:id="201280" w:author="Claude" w:date="2026-09-27T12:00:00Z">
          <w:r>
            <w:rPr>
              <w:color w:val="000000" w:themeColor="text1"/>
            </w:rPr>
            <w:delText xml:space="preserve">23-477 (U.S. Dec. 4, 2024</w:delText>
          </w:r>
        </w:ins>
      </w:del>
      <w:ins w:id="60169" w:author="Claude" w:date="2026-09-27T05:00:00Z">
        <w:r>
          <w:rPr>
            <w:color w:val="000000" w:themeColor="text1"/>
          </w:rPr>
          <w:t xml:space="preserve">23-477</w:t>
        </w:r>
      </w:ins>
      <w:ins w:id="201281" w:author="Claude" w:date="2026-09-27T12:00:00Z">
        <w:r>
          <w:rPr>
            <w:color w:val="000000" w:themeColor="text1"/>
          </w:rPr>
          <w:t xml:space="preserve">).</w:t>
        </w:r>
      </w:ins>
    </w:p>
  </w:footnote>
  <w:footnote w:id="772">
    <w:p w14:paraId="0BE166B0" w14:textId="33643378" w:rsidR="00757714" w:rsidRPr="005B3E31" w:rsidRDefault="00757714" w:rsidP="003D74D8">
      <w:pPr>
        <w:pStyle w:val="FootnoteText"/>
        <w:spacing w:line="480" w:lineRule="auto"/>
        <w:rPr>
          <w:ins w:id="201296" w:author="Claude" w:date="2026-09-27T12:00:00Z"/>
          <w:color w:val="000000" w:themeColor="text1"/>
        </w:rPr>
      </w:pPr>
      <w:ins w:id="201283" w:author="Claude" w:date="2026-09-27T12:00:00Z">
        <w:r>
          <w:rPr>
            <w:rStyle w:val="FootnoteReference"/>
            <w:color w:val="000000" w:themeColor="text1"/>
          </w:rPr>
          <w:footnoteRef/>
        </w:r>
      </w:ins>
      <w:ins w:id="201284" w:author="Claude" w:date="2026-09-27T12:00:00Z">
        <w:r>
          <w:rPr>
            <w:color w:val="000000" w:themeColor="text1"/>
          </w:rPr>
          <w:t xml:space="preserve"> Hila Keren, </w:t>
        </w:r>
      </w:ins>
      <w:ins w:id="201285" w:author="Claude" w:date="2026-09-27T12:00:00Z">
        <w:r>
          <w:rPr>
            <w:i/>
            <w:iCs/>
            <w:color w:val="000000" w:themeColor="text1"/>
          </w:rPr>
          <w:t xml:space="preserve">Parental Rights May Be Only Path to Save Gender-Affirming Care</w:t>
        </w:r>
      </w:ins>
      <w:ins w:id="201286" w:author="Claude" w:date="2026-09-27T12:00:00Z">
        <w:r>
          <w:rPr>
            <w:color w:val="000000" w:themeColor="text1"/>
          </w:rPr>
          <w:t xml:space="preserve">, </w:t>
        </w:r>
      </w:ins>
      <w:ins w:id="201287" w:author="Claude" w:date="2026-09-27T12:00:00Z">
        <w:r>
          <w:rPr>
            <w:smallCaps/>
            <w:color w:val="000000" w:themeColor="text1"/>
          </w:rPr>
          <w:t xml:space="preserve">Bloomberg </w:t>
        </w:r>
      </w:ins>
      <w:del w:id="60170" w:author="Claude" w:date="2026-09-27T05:00:00Z">
        <w:ins w:id="201288" w:author="Claude" w:date="2026-09-27T12:00:00Z">
          <w:r>
            <w:rPr>
              <w:smallCaps/>
              <w:color w:val="000000" w:themeColor="text1"/>
            </w:rPr>
            <w:delText xml:space="preserve">Law</w:delText>
          </w:r>
        </w:ins>
      </w:del>
      <w:ins w:id="60171" w:author="Claude" w:date="2026-09-27T05:00:00Z">
        <w:r>
          <w:rPr>
            <w:smallCaps/>
            <w:color w:val="000000" w:themeColor="text1"/>
          </w:rPr>
          <w:t xml:space="preserve">L.</w:t>
        </w:r>
      </w:ins>
      <w:ins w:id="201289" w:author="Claude" w:date="2026-09-27T12:00:00Z">
        <w:r>
          <w:rPr>
            <w:color w:val="000000" w:themeColor="text1"/>
          </w:rPr>
          <w:t xml:space="preserve"> (Dec. 10, 2024), https://news.bloomberglaw.com/us-law-week/parental-rights-may-be-only-path-to-save-gender-affirming-care [create </w:t>
        </w:r>
      </w:ins>
      <w:ins w:id="201290" w:author="Claude" w:date="2026-09-27T12:00:00Z">
        <w:r>
          <w:rPr>
            <w:color w:val="000000" w:themeColor="text1"/>
          </w:rPr>
          <w:t xml:space="preserve">perma</w:t>
        </w:r>
      </w:ins>
      <w:ins w:id="201291" w:author="Claude" w:date="2026-09-27T12:00:00Z">
        <w:r>
          <w:rPr>
            <w:color w:val="000000" w:themeColor="text1"/>
          </w:rPr>
          <w:t xml:space="preserve"> link]; </w:t>
        </w:r>
      </w:ins>
      <w:ins w:id="201292" w:author="Claude" w:date="2026-09-27T12:00:00Z">
        <w:r>
          <w:rPr>
            <w:color w:val="000000" w:themeColor="text1"/>
          </w:rPr>
          <w:t xml:space="preserve">Bursch</w:t>
        </w:r>
      </w:ins>
      <w:ins w:id="201293" w:author="Claude" w:date="2026-09-27T12:00:00Z">
        <w:r>
          <w:rPr>
            <w:color w:val="000000" w:themeColor="text1"/>
          </w:rPr>
          <w:t xml:space="preserve">, </w:t>
        </w:r>
      </w:ins>
      <w:ins w:id="201294" w:author="Claude" w:date="2026-09-27T12:00:00Z">
        <w:r>
          <w:rPr>
            <w:i/>
            <w:iCs/>
            <w:color w:val="000000" w:themeColor="text1"/>
            <w:rPrChange w:id="60172" w:author="Claude" w:date="2026-09-27T05:00:00Z">
              <w:rPr>
                <w:color w:val="000000" w:themeColor="text1"/>
              </w:rPr>
            </w:rPrChange>
          </w:rPr>
          <w:t xml:space="preserve">supra</w:t>
        </w:r>
      </w:ins>
      <w:ins w:id="201295" w:author="Claude" w:date="2026-09-27T12:00:00Z">
        <w:r>
          <w:rPr>
            <w:color w:val="000000" w:themeColor="text1"/>
          </w:rPr>
          <w:t xml:space="preserve"> note 4.</w:t>
        </w:r>
      </w:ins>
    </w:p>
  </w:footnote>
  <w:footnote w:id="773">
    <w:p w14:paraId="037B1E4B" w14:textId="21E11F24" w:rsidR="00984811" w:rsidRPr="005B3E31" w:rsidRDefault="00984811" w:rsidP="003D74D8">
      <w:pPr>
        <w:pStyle w:val="FootnoteText"/>
        <w:spacing w:line="480" w:lineRule="auto"/>
        <w:rPr>
          <w:ins w:id="201315" w:author="Claude" w:date="2026-09-27T12:00:00Z"/>
          <w:color w:val="000000" w:themeColor="text1"/>
        </w:rPr>
      </w:pPr>
      <w:ins w:id="201311" w:author="Claude" w:date="2026-09-27T12:00:00Z">
        <w:r>
          <w:rPr>
            <w:rStyle w:val="FootnoteReference"/>
            <w:color w:val="000000" w:themeColor="text1"/>
          </w:rPr>
          <w:footnoteRef/>
        </w:r>
      </w:ins>
      <w:ins w:id="201312" w:author="Claude" w:date="2026-09-27T12:00:00Z">
        <w:r>
          <w:rPr>
            <w:color w:val="000000" w:themeColor="text1"/>
          </w:rPr>
          <w:t xml:space="preserve"> United States v. </w:t>
        </w:r>
      </w:ins>
      <w:ins w:id="201313" w:author="Claude" w:date="2026-09-27T12:00:00Z">
        <w:r>
          <w:rPr>
            <w:color w:val="000000" w:themeColor="text1"/>
          </w:rPr>
          <w:t>Skrmetti</w:t>
        </w:r>
      </w:ins>
      <w:ins w:id="201314" w:author="Claude" w:date="2026-09-27T12:00:00Z">
        <w:r>
          <w:rPr>
            <w:color w:val="000000" w:themeColor="text1"/>
          </w:rPr>
          <w:t>, 145 S. Ct. 1816, 1835 (2025).</w:t>
        </w:r>
      </w:ins>
    </w:p>
  </w:footnote>
  <w:footnote w:id="774">
    <w:p w14:paraId="4047C78E" w14:textId="26175431" w:rsidR="00E170D6" w:rsidRPr="005B3E31" w:rsidRDefault="00E170D6" w:rsidP="003D74D8">
      <w:pPr>
        <w:pStyle w:val="FootnoteText"/>
        <w:spacing w:line="480" w:lineRule="auto"/>
        <w:rPr>
          <w:ins w:id="201330" w:author="Claude" w:date="2026-09-27T12:00:00Z"/>
          <w:color w:val="000000" w:themeColor="text1"/>
        </w:rPr>
      </w:pPr>
      <w:ins w:id="201324" w:author="Claude" w:date="2026-09-27T12:00:00Z">
        <w:r>
          <w:rPr>
            <w:rStyle w:val="FootnoteReference"/>
            <w:color w:val="000000" w:themeColor="text1"/>
          </w:rPr>
          <w:footnoteRef/>
        </w:r>
      </w:ins>
      <w:ins w:id="201325" w:author="Claude" w:date="2026-09-27T12:00:00Z">
        <w:r>
          <w:rPr>
            <w:color w:val="000000" w:themeColor="text1"/>
          </w:rPr>
          <w:t xml:space="preserve"> </w:t>
        </w:r>
      </w:ins>
      <w:ins w:id="201326" w:author="Claude" w:date="2026-09-27T12:00:00Z">
        <w:r>
          <w:rPr>
            <w:i/>
            <w:iCs/>
            <w:color w:val="000000" w:themeColor="text1"/>
          </w:rPr>
          <w:t xml:space="preserve">Id. </w:t>
        </w:r>
      </w:ins>
      <w:ins w:id="201327" w:author="Claude" w:date="2026-09-27T12:00:00Z">
        <w:r>
          <w:rPr>
            <w:color w:val="000000" w:themeColor="text1"/>
            <w:rPrChange w:id="60173" w:author="Claude" w:date="2026-09-27T05:00:00Z">
              <w:rPr>
                <w:i/>
                <w:iCs/>
                <w:color w:val="000000" w:themeColor="text1"/>
              </w:rPr>
            </w:rPrChange>
          </w:rPr>
          <w:t xml:space="preserve">at</w:t>
        </w:r>
      </w:ins>
      <w:ins w:id="201328" w:author="Claude" w:date="2026-09-27T12:00:00Z">
        <w:r>
          <w:rPr>
            <w:color w:val="000000" w:themeColor="text1"/>
            <w:rPrChange w:id="60174" w:author="Claude" w:date="2026-09-27T05:00:00Z">
              <w:rPr>
                <w:i/>
                <w:iCs/>
                <w:color w:val="000000" w:themeColor="text1"/>
              </w:rPr>
            </w:rPrChange>
          </w:rPr>
          <w:t xml:space="preserve"> 1835–37.</w:t>
        </w:r>
      </w:ins>
      <w:ins w:id="201329" w:author="Claude" w:date="2026-09-27T12:00:00Z">
        <w:r>
          <w:rPr>
            <w:color w:val="000000" w:themeColor="text1"/>
          </w:rPr>
          <w:t xml:space="preserve"> </w:t>
        </w:r>
      </w:ins>
    </w:p>
  </w:footnote>
  <w:footnote w:id="775">
    <w:p w14:paraId="566D71E7" w14:textId="4D8B4B77" w:rsidR="000A1CEB" w:rsidRPr="005B3E31" w:rsidRDefault="000A1CEB" w:rsidP="003D74D8">
      <w:pPr>
        <w:pStyle w:val="FootnoteText"/>
        <w:spacing w:line="480" w:lineRule="auto"/>
        <w:rPr>
          <w:ins w:id="201348" w:author="Claude" w:date="2026-09-27T12:00:00Z"/>
          <w:color w:val="000000" w:themeColor="text1"/>
        </w:rPr>
      </w:pPr>
      <w:ins w:id="201331" w:author="Claude" w:date="2026-09-27T12:00:00Z">
        <w:r>
          <w:rPr>
            <w:rStyle w:val="FootnoteReference"/>
            <w:color w:val="000000" w:themeColor="text1"/>
          </w:rPr>
          <w:footnoteRef/>
        </w:r>
      </w:ins>
      <w:ins w:id="201332" w:author="Claude" w:date="2026-09-27T12:00:00Z">
        <w:r>
          <w:rPr>
            <w:color w:val="000000" w:themeColor="text1"/>
          </w:rPr>
          <w:t xml:space="preserve"> McArdle, </w:t>
        </w:r>
      </w:ins>
      <w:ins w:id="201333" w:author="Claude" w:date="2026-09-27T12:00:00Z">
        <w:r>
          <w:rPr>
            <w:i/>
            <w:iCs/>
            <w:color w:val="000000" w:themeColor="text1"/>
          </w:rPr>
          <w:t xml:space="preserve">supra</w:t>
        </w:r>
      </w:ins>
      <w:ins w:id="201334" w:author="Claude" w:date="2026-09-27T12:00:00Z">
        <w:r>
          <w:rPr>
            <w:color w:val="000000" w:themeColor="text1"/>
          </w:rPr>
          <w:t xml:space="preserve"> note 2; </w:t>
        </w:r>
      </w:ins>
      <w:ins w:id="201335" w:author="Claude" w:date="2026-09-27T12:00:00Z">
        <w:r>
          <w:rPr>
            <w:color w:val="000000" w:themeColor="text1"/>
          </w:rPr>
          <w:t xml:space="preserve">Confessore</w:t>
        </w:r>
      </w:ins>
      <w:ins w:id="201336" w:author="Claude" w:date="2026-09-27T12:00:00Z">
        <w:r>
          <w:rPr>
            <w:color w:val="000000" w:themeColor="text1"/>
          </w:rPr>
          <w:t xml:space="preserve">, </w:t>
        </w:r>
      </w:ins>
      <w:ins w:id="201337" w:author="Claude" w:date="2026-09-27T12:00:00Z">
        <w:r>
          <w:rPr>
            <w:i/>
            <w:iCs/>
            <w:color w:val="000000" w:themeColor="text1"/>
          </w:rPr>
          <w:t xml:space="preserve">supra</w:t>
        </w:r>
      </w:ins>
      <w:ins w:id="201338" w:author="Claude" w:date="2026-09-27T12:00:00Z">
        <w:r>
          <w:rPr>
            <w:color w:val="000000" w:themeColor="text1"/>
          </w:rPr>
          <w:t xml:space="preserve"> note 3; Transcript of Oral Argument, </w:t>
        </w:r>
      </w:ins>
      <w:ins w:id="201339" w:author="Claude" w:date="2026-09-27T12:00:00Z">
        <w:r>
          <w:rPr>
            <w:i/>
            <w:iCs/>
            <w:color w:val="000000" w:themeColor="text1"/>
            <w:rPrChange w:id="60175" w:author="Claude" w:date="2026-09-27T05:00:00Z">
              <w:rPr>
                <w:color w:val="000000" w:themeColor="text1"/>
              </w:rPr>
            </w:rPrChange>
          </w:rPr>
          <w:t xml:space="preserve">supra</w:t>
        </w:r>
      </w:ins>
      <w:ins w:id="201340" w:author="Claude" w:date="2026-09-27T12:00:00Z">
        <w:r>
          <w:rPr>
            <w:color w:val="000000" w:themeColor="text1"/>
          </w:rPr>
          <w:t xml:space="preserve"> note </w:t>
        </w:r>
      </w:ins>
      <w:ins w:id="201341" w:author="Claude" w:date="2026-09-27T12:00:00Z">
        <w:r>
          <w:rPr>
            <w:color w:val="000000" w:themeColor="text1"/>
          </w:rPr>
          <w:t xml:space="preserve">46</w:t>
        </w:r>
      </w:ins>
      <w:ins w:id="201342" w:author="Claude" w:date="2026-09-27T12:00:00Z">
        <w:r>
          <w:rPr>
            <w:color w:val="000000" w:themeColor="text1"/>
          </w:rPr>
          <w:t xml:space="preserve">, at 21–29; </w:t>
        </w:r>
      </w:ins>
      <w:del w:id="60176" w:author="Claude" w:date="2026-09-27T05:00:00Z">
        <w:ins w:id="201343" w:author="Claude" w:date="2026-09-27T12:00:00Z">
          <w:r>
            <w:rPr>
              <w:color w:val="000000" w:themeColor="text1"/>
            </w:rPr>
            <w:delText xml:space="preserve">United States v. </w:delText>
          </w:r>
        </w:ins>
      </w:del>
      <w:ins w:id="201344" w:author="Claude" w:date="2026-09-27T12:00:00Z">
        <w:r>
          <w:rPr>
            <w:i/>
            <w:iCs/>
            <w:color w:val="000000" w:themeColor="text1"/>
            <w:rPrChange w:id="60177" w:author="Claude" w:date="2026-09-27T05:00:00Z">
              <w:rPr>
                <w:color w:val="000000" w:themeColor="text1"/>
              </w:rPr>
            </w:rPrChange>
          </w:rPr>
          <w:t xml:space="preserve">Skrmetti</w:t>
        </w:r>
      </w:ins>
      <w:ins w:id="201345" w:author="Claude" w:date="2026-09-27T12:00:00Z">
        <w:r>
          <w:rPr>
            <w:color w:val="000000" w:themeColor="text1"/>
          </w:rPr>
          <w:t xml:space="preserve">, 145 S. Ct. </w:t>
        </w:r>
      </w:ins>
      <w:del w:id="60178" w:author="Claude" w:date="2026-09-27T05:00:00Z">
        <w:ins w:id="201346" w:author="Claude" w:date="2026-09-27T12:00:00Z">
          <w:r>
            <w:rPr>
              <w:color w:val="000000" w:themeColor="text1"/>
            </w:rPr>
            <w:delText xml:space="preserve">1816, 1835 (2025)</w:delText>
          </w:r>
        </w:ins>
      </w:del>
      <w:ins w:id="60179" w:author="Claude" w:date="2026-09-27T05:00:00Z">
        <w:r>
          <w:rPr>
            <w:color w:val="000000" w:themeColor="text1"/>
          </w:rPr>
          <w:t xml:space="preserve">at 1835</w:t>
        </w:r>
      </w:ins>
      <w:ins w:id="201347" w:author="Claude" w:date="2026-09-27T12:00:00Z">
        <w:r>
          <w:rPr>
            <w:color w:val="000000" w:themeColor="text1"/>
          </w:rPr>
          <w:t xml:space="preserve">.</w:t>
        </w:r>
      </w:ins>
    </w:p>
  </w:footnote>
  <w:footnote w:id="776">
    <w:p>
      <w:pPr>
        <w:pStyle w:val="FootnoteText"/>
        <w:spacing w:line="480" w:lineRule="auto"/>
        <w:rPr>
          <w:ins w:id="201349" w:author="Claude" w:date="2026-09-27T12:00:00Z"/>
        </w:rPr>
      </w:pPr>
      <w:ins w:id="201350" w:author="Claude" w:date="2026-09-27T12:00:00Z">
        <w:r>
          <w:rPr>
            <w:rStyle w:val="FootnoteReference"/>
          </w:rPr>
          <w:footnoteRef/>
        </w:r>
        <w:r>
          <w:t xml:space="preserve"> </w:t>
        </w:r>
        <w:r>
          <w:rPr>
            <w:smallCaps/>
          </w:rPr>
          <w:t>Anthony T. Kronman, The Lost Lawyer: Failing Ideals of the Legal Profession</w:t>
        </w:r>
        <w:r>
          <w:t xml:space="preserve"> 149 (1993).</w:t>
        </w:r>
      </w:ins>
    </w:p>
  </w:footnote>
  <w:footnote w:id="777">
    <w:p>
      <w:pPr>
        <w:pStyle w:val="FootnoteText"/>
        <w:spacing w:line="480" w:lineRule="auto"/>
        <w:rPr>
          <w:ins w:id="201351" w:author="Claude" w:date="2026-09-27T12:00:00Z"/>
        </w:rPr>
      </w:pPr>
      <w:ins w:id="201352" w:author="Claude" w:date="2026-09-27T12:00:00Z">
        <w:r>
          <w:rPr>
            <w:rStyle w:val="FootnoteReference"/>
          </w:rPr>
          <w:footnoteRef/>
        </w:r>
        <w:r>
          <w:t xml:space="preserve"> </w:t>
        </w:r>
        <w:r>
          <w:t xml:space="preserve">Richard J. Lazarus, </w:t>
        </w:r>
        <w:r>
          <w:rPr>
            <w:i/>
          </w:rPr>
          <w:t>Advocacy Matters Before and Within the Supreme Court: Transforming the Court by Transforming the Bar</w:t>
        </w:r>
        <w:r>
          <w:t xml:space="preserve">, 96 </w:t>
        </w:r>
        <w:r>
          <w:rPr>
            <w:smallCaps/>
          </w:rPr>
          <w:t>Geo. L.J.</w:t>
        </w:r>
        <w:r>
          <w:t xml:space="preserve"> 1487, 1540–41 (2008).</w:t>
        </w:r>
      </w:ins>
    </w:p>
  </w:footnote>
  <w:footnote w:id="778">
    <w:p>
      <w:pPr>
        <w:pStyle w:val="FootnoteText"/>
        <w:spacing w:line="480" w:lineRule="auto"/>
        <w:rPr>
          <w:ins w:id="201353" w:author="Claude" w:date="2026-09-27T12:00:00Z"/>
        </w:rPr>
      </w:pPr>
      <w:ins w:id="201354" w:author="Claude" w:date="2026-09-27T12:00:00Z">
        <w:r>
          <w:rPr>
            <w:rStyle w:val="FootnoteReference"/>
          </w:rPr>
          <w:footnoteRef/>
        </w:r>
        <w:r>
          <w:t xml:space="preserve"> </w:t>
        </w:r>
        <w:r>
          <w:t xml:space="preserve">Daniel Kahneman &amp; Dan Lovallo, </w:t>
        </w:r>
        <w:r>
          <w:rPr>
            <w:i/>
          </w:rPr>
          <w:t>Timid Choices and Bold Forecasts: A Cognitive Perspective on Risk Taking</w:t>
        </w:r>
        <w:r>
          <w:t xml:space="preserve">, 39 </w:t>
        </w:r>
        <w:r>
          <w:rPr>
            <w:smallCaps/>
          </w:rPr>
          <w:t>Mgmt. Sci.</w:t>
        </w:r>
        <w:r>
          <w:t xml:space="preserve"> 17, 26 (1993).</w:t>
        </w:r>
      </w:ins>
    </w:p>
  </w:footnote>
  <w:footnote w:id="779">
    <w:p w14:paraId="574CC3C9" w14:textId="77777777" w:rsidR="007219E6" w:rsidRPr="005B3E31" w:rsidRDefault="00000000" w:rsidP="003D74D8">
      <w:pPr>
        <w:pStyle w:val="FootnoteText"/>
        <w:spacing w:line="480" w:lineRule="auto"/>
        <w:rPr>
          <w:ins w:id="201359" w:author="Claude" w:date="2026-09-27T12:00:00Z"/>
          <w:color w:val="000000" w:themeColor="text1"/>
        </w:rPr>
      </w:pPr>
      <w:ins w:id="201355" w:author="Claude" w:date="2026-09-27T12:00:00Z">
        <w:r>
          <w:rPr>
            <w:rStyle w:val="FootnoteReference"/>
            <w:color w:val="000000" w:themeColor="text1"/>
          </w:rPr>
          <w:footnoteRef/>
        </w:r>
      </w:ins>
      <w:ins w:id="201356" w:author="Claude" w:date="2026-09-27T12:00:00Z">
        <w:r>
          <w:rPr>
            <w:color w:val="000000" w:themeColor="text1"/>
          </w:rPr>
          <w:t xml:space="preserve"> </w:t>
        </w:r>
      </w:ins>
      <w:ins w:id="201357" w:author="Claude" w:date="2026-09-27T12:00:00Z">
        <w:r>
          <w:rPr>
            <w:i/>
            <w:iCs/>
            <w:color w:val="000000" w:themeColor="text1"/>
          </w:rPr>
          <w:t>See infra</w:t>
        </w:r>
      </w:ins>
      <w:ins w:id="201358" w:author="Claude" w:date="2026-09-27T12:00:00Z">
        <w:r>
          <w:rPr>
            <w:color w:val="000000" w:themeColor="text1"/>
          </w:rPr>
          <w:t xml:space="preserve"> Sections IV, VI.</w:t>
        </w:r>
      </w:ins>
    </w:p>
  </w:footnote>
  <w:footnote w:id="780">
    <w:p w14:paraId="44292FA2" w14:textId="480A8199" w:rsidR="007219E6" w:rsidRPr="005B3E31" w:rsidRDefault="00000000" w:rsidP="003D74D8">
      <w:pPr>
        <w:pStyle w:val="FootnoteText"/>
        <w:spacing w:line="480" w:lineRule="auto"/>
        <w:rPr>
          <w:ins w:id="201364" w:author="Claude" w:date="2026-09-27T12:00:00Z"/>
          <w:color w:val="000000" w:themeColor="text1"/>
        </w:rPr>
      </w:pPr>
      <w:ins w:id="201360" w:author="Claude" w:date="2026-09-27T12:00:00Z">
        <w:r>
          <w:rPr>
            <w:rStyle w:val="FootnoteReference"/>
            <w:color w:val="000000" w:themeColor="text1"/>
          </w:rPr>
          <w:footnoteRef/>
        </w:r>
      </w:ins>
      <w:ins w:id="201361" w:author="Claude" w:date="2026-09-27T12:00:00Z">
        <w:r>
          <w:rPr>
            <w:color w:val="000000" w:themeColor="text1"/>
          </w:rPr>
          <w:t xml:space="preserve"> </w:t>
        </w:r>
      </w:ins>
      <w:ins w:id="201362" w:author="Claude" w:date="2026-09-27T12:00:00Z">
        <w:r>
          <w:rPr>
            <w:smallCaps/>
            <w:color w:val="000000" w:themeColor="text1"/>
            <w:rPrChange w:id="60180" w:author="Claude" w:date="2026-09-27T05:00:00Z">
              <w:rPr>
                <w:color w:val="000000" w:themeColor="text1"/>
              </w:rPr>
            </w:rPrChange>
          </w:rPr>
          <w:t xml:space="preserve">Charles Tilly, Big Structures, Large Processes, Huge Comparisons</w:t>
        </w:r>
      </w:ins>
      <w:ins w:id="201363" w:author="Claude" w:date="2026-09-27T12:00:00Z">
        <w:r>
          <w:rPr>
            <w:color w:val="000000" w:themeColor="text1"/>
          </w:rPr>
          <w:t xml:space="preserve"> 82 (1984).</w:t>
        </w:r>
      </w:ins>
    </w:p>
  </w:footnote>
  <w:footnote w:id="781">
    <w:p w14:paraId="16FD0A18" w14:textId="35F9B143" w:rsidR="00A726E0" w:rsidRPr="005B3E31" w:rsidRDefault="00A726E0" w:rsidP="003D74D8">
      <w:pPr>
        <w:pStyle w:val="FootnoteText"/>
        <w:spacing w:line="480" w:lineRule="auto"/>
        <w:rPr>
          <w:ins w:id="201385" w:author="Claude" w:date="2026-09-27T12:00:00Z"/>
        </w:rPr>
      </w:pPr>
      <w:ins w:id="201369" w:author="Claude" w:date="2026-09-27T12:00:00Z">
        <w:r>
          <w:rPr>
            <w:rStyle w:val="FootnoteReference"/>
          </w:rPr>
          <w:footnoteRef/>
        </w:r>
      </w:ins>
      <w:ins w:id="201370" w:author="Claude" w:date="2026-09-27T12:00:00Z">
        <w:r>
          <w:t xml:space="preserve"> </w:t>
        </w:r>
      </w:ins>
      <w:ins w:id="201371" w:author="Claude" w:date="2026-09-27T12:00:00Z">
        <w:r>
          <w:rPr>
            <w:smallCaps/>
            <w:rPrChange w:id="60181" w:author="Claude" w:date="2026-09-27T05:00:00Z">
              <w:rPr/>
            </w:rPrChange>
          </w:rPr>
          <w:t xml:space="preserve">Genna</w:t>
        </w:r>
      </w:ins>
      <w:ins w:id="201372" w:author="Claude" w:date="2026-09-27T12:00:00Z">
        <w:r>
          <w:rPr>
            <w:smallCaps/>
            <w:rPrChange w:id="60182" w:author="Claude" w:date="2026-09-27T05:00:00Z">
              <w:rPr/>
            </w:rPrChange>
          </w:rPr>
          <w:t xml:space="preserve"> Rae McNeil, Groundwork: Charles Hamilton Houston and the Struggle for Civil Rights</w:t>
        </w:r>
      </w:ins>
      <w:ins w:id="201373" w:author="Claude" w:date="2026-09-27T12:00:00Z">
        <w:r>
          <w:t xml:space="preserve"> 182 (</w:t>
        </w:r>
      </w:ins>
      <w:del w:id="60183" w:author="Claude" w:date="2026-09-27T05:00:00Z">
        <w:ins w:id="201374" w:author="Claude" w:date="2026-09-27T12:00:00Z">
          <w:r>
            <w:delText xml:space="preserve">Univ. of Pa. Press </w:delText>
          </w:r>
        </w:ins>
      </w:del>
      <w:ins w:id="201375" w:author="Claude" w:date="2026-09-27T12:00:00Z">
        <w:r>
          <w:t xml:space="preserve">1983); </w:t>
        </w:r>
      </w:ins>
      <w:ins w:id="201376" w:author="Claude" w:date="2026-09-27T12:00:00Z">
        <w:r>
          <w:rPr>
            <w:smallCaps/>
            <w:color w:val="000000" w:themeColor="text1"/>
          </w:rPr>
          <w:t xml:space="preserve">Robert L. Carter, A Matter of Law: A Memoir of Struggle in the Cause of Equal Rights</w:t>
        </w:r>
      </w:ins>
      <w:ins w:id="201377" w:author="Claude" w:date="2026-09-27T12:00:00Z">
        <w:r>
          <w:rPr>
            <w:color w:val="000000" w:themeColor="text1"/>
          </w:rPr>
          <w:t xml:space="preserve"> 25 (2005); Leland B. Ware, </w:t>
        </w:r>
      </w:ins>
      <w:ins w:id="201378" w:author="Claude" w:date="2026-09-27T12:00:00Z">
        <w:r>
          <w:rPr>
            <w:i/>
            <w:iCs/>
            <w:color w:val="000000" w:themeColor="text1"/>
          </w:rPr>
          <w:t xml:space="preserve">Setting the Stage for </w:t>
        </w:r>
      </w:ins>
      <w:ins w:id="201379" w:author="Claude" w:date="2026-09-27T12:00:00Z">
        <w:r>
          <w:rPr>
            <w:color w:val="000000" w:themeColor="text1"/>
            <w:rPrChange w:id="60184" w:author="Claude" w:date="2026-09-27T05:00:00Z">
              <w:rPr>
                <w:i/>
                <w:iCs/>
                <w:color w:val="000000" w:themeColor="text1"/>
              </w:rPr>
            </w:rPrChange>
          </w:rPr>
          <w:t xml:space="preserve">Brown</w:t>
        </w:r>
      </w:ins>
      <w:ins w:id="201380" w:author="Claude" w:date="2026-09-27T12:00:00Z">
        <w:r>
          <w:rPr>
            <w:i/>
            <w:iCs/>
            <w:color w:val="000000" w:themeColor="text1"/>
          </w:rPr>
          <w:t xml:space="preserve">—The Development and Implementation of the NAACP’s School Desegregation Campaign</w:t>
        </w:r>
      </w:ins>
      <w:ins w:id="201381" w:author="Claude" w:date="2026-09-27T12:00:00Z">
        <w:r>
          <w:rPr>
            <w:i/>
            <w:iCs/>
            <w:color w:val="000000" w:themeColor="text1"/>
            <w:rPrChange w:id="60185" w:author="Claude" w:date="2026-09-27T05:00:00Z">
              <w:rPr>
                <w:color w:val="000000" w:themeColor="text1"/>
              </w:rPr>
            </w:rPrChange>
          </w:rPr>
          <w:t xml:space="preserve">, 1930–1950</w:t>
        </w:r>
      </w:ins>
      <w:ins w:id="201382" w:author="Claude" w:date="2026-09-27T12:00:00Z">
        <w:r>
          <w:rPr>
            <w:color w:val="000000" w:themeColor="text1"/>
          </w:rPr>
          <w:t xml:space="preserve">, 52 </w:t>
        </w:r>
      </w:ins>
      <w:ins w:id="201383" w:author="Claude" w:date="2026-09-27T12:00:00Z">
        <w:r>
          <w:rPr>
            <w:smallCaps/>
            <w:color w:val="000000" w:themeColor="text1"/>
          </w:rPr>
          <w:t xml:space="preserve">Mercer L. Rev.</w:t>
        </w:r>
      </w:ins>
      <w:ins w:id="201384" w:author="Claude" w:date="2026-09-27T12:00:00Z">
        <w:r>
          <w:rPr>
            <w:color w:val="000000" w:themeColor="text1"/>
          </w:rPr>
          <w:t xml:space="preserve"> 631, 657 (2001).</w:t>
        </w:r>
      </w:ins>
    </w:p>
  </w:footnote>
  <w:footnote w:id="782">
    <w:p w14:paraId="0478F099" w14:textId="47123719" w:rsidR="00A726E0" w:rsidRPr="005B3E31" w:rsidRDefault="00A726E0" w:rsidP="003D74D8">
      <w:pPr>
        <w:pStyle w:val="FootnoteText"/>
        <w:spacing w:line="480" w:lineRule="auto"/>
        <w:rPr>
          <w:ins w:id="201392" w:author="Claude" w:date="2026-09-27T12:00:00Z"/>
        </w:rPr>
      </w:pPr>
      <w:ins w:id="201386" w:author="Claude" w:date="2026-09-27T12:00:00Z">
        <w:r>
          <w:rPr>
            <w:rStyle w:val="FootnoteReference"/>
          </w:rPr>
          <w:footnoteRef/>
        </w:r>
      </w:ins>
      <w:ins w:id="201387" w:author="Claude" w:date="2026-09-27T12:00:00Z">
        <w:r>
          <w:t xml:space="preserve"> </w:t>
        </w:r>
      </w:ins>
      <w:ins w:id="201388" w:author="Claude" w:date="2026-09-27T12:00:00Z">
        <w:r>
          <w:rPr>
            <w:smallCaps/>
            <w:color w:val="000000" w:themeColor="text1"/>
          </w:rPr>
          <w:t>Richard Kluger, Simple Justice: The History of Brown v. Board of Education and Black America's Struggle for Equality</w:t>
        </w:r>
      </w:ins>
      <w:ins w:id="201389" w:author="Claude" w:date="2026-09-27T12:00:00Z">
        <w:r>
          <w:rPr>
            <w:color w:val="000000" w:themeColor="text1"/>
          </w:rPr>
          <w:t xml:space="preserve"> 854 (1975); </w:t>
        </w:r>
      </w:ins>
      <w:ins w:id="201390" w:author="Claude" w:date="2026-09-27T12:00:00Z">
        <w:r>
          <w:rPr>
            <w:smallCaps/>
            <w:color w:val="000000" w:themeColor="text1"/>
          </w:rPr>
          <w:t>Patricia Sullivan, Lift Every Voice: The NAACP and the Making of the Civil Rights Movement</w:t>
        </w:r>
      </w:ins>
      <w:ins w:id="201391" w:author="Claude" w:date="2026-09-27T12:00:00Z">
        <w:r>
          <w:rPr>
            <w:color w:val="000000" w:themeColor="text1"/>
          </w:rPr>
          <w:t xml:space="preserve"> 530 (2009).</w:t>
        </w:r>
      </w:ins>
    </w:p>
  </w:footnote>
  <w:footnote w:id="783">
    <w:p w14:paraId="2EB2C1B3" w14:textId="20D8992B" w:rsidR="00A726E0" w:rsidRPr="005B3E31" w:rsidRDefault="00A726E0" w:rsidP="003D74D8">
      <w:pPr>
        <w:pStyle w:val="FootnoteText"/>
        <w:spacing w:line="480" w:lineRule="auto"/>
        <w:rPr>
          <w:ins w:id="201401" w:author="Claude" w:date="2026-09-27T12:00:00Z"/>
        </w:rPr>
      </w:pPr>
      <w:ins w:id="201393" w:author="Claude" w:date="2026-09-27T12:00:00Z">
        <w:r>
          <w:rPr>
            <w:rStyle w:val="FootnoteReference"/>
          </w:rPr>
          <w:footnoteRef/>
        </w:r>
      </w:ins>
      <w:ins w:id="201394" w:author="Claude" w:date="2026-09-27T12:00:00Z">
        <w:r>
          <w:t xml:space="preserve"> </w:t>
        </w:r>
      </w:ins>
      <w:ins w:id="201395" w:author="Claude" w:date="2026-09-27T12:00:00Z">
        <w:r>
          <w:rPr>
            <w:smallCaps/>
            <w:color w:val="000000" w:themeColor="text1"/>
          </w:rPr>
          <w:t>Jack Greenberg, Crusaders in the Courts: How a Dedicated Band of Lawyers Fought for the Civil Rights Revolution</w:t>
        </w:r>
      </w:ins>
      <w:ins w:id="201396" w:author="Claude" w:date="2026-09-27T12:00:00Z">
        <w:r>
          <w:rPr>
            <w:color w:val="000000" w:themeColor="text1"/>
          </w:rPr>
          <w:t xml:space="preserve"> 72 (1994); </w:t>
        </w:r>
      </w:ins>
      <w:ins w:id="201397" w:author="Claude" w:date="2026-09-27T12:00:00Z">
        <w:r>
          <w:rPr>
            <w:smallCaps/>
            <w:color w:val="000000" w:themeColor="text1"/>
          </w:rPr>
          <w:t xml:space="preserve">Mark V. </w:t>
        </w:r>
      </w:ins>
      <w:ins w:id="201398" w:author="Claude" w:date="2026-09-27T12:00:00Z">
        <w:r>
          <w:rPr>
            <w:smallCaps/>
            <w:color w:val="000000" w:themeColor="text1"/>
          </w:rPr>
          <w:t>Tushnet</w:t>
        </w:r>
      </w:ins>
      <w:ins w:id="201399" w:author="Claude" w:date="2026-09-27T12:00:00Z">
        <w:r>
          <w:rPr>
            <w:smallCaps/>
            <w:color w:val="000000" w:themeColor="text1"/>
          </w:rPr>
          <w:t>, Making Civil Rights Law: Thurgood Marshall and the Supreme Court, 1936–1961</w:t>
        </w:r>
      </w:ins>
      <w:ins w:id="201400" w:author="Claude" w:date="2026-09-27T12:00:00Z">
        <w:r>
          <w:rPr>
            <w:color w:val="000000" w:themeColor="text1"/>
          </w:rPr>
          <w:t>, at 38 (1994).</w:t>
        </w:r>
      </w:ins>
    </w:p>
  </w:footnote>
  <w:footnote w:id="784">
    <w:p>
      <w:pPr>
        <w:pStyle w:val="FootnoteText"/>
        <w:spacing w:line="480" w:lineRule="auto"/>
        <w:rPr>
          <w:ins w:id="201402" w:author="Claude" w:date="2026-09-27T12:00:00Z"/>
        </w:rPr>
      </w:pPr>
      <w:ins w:id="201403" w:author="Claude" w:date="2026-09-27T12:00:00Z">
        <w:r>
          <w:rPr>
            <w:rStyle w:val="FootnoteReference"/>
          </w:rPr>
          <w:footnoteRef/>
        </w:r>
        <w:r>
          <w:t xml:space="preserve"> </w:t>
        </w:r>
        <w:r>
          <w:rPr>
            <w:smallCaps/>
          </w:rPr>
          <w:t>Mark V. Tushnet, The NAACP’s Legal Strategy Against Segregated Education, 1925–1950</w:t>
        </w:r>
        <w:r>
          <w:t>, at 68–69 (1987).</w:t>
        </w:r>
      </w:ins>
    </w:p>
  </w:footnote>
  <w:footnote w:id="785">
    <w:p>
      <w:pPr>
        <w:pStyle w:val="FootnoteText"/>
        <w:spacing w:line="480" w:lineRule="auto"/>
        <w:rPr>
          <w:ins w:id="201404" w:author="Claude" w:date="2026-09-27T12:00:00Z"/>
        </w:rPr>
      </w:pPr>
      <w:ins w:id="201405" w:author="Claude" w:date="2026-09-27T12:00:00Z">
        <w:r>
          <w:rPr>
            <w:rStyle w:val="FootnoteReference"/>
          </w:rPr>
          <w:footnoteRef/>
        </w:r>
        <w:r>
          <w:t xml:space="preserve"> </w:t>
        </w:r>
        <w:r>
          <w:rPr>
            <w:smallCaps/>
          </w:rPr>
          <w:t>Tushnet, The NAACP’s Legal Strategy</w:t>
        </w:r>
        <w:r>
          <w:t xml:space="preserve">, </w:t>
        </w:r>
        <w:r>
          <w:rPr>
            <w:i/>
          </w:rPr>
          <w:t>supra</w:t>
        </w:r>
        <w:r>
          <w:t>, at 53.</w:t>
        </w:r>
      </w:ins>
    </w:p>
  </w:footnote>
  <w:footnote w:id="786">
    <w:p>
      <w:pPr>
        <w:pStyle w:val="FootnoteText"/>
        <w:spacing w:line="480" w:lineRule="auto"/>
        <w:rPr>
          <w:ins w:id="201406" w:author="Claude" w:date="2026-09-27T12:00:00Z"/>
        </w:rPr>
      </w:pPr>
      <w:ins w:id="201407" w:author="Claude" w:date="2026-09-27T12:00:00Z">
        <w:r>
          <w:rPr>
            <w:rStyle w:val="FootnoteReference"/>
          </w:rPr>
          <w:footnoteRef/>
        </w:r>
        <w:r>
          <w:t xml:space="preserve"> </w:t>
        </w:r>
        <w:r>
          <w:rPr>
            <w:smallCaps/>
          </w:rPr>
          <w:t>Tushnet, The NAACP’s Legal Strategy</w:t>
        </w:r>
        <w:r>
          <w:t xml:space="preserve">, </w:t>
        </w:r>
        <w:r>
          <w:rPr>
            <w:i/>
          </w:rPr>
          <w:t>supra</w:t>
        </w:r>
        <w:r>
          <w:t>, at 105.</w:t>
        </w:r>
      </w:ins>
    </w:p>
  </w:footnote>
  <w:footnote w:id="787">
    <w:p>
      <w:pPr>
        <w:pStyle w:val="FootnoteText"/>
        <w:spacing w:line="480" w:lineRule="auto"/>
        <w:rPr>
          <w:ins w:id="201410" w:author="Claude" w:date="2026-09-27T12:00:00Z"/>
        </w:rPr>
      </w:pPr>
      <w:ins w:id="201411" w:author="Claude" w:date="2026-09-27T12:00:00Z">
        <w:r>
          <w:rPr>
            <w:rStyle w:val="FootnoteReference"/>
          </w:rPr>
          <w:footnoteRef/>
        </w:r>
        <w:r>
          <w:t xml:space="preserve"> </w:t>
        </w:r>
        <w:r>
          <w:t>Nathan R. Margold, Preliminary Report to the Joint Committee Supervising the Expenditure of the 1930 Appropriation by the American Fund for Public Service 2 (1931) (unpublished report) (on file with author).</w:t>
        </w:r>
      </w:ins>
    </w:p>
  </w:footnote>
  <w:footnote w:id="788">
    <w:p>
      <w:pPr>
        <w:pStyle w:val="FootnoteText"/>
        <w:spacing w:line="480" w:lineRule="auto"/>
        <w:rPr>
          <w:ins w:id="201412" w:author="Claude" w:date="2026-09-27T12:00:00Z"/>
        </w:rPr>
      </w:pPr>
      <w:ins w:id="201413" w:author="Claude" w:date="2026-09-27T12:00:00Z">
        <w:r>
          <w:rPr>
            <w:rStyle w:val="FootnoteReference"/>
          </w:rPr>
          <w:footnoteRef/>
        </w:r>
        <w:r>
          <w:t xml:space="preserve"> </w:t>
        </w:r>
        <w:r>
          <w:t xml:space="preserve">Robert L. Carter, </w:t>
        </w:r>
        <w:r>
          <w:rPr>
            <w:i/>
          </w:rPr>
          <w:t>The NAACP’s Legal Strategy Against Segregated Education</w:t>
        </w:r>
        <w:r>
          <w:t xml:space="preserve">, 86 </w:t>
        </w:r>
        <w:r>
          <w:rPr>
            <w:smallCaps/>
          </w:rPr>
          <w:t>Mich. L. Rev.</w:t>
        </w:r>
        <w:r>
          <w:t xml:space="preserve"> 1083, 1089 (1988) (book review).</w:t>
        </w:r>
      </w:ins>
    </w:p>
  </w:footnote>
  <w:footnote w:id="789">
    <w:p w14:paraId="0E229812" w14:textId="224C7AE6" w:rsidR="009F5D9C" w:rsidRPr="005B3E31" w:rsidRDefault="009F5D9C" w:rsidP="003D74D8">
      <w:pPr>
        <w:pStyle w:val="FootnoteText"/>
        <w:spacing w:line="480" w:lineRule="auto"/>
        <w:rPr>
          <w:ins w:id="201425" w:author="Claude" w:date="2026-09-27T12:00:00Z"/>
        </w:rPr>
      </w:pPr>
      <w:ins w:id="201416" w:author="Claude" w:date="2026-09-27T12:00:00Z">
        <w:r>
          <w:rPr>
            <w:rStyle w:val="FootnoteReference"/>
          </w:rPr>
          <w:footnoteRef/>
        </w:r>
      </w:ins>
      <w:ins w:id="201417" w:author="Claude" w:date="2026-09-27T12:00:00Z">
        <w:r>
          <w:t xml:space="preserve"> </w:t>
        </w:r>
      </w:ins>
      <w:ins w:id="201418" w:author="Claude" w:date="2026-09-27T12:00:00Z">
        <w:r>
          <w:rPr>
            <w:color w:val="000000" w:themeColor="text1"/>
          </w:rPr>
          <w:t xml:space="preserve">Carter, </w:t>
        </w:r>
      </w:ins>
      <w:ins w:id="201419" w:author="Claude" w:date="2026-09-27T12:00:00Z">
        <w:r>
          <w:rPr>
            <w:smallCaps/>
            <w:color w:val="000000" w:themeColor="text1"/>
            <w:rPrChange w:id="60186" w:author="Claude" w:date="2026-09-27T05:00:00Z">
              <w:rPr>
                <w:color w:val="000000" w:themeColor="text1"/>
              </w:rPr>
            </w:rPrChange>
          </w:rPr>
          <w:t xml:space="preserve">A Matter of Law</w:t>
        </w:r>
      </w:ins>
      <w:ins w:id="201420" w:author="Claude" w:date="2026-09-27T12:00:00Z">
        <w:r>
          <w:rPr>
            <w:color w:val="000000" w:themeColor="text1"/>
          </w:rPr>
          <w:t xml:space="preserve">, </w:t>
        </w:r>
      </w:ins>
      <w:ins w:id="201421" w:author="Claude" w:date="2026-09-27T12:00:00Z">
        <w:r>
          <w:rPr>
            <w:i/>
            <w:iCs/>
            <w:color w:val="000000" w:themeColor="text1"/>
            <w:rPrChange w:id="60187" w:author="Claude" w:date="2026-09-27T05:00:00Z">
              <w:rPr>
                <w:color w:val="000000" w:themeColor="text1"/>
              </w:rPr>
            </w:rPrChange>
          </w:rPr>
          <w:t xml:space="preserve">supra</w:t>
        </w:r>
      </w:ins>
      <w:ins w:id="201422" w:author="Claude" w:date="2026-09-27T12:00:00Z">
        <w:r>
          <w:rPr>
            <w:color w:val="000000" w:themeColor="text1"/>
          </w:rPr>
          <w:t xml:space="preserve"> note </w:t>
        </w:r>
      </w:ins>
      <w:ins w:id="201423" w:author="Claude" w:date="2026-09-27T12:00:00Z">
        <w:r>
          <w:rPr>
            <w:color w:val="000000" w:themeColor="text1"/>
          </w:rPr>
          <w:t xml:space="preserve">53</w:t>
        </w:r>
      </w:ins>
      <w:ins w:id="201424" w:author="Claude" w:date="2026-09-27T12:00:00Z">
        <w:r>
          <w:rPr>
            <w:color w:val="000000" w:themeColor="text1"/>
          </w:rPr>
          <w:t xml:space="preserve">, at 98.</w:t>
        </w:r>
      </w:ins>
    </w:p>
  </w:footnote>
  <w:footnote w:id="790">
    <w:p w14:paraId="7B60F910" w14:textId="77777777" w:rsidR="00A726E0" w:rsidRPr="005B3E31" w:rsidRDefault="00A726E0" w:rsidP="003D74D8">
      <w:pPr>
        <w:pStyle w:val="FootnoteText"/>
        <w:spacing w:line="480" w:lineRule="auto"/>
        <w:rPr>
          <w:ins w:id="201441" w:author="Claude" w:date="2026-09-27T12:00:00Z"/>
        </w:rPr>
      </w:pPr>
      <w:ins w:id="201431" w:author="Claude" w:date="2026-09-27T12:00:00Z">
        <w:r>
          <w:rPr>
            <w:rStyle w:val="FootnoteReference"/>
          </w:rPr>
          <w:footnoteRef/>
        </w:r>
      </w:ins>
      <w:ins w:id="201432" w:author="Claude" w:date="2026-09-27T12:00:00Z">
        <w:r>
          <w:t xml:space="preserve"> </w:t>
        </w:r>
      </w:ins>
      <w:ins w:id="201433" w:author="Claude" w:date="2026-09-27T12:00:00Z">
        <w:r>
          <w:t xml:space="preserve">Tushnet</w:t>
        </w:r>
      </w:ins>
      <w:ins w:id="201434" w:author="Claude" w:date="2026-09-27T12:00:00Z">
        <w:r>
          <w:t xml:space="preserve">, </w:t>
        </w:r>
      </w:ins>
      <w:ins w:id="201435" w:author="Claude" w:date="2026-09-27T12:00:00Z">
        <w:r>
          <w:rPr>
            <w:smallCaps/>
            <w:rPrChange w:id="60188" w:author="Claude" w:date="2026-09-27T05:00:00Z">
              <w:rPr/>
            </w:rPrChange>
          </w:rPr>
          <w:t xml:space="preserve">Making Civil Rights Law</w:t>
        </w:r>
      </w:ins>
      <w:ins w:id="201436" w:author="Claude" w:date="2026-09-27T12:00:00Z">
        <w:r>
          <w:t xml:space="preserve">, </w:t>
        </w:r>
      </w:ins>
      <w:ins w:id="201437" w:author="Claude" w:date="2026-09-27T12:00:00Z">
        <w:r>
          <w:rPr>
            <w:i/>
            <w:iCs/>
          </w:rPr>
          <w:t xml:space="preserve">supra</w:t>
        </w:r>
      </w:ins>
      <w:ins w:id="201438" w:author="Claude" w:date="2026-09-27T12:00:00Z">
        <w:r>
          <w:t xml:space="preserve"> note </w:t>
        </w:r>
      </w:ins>
      <w:ins w:id="201439" w:author="Claude" w:date="2026-09-27T12:00:00Z">
        <w:r>
          <w:t xml:space="preserve">55</w:t>
        </w:r>
      </w:ins>
      <w:ins w:id="201440" w:author="Claude" w:date="2026-09-27T12:00:00Z">
        <w:r>
          <w:t xml:space="preserve">, at 139.</w:t>
        </w:r>
      </w:ins>
    </w:p>
  </w:footnote>
  <w:footnote w:id="791">
    <w:p w14:paraId="523FCF53" w14:textId="4D307562" w:rsidR="00A726E0" w:rsidRPr="005B3E31" w:rsidRDefault="00A726E0" w:rsidP="003D74D8">
      <w:pPr>
        <w:pStyle w:val="FootnoteText"/>
        <w:spacing w:line="480" w:lineRule="auto"/>
        <w:rPr>
          <w:ins w:id="201455" w:author="Claude" w:date="2026-09-27T12:00:00Z"/>
        </w:rPr>
      </w:pPr>
      <w:ins w:id="201448" w:author="Claude" w:date="2026-09-27T12:00:00Z">
        <w:r>
          <w:rPr>
            <w:rStyle w:val="FootnoteReference"/>
          </w:rPr>
          <w:footnoteRef/>
        </w:r>
      </w:ins>
      <w:ins w:id="201449" w:author="Claude" w:date="2026-09-27T12:00:00Z">
        <w:r>
          <w:t xml:space="preserve"> </w:t>
        </w:r>
      </w:ins>
      <w:ins w:id="201450" w:author="Claude" w:date="2026-09-27T12:00:00Z">
        <w:r>
          <w:rPr>
            <w:color w:val="000000" w:themeColor="text1"/>
          </w:rPr>
          <w:t xml:space="preserve">Kluger, </w:t>
        </w:r>
      </w:ins>
      <w:ins w:id="201451" w:author="Claude" w:date="2026-09-27T12:00:00Z">
        <w:r>
          <w:rPr>
            <w:i/>
            <w:iCs/>
            <w:color w:val="000000" w:themeColor="text1"/>
            <w:rPrChange w:id="60189" w:author="Claude" w:date="2026-09-27T05:00:00Z">
              <w:rPr>
                <w:color w:val="000000" w:themeColor="text1"/>
              </w:rPr>
            </w:rPrChange>
          </w:rPr>
          <w:t xml:space="preserve">supra</w:t>
        </w:r>
      </w:ins>
      <w:ins w:id="201452" w:author="Claude" w:date="2026-09-27T12:00:00Z">
        <w:r>
          <w:rPr>
            <w:color w:val="000000" w:themeColor="text1"/>
          </w:rPr>
          <w:t xml:space="preserve"> note </w:t>
        </w:r>
      </w:ins>
      <w:ins w:id="201453" w:author="Claude" w:date="2026-09-27T12:00:00Z">
        <w:r>
          <w:rPr>
            <w:color w:val="000000" w:themeColor="text1"/>
          </w:rPr>
          <w:t xml:space="preserve">54</w:t>
        </w:r>
      </w:ins>
      <w:ins w:id="201454" w:author="Claude" w:date="2026-09-27T12:00:00Z">
        <w:r>
          <w:rPr>
            <w:color w:val="000000" w:themeColor="text1"/>
          </w:rPr>
          <w:t xml:space="preserve">, at 972.</w:t>
        </w:r>
      </w:ins>
    </w:p>
  </w:footnote>
  <w:footnote w:id="792">
    <w:p w14:paraId="75018E5F" w14:textId="77777777" w:rsidR="00A726E0" w:rsidRPr="005B3E31" w:rsidRDefault="00A726E0" w:rsidP="003D74D8">
      <w:pPr>
        <w:pStyle w:val="FootnoteText"/>
        <w:spacing w:line="480" w:lineRule="auto"/>
        <w:rPr>
          <w:ins w:id="201463" w:author="Claude" w:date="2026-09-27T12:00:00Z"/>
        </w:rPr>
      </w:pPr>
      <w:ins w:id="201456" w:author="Claude" w:date="2026-09-27T12:00:00Z">
        <w:r>
          <w:rPr>
            <w:rStyle w:val="FootnoteReference"/>
          </w:rPr>
          <w:footnoteRef/>
        </w:r>
      </w:ins>
      <w:ins w:id="201457" w:author="Claude" w:date="2026-09-27T12:00:00Z">
        <w:r>
          <w:t xml:space="preserve"> </w:t>
        </w:r>
      </w:ins>
      <w:ins w:id="201458" w:author="Claude" w:date="2026-09-27T12:00:00Z">
        <w:r>
          <w:rPr>
            <w:color w:val="000000" w:themeColor="text1"/>
          </w:rPr>
          <w:t xml:space="preserve">Greenberg, </w:t>
        </w:r>
      </w:ins>
      <w:ins w:id="201459" w:author="Claude" w:date="2026-09-27T12:00:00Z">
        <w:r>
          <w:rPr>
            <w:i/>
            <w:iCs/>
            <w:color w:val="000000" w:themeColor="text1"/>
          </w:rPr>
          <w:t xml:space="preserve">supra</w:t>
        </w:r>
      </w:ins>
      <w:ins w:id="201460" w:author="Claude" w:date="2026-09-27T12:00:00Z">
        <w:r>
          <w:rPr>
            <w:color w:val="000000" w:themeColor="text1"/>
          </w:rPr>
          <w:t xml:space="preserve"> note </w:t>
        </w:r>
      </w:ins>
      <w:ins w:id="201461" w:author="Claude" w:date="2026-09-27T12:00:00Z">
        <w:r>
          <w:rPr>
            <w:color w:val="000000" w:themeColor="text1"/>
          </w:rPr>
          <w:t xml:space="preserve">55</w:t>
        </w:r>
      </w:ins>
      <w:ins w:id="201462" w:author="Claude" w:date="2026-09-27T12:00:00Z">
        <w:r>
          <w:rPr>
            <w:color w:val="000000" w:themeColor="text1"/>
          </w:rPr>
          <w:t xml:space="preserve">, at 163.</w:t>
        </w:r>
      </w:ins>
    </w:p>
  </w:footnote>
  <w:footnote w:id="793">
    <w:p w14:paraId="57BFCFF1" w14:textId="77777777" w:rsidR="00A726E0" w:rsidRPr="005B3E31" w:rsidRDefault="00A726E0" w:rsidP="003D74D8">
      <w:pPr>
        <w:pStyle w:val="FootnoteText"/>
        <w:spacing w:line="480" w:lineRule="auto"/>
        <w:rPr>
          <w:ins w:id="201470" w:author="Claude" w:date="2026-09-27T12:00:00Z"/>
        </w:rPr>
      </w:pPr>
      <w:ins w:id="201464" w:author="Claude" w:date="2026-09-27T12:00:00Z">
        <w:r>
          <w:rPr>
            <w:rStyle w:val="FootnoteReference"/>
          </w:rPr>
          <w:footnoteRef/>
        </w:r>
      </w:ins>
      <w:ins w:id="201465" w:author="Claude" w:date="2026-09-27T12:00:00Z">
        <w:r>
          <w:t xml:space="preserve"> Kluger, </w:t>
        </w:r>
      </w:ins>
      <w:ins w:id="201466" w:author="Claude" w:date="2026-09-27T12:00:00Z">
        <w:r>
          <w:rPr>
            <w:i/>
            <w:iCs/>
          </w:rPr>
          <w:t xml:space="preserve">supra</w:t>
        </w:r>
      </w:ins>
      <w:ins w:id="201467" w:author="Claude" w:date="2026-09-27T12:00:00Z">
        <w:r>
          <w:t xml:space="preserve"> note </w:t>
        </w:r>
      </w:ins>
      <w:ins w:id="201468" w:author="Claude" w:date="2026-09-27T12:00:00Z">
        <w:r>
          <w:t xml:space="preserve">54</w:t>
        </w:r>
      </w:ins>
      <w:ins w:id="201469" w:author="Claude" w:date="2026-09-27T12:00:00Z">
        <w:r>
          <w:t xml:space="preserve">, at 517.</w:t>
        </w:r>
      </w:ins>
    </w:p>
  </w:footnote>
  <w:footnote w:id="794">
    <w:p w14:paraId="74992CEF" w14:textId="39C9E13A" w:rsidR="00A726E0" w:rsidRPr="005B3E31" w:rsidRDefault="00A726E0" w:rsidP="003D74D8">
      <w:pPr>
        <w:pStyle w:val="FootnoteText"/>
        <w:spacing w:line="480" w:lineRule="auto"/>
        <w:rPr>
          <w:ins w:id="201490" w:author="Claude" w:date="2026-09-27T12:00:00Z"/>
        </w:rPr>
      </w:pPr>
      <w:ins w:id="201481" w:author="Claude" w:date="2026-09-27T12:00:00Z">
        <w:r>
          <w:rPr>
            <w:rStyle w:val="FootnoteReference"/>
          </w:rPr>
          <w:footnoteRef/>
        </w:r>
      </w:ins>
      <w:ins w:id="201482" w:author="Claude" w:date="2026-09-27T12:00:00Z">
        <w:r>
          <w:t xml:space="preserve"> </w:t>
        </w:r>
      </w:ins>
      <w:ins w:id="201483" w:author="Claude" w:date="2026-09-27T12:00:00Z">
        <w:r>
          <w:rPr>
            <w:color w:val="000000" w:themeColor="text1"/>
            <w:rPrChange w:id="60190" w:author="Claude" w:date="2026-09-27T05:00:00Z">
              <w:rPr>
                <w:i/>
                <w:iCs/>
                <w:color w:val="000000" w:themeColor="text1"/>
              </w:rPr>
            </w:rPrChange>
          </w:rPr>
          <w:t xml:space="preserve">Mark V. </w:t>
        </w:r>
      </w:ins>
      <w:ins w:id="201484" w:author="Claude" w:date="2026-09-27T12:00:00Z">
        <w:r>
          <w:rPr>
            <w:color w:val="000000" w:themeColor="text1"/>
            <w:rPrChange w:id="60191" w:author="Claude" w:date="2026-09-27T05:00:00Z">
              <w:rPr>
                <w:i/>
                <w:iCs/>
                <w:color w:val="000000" w:themeColor="text1"/>
              </w:rPr>
            </w:rPrChange>
          </w:rPr>
          <w:t xml:space="preserve">Tushnet</w:t>
        </w:r>
      </w:ins>
      <w:ins w:id="201485" w:author="Claude" w:date="2026-09-27T12:00:00Z">
        <w:r>
          <w:rPr>
            <w:color w:val="000000" w:themeColor="text1"/>
            <w:rPrChange w:id="60192" w:author="Claude" w:date="2026-09-27T05:00:00Z">
              <w:rPr>
                <w:i/>
                <w:iCs/>
                <w:color w:val="000000" w:themeColor="text1"/>
              </w:rPr>
            </w:rPrChange>
          </w:rPr>
          <w:t xml:space="preserve">, </w:t>
        </w:r>
      </w:ins>
      <w:ins w:id="201486" w:author="Claude" w:date="2026-09-27T12:00:00Z">
        <w:r>
          <w:rPr>
            <w:i/>
            <w:iCs/>
            <w:color w:val="000000" w:themeColor="text1"/>
          </w:rPr>
          <w:t xml:space="preserve">Thurgood Marshall as a Lawyer: The Campaign Against School Segregation 1945–1950</w:t>
        </w:r>
      </w:ins>
      <w:ins w:id="201487" w:author="Claude" w:date="2026-09-27T12:00:00Z">
        <w:r>
          <w:rPr>
            <w:color w:val="000000" w:themeColor="text1"/>
            <w:rPrChange w:id="60193" w:author="Claude" w:date="2026-09-27T05:00:00Z">
              <w:rPr>
                <w:i/>
                <w:iCs/>
                <w:color w:val="000000" w:themeColor="text1"/>
              </w:rPr>
            </w:rPrChange>
          </w:rPr>
          <w:t xml:space="preserve">, 40 </w:t>
        </w:r>
      </w:ins>
      <w:ins w:id="201488" w:author="Claude" w:date="2026-09-27T12:00:00Z">
        <w:r>
          <w:rPr>
            <w:smallCaps/>
            <w:color w:val="000000" w:themeColor="text1"/>
            <w:rPrChange w:id="60194" w:author="Claude" w:date="2026-09-27T05:00:00Z">
              <w:rPr>
                <w:i/>
                <w:iCs/>
                <w:color w:val="000000" w:themeColor="text1"/>
              </w:rPr>
            </w:rPrChange>
          </w:rPr>
          <w:t xml:space="preserve">Md. L. Rev.</w:t>
        </w:r>
      </w:ins>
      <w:ins w:id="201489" w:author="Claude" w:date="2026-09-27T12:00:00Z">
        <w:r>
          <w:rPr>
            <w:color w:val="000000" w:themeColor="text1"/>
            <w:rPrChange w:id="60195" w:author="Claude" w:date="2026-09-27T05:00:00Z">
              <w:rPr>
                <w:i/>
                <w:iCs/>
                <w:color w:val="000000" w:themeColor="text1"/>
              </w:rPr>
            </w:rPrChange>
          </w:rPr>
          <w:t xml:space="preserve"> 411, 411 (1981).</w:t>
        </w:r>
      </w:ins>
    </w:p>
  </w:footnote>
  <w:footnote w:id="795">
    <w:p w14:paraId="3058B9AC" w14:textId="77777777" w:rsidR="00A726E0" w:rsidRPr="005B3E31" w:rsidRDefault="00A726E0" w:rsidP="003D74D8">
      <w:pPr>
        <w:pStyle w:val="FootnoteText"/>
        <w:spacing w:line="480" w:lineRule="auto"/>
        <w:rPr>
          <w:ins w:id="201499" w:author="Claude" w:date="2026-09-27T12:00:00Z"/>
        </w:rPr>
      </w:pPr>
      <w:ins w:id="201491" w:author="Claude" w:date="2026-09-27T12:00:00Z">
        <w:r>
          <w:rPr>
            <w:rStyle w:val="FootnoteReference"/>
          </w:rPr>
          <w:footnoteRef/>
        </w:r>
      </w:ins>
      <w:ins w:id="201492" w:author="Claude" w:date="2026-09-27T12:00:00Z">
        <w:r>
          <w:t xml:space="preserve"> Carter, </w:t>
        </w:r>
      </w:ins>
      <w:ins w:id="201493" w:author="Claude" w:date="2026-09-27T12:00:00Z">
        <w:r>
          <w:rPr>
            <w:smallCaps/>
          </w:rPr>
          <w:t xml:space="preserve">A Matter of Law</w:t>
        </w:r>
      </w:ins>
      <w:ins w:id="201494" w:author="Claude" w:date="2026-09-27T12:00:00Z">
        <w:r>
          <w:t xml:space="preserve">, </w:t>
        </w:r>
      </w:ins>
      <w:ins w:id="201495" w:author="Claude" w:date="2026-09-27T12:00:00Z">
        <w:r>
          <w:rPr>
            <w:i/>
            <w:iCs/>
          </w:rPr>
          <w:t xml:space="preserve">supra</w:t>
        </w:r>
      </w:ins>
      <w:ins w:id="201496" w:author="Claude" w:date="2026-09-27T12:00:00Z">
        <w:r>
          <w:t xml:space="preserve"> note </w:t>
        </w:r>
      </w:ins>
      <w:ins w:id="201497" w:author="Claude" w:date="2026-09-27T12:00:00Z">
        <w:r>
          <w:t xml:space="preserve">53</w:t>
        </w:r>
      </w:ins>
      <w:ins w:id="201498" w:author="Claude" w:date="2026-09-27T12:00:00Z">
        <w:r>
          <w:t xml:space="preserve">, at 99.</w:t>
        </w:r>
      </w:ins>
    </w:p>
  </w:footnote>
  <w:footnote w:id="796">
    <w:p w14:paraId="3298D10C" w14:textId="6F11DC52" w:rsidR="000210BA" w:rsidRPr="005B3E31" w:rsidRDefault="000210BA" w:rsidP="003D74D8">
      <w:pPr>
        <w:pStyle w:val="FootnoteText"/>
        <w:spacing w:line="480" w:lineRule="auto"/>
        <w:rPr>
          <w:ins w:id="201511" w:author="Claude" w:date="2026-09-27T12:00:00Z"/>
          <w:color w:val="000000" w:themeColor="text1"/>
        </w:rPr>
      </w:pPr>
      <w:ins w:id="201506" w:author="Claude" w:date="2026-09-27T12:00:00Z">
        <w:r>
          <w:rPr>
            <w:rStyle w:val="FootnoteReference"/>
          </w:rPr>
          <w:footnoteRef/>
        </w:r>
      </w:ins>
      <w:ins w:id="201507" w:author="Claude" w:date="2026-09-27T12:00:00Z">
        <w:r>
          <w:t xml:space="preserve"> </w:t>
        </w:r>
      </w:ins>
      <w:ins w:id="201508" w:author="Claude" w:date="2026-09-27T12:00:00Z">
        <w:r>
          <w:rPr>
            <w:color w:val="000000" w:themeColor="text1"/>
            <w:rPrChange w:id="60196" w:author="Claude" w:date="2026-09-27T05:00:00Z">
              <w:rPr>
                <w:smallCaps/>
                <w:color w:val="000000" w:themeColor="text1"/>
              </w:rPr>
            </w:rPrChange>
          </w:rPr>
          <w:t xml:space="preserve">Cass R. Sunstein, </w:t>
        </w:r>
      </w:ins>
      <w:ins w:id="201509" w:author="Claude" w:date="2026-09-27T12:00:00Z">
        <w:r>
          <w:rPr>
            <w:i/>
            <w:iCs/>
            <w:color w:val="000000" w:themeColor="text1"/>
            <w:rPrChange w:id="60197" w:author="Claude" w:date="2026-09-27T05:00:00Z">
              <w:rPr>
                <w:smallCaps/>
                <w:color w:val="000000" w:themeColor="text1"/>
              </w:rPr>
            </w:rPrChange>
          </w:rPr>
          <w:t xml:space="preserve">The Law of Group Polarization</w:t>
        </w:r>
      </w:ins>
      <w:ins w:id="201510" w:author="Claude" w:date="2026-09-27T12:00:00Z">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ins>
    </w:p>
  </w:footnote>
  <w:footnote w:id="797">
    <w:p w14:paraId="4F9FCCC3" w14:textId="3BD84C63" w:rsidR="00CC616A" w:rsidRPr="005B3E31" w:rsidRDefault="00CC616A" w:rsidP="003D74D8">
      <w:pPr>
        <w:pStyle w:val="FootnoteText"/>
        <w:spacing w:line="480" w:lineRule="auto"/>
        <w:rPr>
          <w:ins w:id="201539" w:author="Claude" w:date="2026-09-27T12:00:00Z"/>
        </w:rPr>
      </w:pPr>
      <w:ins w:id="201518" w:author="Claude" w:date="2026-09-27T12:00:00Z">
        <w:r>
          <w:rPr>
            <w:rStyle w:val="FootnoteReference"/>
          </w:rPr>
          <w:footnoteRef/>
        </w:r>
      </w:ins>
      <w:ins w:id="201519" w:author="Claude" w:date="2026-09-27T12:00:00Z">
        <w:r>
          <w:t xml:space="preserve"> </w:t>
        </w:r>
      </w:ins>
      <w:ins w:id="201520" w:author="Claude" w:date="2026-09-27T12:00:00Z">
        <w:r>
          <w:rPr>
            <w:color w:val="000000" w:themeColor="text1"/>
          </w:rPr>
          <w:t xml:space="preserve">Isgur</w:t>
        </w:r>
      </w:ins>
      <w:ins w:id="201521" w:author="Claude" w:date="2026-09-27T12:00:00Z">
        <w:r>
          <w:rPr>
            <w:color w:val="000000" w:themeColor="text1"/>
          </w:rPr>
          <w:t xml:space="preserve"> &amp; French, </w:t>
        </w:r>
      </w:ins>
      <w:ins w:id="201522" w:author="Claude" w:date="2026-09-27T12:00:00Z">
        <w:r>
          <w:rPr>
            <w:i/>
            <w:iCs/>
            <w:color w:val="000000" w:themeColor="text1"/>
          </w:rPr>
          <w:t xml:space="preserve">supra</w:t>
        </w:r>
      </w:ins>
      <w:ins w:id="201523" w:author="Claude" w:date="2026-09-27T12:00:00Z">
        <w:r>
          <w:rPr>
            <w:color w:val="000000" w:themeColor="text1"/>
          </w:rPr>
          <w:t xml:space="preserve"> note 7 (arguing that the ACLU could have benefitted from conservative team members “not to tell them that they were wrong on the law, but to tell them why this case was nothing like </w:t>
        </w:r>
      </w:ins>
      <w:ins w:id="201524" w:author="Claude" w:date="2026-09-27T12:00:00Z">
        <w:r>
          <w:rPr>
            <w:i/>
            <w:iCs/>
            <w:color w:val="000000" w:themeColor="text1"/>
          </w:rPr>
          <w:t xml:space="preserve">Bostock</w:t>
        </w:r>
      </w:ins>
      <w:ins w:id="201525" w:author="Claude" w:date="2026-09-27T12:00:00Z">
        <w:r>
          <w:rPr>
            <w:color w:val="000000" w:themeColor="text1"/>
          </w:rPr>
          <w:t xml:space="preserve"> and why a conservative justice like Justice Gorsuch could vote one way in </w:t>
        </w:r>
      </w:ins>
      <w:ins w:id="201526" w:author="Claude" w:date="2026-09-27T12:00:00Z">
        <w:r>
          <w:rPr>
            <w:i/>
            <w:iCs/>
            <w:color w:val="000000" w:themeColor="text1"/>
          </w:rPr>
          <w:t xml:space="preserve">Bostock</w:t>
        </w:r>
      </w:ins>
      <w:ins w:id="201527" w:author="Claude" w:date="2026-09-27T12:00:00Z">
        <w:r>
          <w:rPr>
            <w:color w:val="000000" w:themeColor="text1"/>
          </w:rPr>
          <w:t xml:space="preserve"> and be nowhere in the realm of gettable for this case”); </w:t>
        </w:r>
      </w:ins>
      <w:ins w:id="201528" w:author="Claude" w:date="2026-09-27T12:00:00Z">
        <w:r>
          <w:rPr>
            <w:i/>
            <w:iCs/>
            <w:color w:val="000000" w:themeColor="text1"/>
          </w:rPr>
          <w:t xml:space="preserve">see also</w:t>
        </w:r>
      </w:ins>
      <w:ins w:id="201529" w:author="Claude" w:date="2026-09-27T12:00:00Z">
        <w:r>
          <w:rPr>
            <w:color w:val="000000" w:themeColor="text1"/>
          </w:rPr>
          <w:t xml:space="preserve"> Leor Sapir, </w:t>
        </w:r>
      </w:ins>
      <w:ins w:id="201530" w:author="Claude" w:date="2026-09-27T12:00:00Z">
        <w:r>
          <w:rPr>
            <w:i/>
            <w:iCs/>
            <w:color w:val="000000" w:themeColor="text1"/>
          </w:rPr>
          <w:t xml:space="preserve">Is the ACLU Ready to Defend Nonbinary Medicine?</w:t>
        </w:r>
      </w:ins>
      <w:ins w:id="201531" w:author="Claude" w:date="2026-09-27T12:00:00Z">
        <w:r>
          <w:rPr>
            <w:color w:val="000000" w:themeColor="text1"/>
          </w:rPr>
          <w:t xml:space="preserve">, </w:t>
        </w:r>
      </w:ins>
      <w:ins w:id="201532" w:author="Claude" w:date="2026-09-27T12:00:00Z">
        <w:r>
          <w:rPr>
            <w:smallCaps/>
            <w:color w:val="000000" w:themeColor="text1"/>
          </w:rPr>
          <w:t xml:space="preserve">City</w:t>
        </w:r>
      </w:ins>
      <w:ins w:id="201533" w:author="Claude" w:date="2026-09-27T12:00:00Z">
        <w:r>
          <w:rPr>
            <w:color w:val="000000" w:themeColor="text1"/>
          </w:rPr>
          <w:t xml:space="preserve"> </w:t>
        </w:r>
      </w:ins>
      <w:del w:id="60198" w:author="Claude" w:date="2026-09-27T05:00:00Z">
        <w:ins w:id="201534" w:author="Claude" w:date="2026-09-27T12:00:00Z">
          <w:r>
            <w:rPr>
              <w:smallCaps/>
              <w:color w:val="000000" w:themeColor="text1"/>
            </w:rPr>
            <w:delText xml:space="preserve">Journal</w:delText>
          </w:r>
        </w:ins>
      </w:del>
      <w:del w:id="60199" w:author="Claude" w:date="2026-09-27T05:00:00Z">
        <w:ins w:id="201535" w:author="Claude" w:date="2026-09-27T12:00:00Z">
          <w:r>
            <w:rPr>
              <w:color w:val="000000" w:themeColor="text1"/>
            </w:rPr>
            <w:delText xml:space="preserve"> </w:delText>
          </w:r>
        </w:ins>
      </w:del>
      <w:ins w:id="60200" w:author="Claude" w:date="2026-09-27T05:00:00Z">
        <w:r>
          <w:rPr>
            <w:smallCaps/>
            <w:color w:val="000000" w:themeColor="text1"/>
          </w:rPr>
          <w:t xml:space="preserve">J.</w:t>
        </w:r>
      </w:ins>
      <w:ins w:id="60201" w:author="Claude" w:date="2026-09-27T05:00:00Z">
        <w:r>
          <w:rPr>
            <w:color w:val="000000" w:themeColor="text1"/>
          </w:rPr>
          <w:t xml:space="preserve"> </w:t>
        </w:r>
      </w:ins>
      <w:ins w:id="201536" w:author="Claude" w:date="2026-09-27T12:00:00Z">
        <w:r>
          <w:rPr>
            <w:color w:val="000000" w:themeColor="text1"/>
          </w:rPr>
          <w:t xml:space="preserve">(Feb. 14, 2025), https://www.city-journal.org/article/aclu-lawsuit-trump-transgender-executive-order [create </w:t>
        </w:r>
      </w:ins>
      <w:ins w:id="201537" w:author="Claude" w:date="2026-09-27T12:00:00Z">
        <w:r>
          <w:rPr>
            <w:color w:val="000000" w:themeColor="text1"/>
          </w:rPr>
          <w:t xml:space="preserve">perma</w:t>
        </w:r>
      </w:ins>
      <w:ins w:id="201538" w:author="Claude" w:date="2026-09-27T12:00:00Z">
        <w:r>
          <w:rPr>
            <w:color w:val="000000" w:themeColor="text1"/>
          </w:rPr>
          <w:t xml:space="preserve"> link] (suggesting that the ACLU “has thrown its institutional weight behind the most radical and unpopular campaigns for transgender rights”).</w:t>
        </w:r>
      </w:ins>
    </w:p>
  </w:footnote>
  <w:footnote w:id="798">
    <w:p w14:paraId="00010007" w14:textId="773CC016" w:rsidR="007219E6" w:rsidRPr="005B3E31" w:rsidRDefault="00000000" w:rsidP="003D74D8">
      <w:pPr>
        <w:pStyle w:val="FootnoteText"/>
        <w:spacing w:line="480" w:lineRule="auto"/>
        <w:rPr>
          <w:ins w:id="201544" w:author="Claude" w:date="2026-09-27T12:00:00Z"/>
          <w:color w:val="000000" w:themeColor="text1"/>
        </w:rPr>
      </w:pPr>
      <w:ins w:id="201540" w:author="Claude" w:date="2026-09-27T12:00:00Z">
        <w:r>
          <w:rPr>
            <w:rStyle w:val="FootnoteReference"/>
            <w:color w:val="000000" w:themeColor="text1"/>
          </w:rPr>
          <w:footnoteRef/>
        </w:r>
      </w:ins>
      <w:ins w:id="201541" w:author="Claude" w:date="2026-09-27T12:00:00Z">
        <w:r>
          <w:rPr>
            <w:color w:val="000000" w:themeColor="text1"/>
          </w:rPr>
          <w:t xml:space="preserve"> </w:t>
        </w:r>
      </w:ins>
      <w:ins w:id="201542" w:author="Claude" w:date="2026-09-27T12:00:00Z">
        <w:r>
          <w:rPr>
            <w:i/>
            <w:iCs/>
            <w:color w:val="000000" w:themeColor="text1"/>
          </w:rPr>
          <w:t>See infra</w:t>
        </w:r>
      </w:ins>
      <w:ins w:id="201543" w:author="Claude" w:date="2026-09-27T12:00:00Z">
        <w:r>
          <w:rPr>
            <w:color w:val="000000" w:themeColor="text1"/>
          </w:rPr>
          <w:t xml:space="preserve"> Sections IV, VI.</w:t>
        </w:r>
      </w:ins>
    </w:p>
  </w:footnote>
  <w:footnote w:id="799">
    <w:p w14:paraId="54118CEC" w14:textId="77777777" w:rsidR="001971D1" w:rsidRDefault="001971D1" w:rsidP="001971D1">
      <w:pPr>
        <w:spacing w:line="480" w:lineRule="auto"/>
        <w:rPr>
          <w:ins w:id="201551" w:author="Claude" w:date="2026-09-27T12:00:00Z"/>
        </w:rPr>
      </w:pPr>
      <w:ins w:id="201545" w:author="Claude" w:date="2026-09-27T12:00:00Z">
        <w:r>
          <w:rPr>
            <w:rStyle w:val="FootnoteReference"/>
            <w:rFonts w:eastAsiaTheme="majorEastAsia"/>
          </w:rPr>
          <w:footnoteRef/>
        </w:r>
      </w:ins>
      <w:ins w:id="201546" w:author="Claude" w:date="2026-09-27T12:00:00Z">
        <w:r>
          <w:rPr>
            <w:sz w:val="20"/>
            <w:szCs w:val="20"/>
          </w:rPr>
          <w:t xml:space="preserve"> </w:t>
        </w:r>
      </w:ins>
      <w:ins w:id="201547" w:author="Claude" w:date="2026-09-27T12:00:00Z">
        <w:r>
          <w:rPr>
            <w:smallCaps/>
            <w:sz w:val="20"/>
            <w:szCs w:val="20"/>
          </w:rPr>
          <w:t xml:space="preserve">Mark V. </w:t>
        </w:r>
      </w:ins>
      <w:ins w:id="201548" w:author="Claude" w:date="2026-09-27T12:00:00Z">
        <w:r>
          <w:rPr>
            <w:smallCaps/>
            <w:sz w:val="20"/>
            <w:szCs w:val="20"/>
          </w:rPr>
          <w:t>Tushnet</w:t>
        </w:r>
      </w:ins>
      <w:ins w:id="201549" w:author="Claude" w:date="2026-09-27T12:00:00Z">
        <w:r>
          <w:rPr>
            <w:smallCaps/>
            <w:sz w:val="20"/>
            <w:szCs w:val="20"/>
          </w:rPr>
          <w:t>, The NAACP’s Legal Strategy Against Segregated Education, 1925–1950</w:t>
        </w:r>
      </w:ins>
      <w:ins w:id="201550" w:author="Claude" w:date="2026-09-27T12:00:00Z">
        <w:r>
          <w:rPr>
            <w:sz w:val="20"/>
            <w:szCs w:val="20"/>
          </w:rPr>
          <w:t>, at 71 (1987) (quoting Charles Hamilton Houston’s 1935 letters to Sidney Redmond).</w:t>
        </w:r>
      </w:ins>
    </w:p>
  </w:footnote>
  <w:footnote w:id="800">
    <w:p>
      <w:pPr>
        <w:pStyle w:val="FootnoteText"/>
        <w:spacing w:line="480" w:lineRule="auto"/>
        <w:rPr>
          <w:ins w:id="201552" w:author="Claude" w:date="2026-09-27T12:00:00Z"/>
        </w:rPr>
      </w:pPr>
      <w:ins w:id="201553" w:author="Claude" w:date="2026-09-27T12:00:00Z">
        <w:r>
          <w:rPr>
            <w:rStyle w:val="FootnoteReference"/>
          </w:rPr>
          <w:footnoteRef/>
        </w:r>
        <w:r>
          <w:t xml:space="preserve"> </w:t>
        </w:r>
        <w:r>
          <w:rPr>
            <w:smallCaps/>
          </w:rPr>
          <w:t>Fred Strebeigh, Equal: Women Reshape American Law</w:t>
        </w:r>
        <w:r>
          <w:t xml:space="preserve"> 62 (2009).</w:t>
        </w:r>
      </w:ins>
    </w:p>
  </w:footnote>
  <w:footnote w:id="801">
    <w:p w14:paraId="1DC5049D" w14:textId="77777777" w:rsidR="006E1CB3" w:rsidRPr="005B3E31" w:rsidRDefault="006E1CB3" w:rsidP="003D74D8">
      <w:pPr>
        <w:pStyle w:val="FootnoteText"/>
        <w:spacing w:line="480" w:lineRule="auto"/>
        <w:rPr>
          <w:ins w:id="201562" w:author="Claude" w:date="2026-09-27T12:00:00Z"/>
          <w:color w:val="000000" w:themeColor="text1"/>
        </w:rPr>
      </w:pPr>
      <w:ins w:id="201558" w:author="Claude" w:date="2026-09-27T12:00:00Z">
        <w:r>
          <w:rPr>
            <w:rStyle w:val="FootnoteReference"/>
            <w:color w:val="000000" w:themeColor="text1"/>
          </w:rPr>
          <w:footnoteRef/>
        </w:r>
      </w:ins>
      <w:ins w:id="201559" w:author="Claude" w:date="2026-09-27T12:00:00Z">
        <w:r>
          <w:rPr>
            <w:color w:val="000000" w:themeColor="text1"/>
          </w:rPr>
          <w:t xml:space="preserve">  </w:t>
        </w:r>
      </w:ins>
      <w:ins w:id="201560" w:author="Claude" w:date="2026-09-27T12:00:00Z">
        <w:r>
          <w:rPr>
            <w:i/>
            <w:iCs/>
            <w:color w:val="000000" w:themeColor="text1"/>
          </w:rPr>
          <w:t xml:space="preserve">See infra </w:t>
        </w:r>
      </w:ins>
      <w:ins w:id="201561" w:author="Claude" w:date="2026-09-27T12:00:00Z">
        <w:r>
          <w:rPr>
            <w:color w:val="000000" w:themeColor="text1"/>
          </w:rPr>
          <w:t>Sections IV–V.</w:t>
        </w:r>
      </w:ins>
    </w:p>
  </w:footnote>
  <w:footnote w:id="802">
    <w:p w14:paraId="3CCF9216" w14:textId="10F7F35B" w:rsidR="009F2336" w:rsidRPr="005B3E31" w:rsidRDefault="009F2336" w:rsidP="003D74D8">
      <w:pPr>
        <w:pStyle w:val="FootnoteText"/>
        <w:spacing w:line="480" w:lineRule="auto"/>
        <w:rPr>
          <w:ins w:id="201565" w:author="Claude" w:date="2026-09-27T12:00:00Z"/>
          <w:color w:val="000000" w:themeColor="text1"/>
        </w:rPr>
      </w:pPr>
      <w:ins w:id="201563" w:author="Claude" w:date="2026-09-27T12:00:00Z">
        <w:r>
          <w:rPr>
            <w:rStyle w:val="FootnoteReference"/>
            <w:color w:val="000000" w:themeColor="text1"/>
          </w:rPr>
          <w:footnoteRef/>
        </w:r>
      </w:ins>
      <w:ins w:id="201564" w:author="Claude" w:date="2026-09-27T12:00:00Z">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ins>
    </w:p>
  </w:footnote>
  <w:footnote w:id="803">
    <w:p w14:paraId="0A91F22E" w14:textId="04287E6E" w:rsidR="008E3C30" w:rsidRPr="005B3E31" w:rsidRDefault="008E3C30" w:rsidP="003D74D8">
      <w:pPr>
        <w:pStyle w:val="FootnoteText"/>
        <w:spacing w:line="480" w:lineRule="auto"/>
        <w:rPr>
          <w:ins w:id="201568" w:author="Claude" w:date="2026-09-27T12:00:00Z"/>
          <w:color w:val="000000" w:themeColor="text1"/>
        </w:rPr>
      </w:pPr>
      <w:ins w:id="201566" w:author="Claude" w:date="2026-09-27T12:00:00Z">
        <w:r>
          <w:rPr>
            <w:rStyle w:val="FootnoteReference"/>
            <w:color w:val="000000" w:themeColor="text1"/>
          </w:rPr>
          <w:footnoteRef/>
        </w:r>
      </w:ins>
      <w:ins w:id="201567" w:author="Claude" w:date="2026-09-27T12:00:00Z">
        <w:r>
          <w:rPr>
            <w:color w:val="000000" w:themeColor="text1"/>
          </w:rPr>
          <w:t xml:space="preserve"> Throughout this note I use the term “Externalized” to refer to a Deliberative Body moving formalized conflicts out of their internal chambers and into the public arena.</w:t>
        </w:r>
      </w:ins>
    </w:p>
  </w:footnote>
  <w:footnote w:id="804">
    <w:p w14:paraId="0D004FF2" w14:textId="77777777" w:rsidR="00B16CD7" w:rsidRDefault="00B16CD7" w:rsidP="00B16CD7">
      <w:pPr>
        <w:spacing w:line="480" w:lineRule="auto"/>
        <w:rPr>
          <w:ins w:id="201579" w:author="Claude" w:date="2026-09-27T12:00:00Z"/>
        </w:rPr>
      </w:pPr>
      <w:ins w:id="201573" w:author="Claude" w:date="2026-09-27T12:00:00Z">
        <w:r>
          <w:rPr>
            <w:rStyle w:val="FootnoteReference"/>
            <w:rFonts w:eastAsiaTheme="majorEastAsia"/>
          </w:rPr>
          <w:footnoteRef/>
        </w:r>
      </w:ins>
      <w:ins w:id="201574" w:author="Claude" w:date="2026-09-27T12:00:00Z">
        <w:r>
          <w:rPr>
            <w:sz w:val="20"/>
            <w:szCs w:val="20"/>
          </w:rPr>
          <w:t xml:space="preserve"> Jonathan H. Adler, </w:t>
        </w:r>
      </w:ins>
      <w:ins w:id="201575" w:author="Claude" w:date="2026-09-27T12:00:00Z">
        <w:r>
          <w:rPr>
            <w:i/>
            <w:iCs/>
            <w:sz w:val="20"/>
            <w:szCs w:val="20"/>
          </w:rPr>
          <w:t>Law School Faculties Need More Intellectual Diversity</w:t>
        </w:r>
      </w:ins>
      <w:ins w:id="201576" w:author="Claude" w:date="2026-09-27T12:00:00Z">
        <w:r>
          <w:rPr>
            <w:sz w:val="20"/>
            <w:szCs w:val="20"/>
          </w:rPr>
          <w:t xml:space="preserve">, </w:t>
        </w:r>
      </w:ins>
      <w:ins w:id="201577" w:author="Claude" w:date="2026-09-27T12:00:00Z">
        <w:r>
          <w:rPr>
            <w:smallCaps/>
            <w:sz w:val="20"/>
            <w:szCs w:val="20"/>
          </w:rPr>
          <w:t>Martin Ctr.</w:t>
        </w:r>
      </w:ins>
      <w:ins w:id="201578" w:author="Claude" w:date="2026-09-27T12:00:00Z">
        <w:r>
          <w:rPr>
            <w:sz w:val="20"/>
            <w:szCs w:val="20"/>
          </w:rPr>
          <w:t xml:space="preserve"> (Apr. 12, 2017), https://jamesgmartin.center/2017/04/law-school-faculties-need-intellectual-diversity/.</w:t>
        </w:r>
      </w:ins>
    </w:p>
  </w:footnote>
  <w:footnote w:id="805">
    <w:p w14:paraId="6007A6F1" w14:textId="77777777" w:rsidR="00B16CD7" w:rsidRDefault="00B16CD7" w:rsidP="00B16CD7">
      <w:pPr>
        <w:spacing w:line="480" w:lineRule="auto"/>
        <w:rPr>
          <w:ins w:id="201586" w:author="Claude" w:date="2026-09-27T12:00:00Z"/>
        </w:rPr>
      </w:pPr>
      <w:ins w:id="201580" w:author="Claude" w:date="2026-09-27T12:00:00Z">
        <w:r>
          <w:rPr>
            <w:rStyle w:val="FootnoteReference"/>
            <w:rFonts w:eastAsiaTheme="majorEastAsia"/>
          </w:rPr>
          <w:footnoteRef/>
        </w:r>
      </w:ins>
      <w:ins w:id="201581" w:author="Claude" w:date="2026-09-27T12:00:00Z">
        <w:r>
          <w:rPr>
            <w:sz w:val="20"/>
            <w:szCs w:val="20"/>
          </w:rPr>
          <w:t xml:space="preserve"> Keith J. Hand &amp; Komi Frey, </w:t>
        </w:r>
      </w:ins>
      <w:ins w:id="201582" w:author="Claude" w:date="2026-09-27T12:00:00Z">
        <w:r>
          <w:rPr>
            <w:i/>
            <w:iCs/>
            <w:sz w:val="20"/>
            <w:szCs w:val="20"/>
          </w:rPr>
          <w:t>Law Schools Must Create a Culture That Promotes Viewpoint Diversity. Here’s How</w:t>
        </w:r>
      </w:ins>
      <w:ins w:id="201583" w:author="Claude" w:date="2026-09-27T12:00:00Z">
        <w:r>
          <w:rPr>
            <w:sz w:val="20"/>
            <w:szCs w:val="20"/>
          </w:rPr>
          <w:t xml:space="preserve">, </w:t>
        </w:r>
      </w:ins>
      <w:ins w:id="201584" w:author="Claude" w:date="2026-09-27T12:00:00Z">
        <w:r>
          <w:rPr>
            <w:smallCaps/>
            <w:sz w:val="20"/>
            <w:szCs w:val="20"/>
          </w:rPr>
          <w:t>Minding the Campus</w:t>
        </w:r>
      </w:ins>
      <w:ins w:id="201585" w:author="Claude" w:date="2026-09-27T12:00:00Z">
        <w:r>
          <w:rPr>
            <w:sz w:val="20"/>
            <w:szCs w:val="20"/>
          </w:rPr>
          <w:t xml:space="preserve"> (Aug. 30, 2024), https://www.mindingthecampus.org/2024/08/30/law-schools-must-create-a-culture-that-promotes-viewpoint-diversity-heres-how/.</w:t>
        </w:r>
      </w:ins>
    </w:p>
  </w:footnote>
  <w:footnote w:id="806">
    <w:p w14:paraId="209C55F4" w14:textId="77777777" w:rsidR="00B16CD7" w:rsidRDefault="00B16CD7" w:rsidP="00B16CD7">
      <w:pPr>
        <w:spacing w:line="480" w:lineRule="auto"/>
        <w:rPr>
          <w:ins w:id="201600" w:author="Claude" w:date="2026-09-27T12:00:00Z"/>
        </w:rPr>
      </w:pPr>
      <w:ins w:id="201594" w:author="Claude" w:date="2026-09-27T12:00:00Z">
        <w:r>
          <w:rPr>
            <w:rStyle w:val="FootnoteReference"/>
            <w:rFonts w:eastAsiaTheme="majorEastAsia"/>
          </w:rPr>
          <w:footnoteRef/>
        </w:r>
      </w:ins>
      <w:ins w:id="201595" w:author="Claude" w:date="2026-09-27T12:00:00Z">
        <w:r>
          <w:rPr>
            <w:sz w:val="20"/>
            <w:szCs w:val="20"/>
          </w:rPr>
          <w:t xml:space="preserve"> </w:t>
        </w:r>
      </w:ins>
      <w:ins w:id="201596" w:author="Claude" w:date="2026-09-27T12:00:00Z">
        <w:r>
          <w:rPr>
            <w:i/>
            <w:iCs/>
            <w:sz w:val="20"/>
            <w:szCs w:val="20"/>
          </w:rPr>
          <w:t>Cf.</w:t>
        </w:r>
      </w:ins>
      <w:ins w:id="201597" w:author="Claude" w:date="2026-09-27T12:00:00Z">
        <w:r>
          <w:rPr>
            <w:sz w:val="20"/>
            <w:szCs w:val="20"/>
          </w:rPr>
          <w:t xml:space="preserve"> 1 </w:t>
        </w:r>
      </w:ins>
      <w:ins w:id="201598" w:author="Claude" w:date="2026-09-27T12:00:00Z">
        <w:r>
          <w:rPr>
            <w:smallCaps/>
            <w:sz w:val="20"/>
            <w:szCs w:val="20"/>
          </w:rPr>
          <w:t>Broadus Mitchell, Alexander Hamilton: Youth to Maturity, 1755–1788</w:t>
        </w:r>
      </w:ins>
      <w:ins w:id="201599" w:author="Claude" w:date="2026-09-27T12:00:00Z">
        <w:r>
          <w:rPr>
            <w:sz w:val="20"/>
            <w:szCs w:val="20"/>
          </w:rPr>
          <w:t>, at xii (1957).</w:t>
        </w:r>
      </w:ins>
    </w:p>
  </w:footnote>
  <w:footnote w:id="807">
    <w:p w14:paraId="289A226C" w14:textId="77777777" w:rsidR="00B16CD7" w:rsidRDefault="00B16CD7" w:rsidP="00B16CD7">
      <w:pPr>
        <w:spacing w:line="480" w:lineRule="auto"/>
        <w:rPr>
          <w:ins w:id="201607" w:author="Claude" w:date="2026-09-27T12:00:00Z"/>
        </w:rPr>
      </w:pPr>
      <w:ins w:id="201601" w:author="Claude" w:date="2026-09-27T12:00:00Z">
        <w:r>
          <w:rPr>
            <w:rStyle w:val="FootnoteReference"/>
            <w:rFonts w:eastAsiaTheme="majorEastAsia"/>
          </w:rPr>
          <w:footnoteRef/>
        </w:r>
      </w:ins>
      <w:ins w:id="201602" w:author="Claude" w:date="2026-09-27T12:00:00Z">
        <w:r>
          <w:rPr>
            <w:sz w:val="20"/>
            <w:szCs w:val="20"/>
          </w:rPr>
          <w:t xml:space="preserve"> Derek A. Webb, </w:t>
        </w:r>
      </w:ins>
      <w:ins w:id="201603" w:author="Claude" w:date="2026-09-27T12:00:00Z">
        <w:r>
          <w:rPr>
            <w:i/>
            <w:iCs/>
            <w:sz w:val="20"/>
            <w:szCs w:val="20"/>
          </w:rPr>
          <w:t>The Original Meaning of Civility: Democratic Deliberation at the Philadelphia Constitutional Convention</w:t>
        </w:r>
      </w:ins>
      <w:ins w:id="201604" w:author="Claude" w:date="2026-09-27T12:00:00Z">
        <w:r>
          <w:rPr>
            <w:sz w:val="20"/>
            <w:szCs w:val="20"/>
          </w:rPr>
          <w:t xml:space="preserve">, 64 </w:t>
        </w:r>
      </w:ins>
      <w:ins w:id="201605" w:author="Claude" w:date="2026-09-27T12:00:00Z">
        <w:r>
          <w:rPr>
            <w:smallCaps/>
            <w:sz w:val="20"/>
            <w:szCs w:val="20"/>
          </w:rPr>
          <w:t>S.C. L. Rev.</w:t>
        </w:r>
      </w:ins>
      <w:ins w:id="201606" w:author="Claude" w:date="2026-09-27T12:00:00Z">
        <w:r>
          <w:rPr>
            <w:sz w:val="20"/>
            <w:szCs w:val="20"/>
          </w:rPr>
          <w:t xml:space="preserve"> 183, 195 (2012).</w:t>
        </w:r>
      </w:ins>
    </w:p>
  </w:footnote>
  <w:footnote w:id="808">
    <w:p w14:paraId="3C27463A" w14:textId="77777777" w:rsidR="00B16CD7" w:rsidRDefault="00B16CD7" w:rsidP="00B16CD7">
      <w:pPr>
        <w:spacing w:line="480" w:lineRule="auto"/>
        <w:rPr>
          <w:ins w:id="201614" w:author="Claude" w:date="2026-09-27T12:00:00Z"/>
        </w:rPr>
      </w:pPr>
      <w:ins w:id="201608" w:author="Claude" w:date="2026-09-27T12:00:00Z">
        <w:r>
          <w:rPr>
            <w:rStyle w:val="FootnoteReference"/>
            <w:rFonts w:eastAsiaTheme="majorEastAsia"/>
          </w:rPr>
          <w:footnoteRef/>
        </w:r>
      </w:ins>
      <w:ins w:id="201609" w:author="Claude" w:date="2026-09-27T12:00:00Z">
        <w:r>
          <w:rPr>
            <w:sz w:val="20"/>
            <w:szCs w:val="20"/>
          </w:rPr>
          <w:t xml:space="preserve"> Benjamin Franklin, Speech at the Constitutional Convention (Sept. 17, 1787), </w:t>
        </w:r>
      </w:ins>
      <w:ins w:id="201610" w:author="Claude" w:date="2026-09-27T12:00:00Z">
        <w:r>
          <w:rPr>
            <w:i/>
            <w:iCs/>
            <w:sz w:val="20"/>
            <w:szCs w:val="20"/>
          </w:rPr>
          <w:t>in</w:t>
        </w:r>
      </w:ins>
      <w:ins w:id="201611" w:author="Claude" w:date="2026-09-27T12:00:00Z">
        <w:r>
          <w:rPr>
            <w:sz w:val="20"/>
            <w:szCs w:val="20"/>
          </w:rPr>
          <w:t xml:space="preserve"> 13 </w:t>
        </w:r>
      </w:ins>
      <w:ins w:id="201612" w:author="Claude" w:date="2026-09-27T12:00:00Z">
        <w:r>
          <w:rPr>
            <w:smallCaps/>
            <w:sz w:val="20"/>
            <w:szCs w:val="20"/>
          </w:rPr>
          <w:t>The Documentary History of the Ratification of the Constitution</w:t>
        </w:r>
      </w:ins>
      <w:ins w:id="201613" w:author="Claude" w:date="2026-09-27T12:00:00Z">
        <w:r>
          <w:rPr>
            <w:sz w:val="20"/>
            <w:szCs w:val="20"/>
          </w:rPr>
          <w:t xml:space="preserve"> 212–14 (John P. Kaminski et al. eds., 1981).</w:t>
        </w:r>
      </w:ins>
    </w:p>
  </w:footnote>
  <w:footnote w:id="809">
    <w:p w14:paraId="49BDF35D" w14:textId="77777777" w:rsidR="00B16CD7" w:rsidRDefault="00B16CD7" w:rsidP="00B16CD7">
      <w:pPr>
        <w:spacing w:line="480" w:lineRule="auto"/>
        <w:rPr>
          <w:ins w:id="201626" w:author="Claude" w:date="2026-09-27T12:00:00Z"/>
        </w:rPr>
      </w:pPr>
      <w:ins w:id="201622" w:author="Claude" w:date="2026-09-27T12:00:00Z">
        <w:r>
          <w:rPr>
            <w:rStyle w:val="FootnoteReference"/>
            <w:rFonts w:eastAsiaTheme="majorEastAsia"/>
          </w:rPr>
          <w:footnoteRef/>
        </w:r>
      </w:ins>
      <w:ins w:id="201623" w:author="Claude" w:date="2026-09-27T12:00:00Z">
        <w:r>
          <w:rPr>
            <w:sz w:val="20"/>
            <w:szCs w:val="20"/>
          </w:rPr>
          <w:t xml:space="preserve"> </w:t>
        </w:r>
      </w:ins>
      <w:ins w:id="201624" w:author="Claude" w:date="2026-09-27T12:00:00Z">
        <w:r>
          <w:rPr>
            <w:smallCaps/>
            <w:sz w:val="20"/>
            <w:szCs w:val="20"/>
          </w:rPr>
          <w:t>James A. Brundage, The Medieval Origins of the Legal Profession</w:t>
        </w:r>
      </w:ins>
      <w:ins w:id="201625" w:author="Claude" w:date="2026-09-27T12:00:00Z">
        <w:r>
          <w:rPr>
            <w:sz w:val="20"/>
            <w:szCs w:val="20"/>
          </w:rPr>
          <w:t xml:space="preserve"> 28 (2008).</w:t>
        </w:r>
      </w:ins>
    </w:p>
  </w:footnote>
  <w:footnote w:id="810">
    <w:p w14:paraId="172E1DE4" w14:textId="77777777" w:rsidR="00B16CD7" w:rsidRDefault="00B16CD7" w:rsidP="00B16CD7">
      <w:pPr>
        <w:spacing w:line="480" w:lineRule="auto"/>
        <w:rPr>
          <w:ins w:id="201639" w:author="Claude" w:date="2026-09-27T12:00:00Z"/>
        </w:rPr>
      </w:pPr>
      <w:ins w:id="201627" w:author="Claude" w:date="2026-09-27T12:00:00Z">
        <w:r>
          <w:rPr>
            <w:rStyle w:val="FootnoteReference"/>
            <w:rFonts w:eastAsiaTheme="majorEastAsia"/>
          </w:rPr>
          <w:footnoteRef/>
        </w:r>
      </w:ins>
      <w:ins w:id="201628" w:author="Claude" w:date="2026-09-27T12:00:00Z">
        <w:r>
          <w:rPr>
            <w:sz w:val="20"/>
            <w:szCs w:val="20"/>
          </w:rPr>
          <w:t xml:space="preserve"> Albert H.Y. Chen, </w:t>
        </w:r>
      </w:ins>
      <w:ins w:id="201629" w:author="Claude" w:date="2026-09-27T12:00:00Z">
        <w:r>
          <w:rPr>
            <w:i/>
            <w:iCs/>
            <w:sz w:val="20"/>
            <w:szCs w:val="20"/>
          </w:rPr>
          <w:t>Mediation, Litigation, and Justice: Confucian Reflections in a Modern Liberal Society</w:t>
        </w:r>
      </w:ins>
      <w:ins w:id="201630" w:author="Claude" w:date="2026-09-27T12:00:00Z">
        <w:r>
          <w:rPr>
            <w:sz w:val="20"/>
            <w:szCs w:val="20"/>
          </w:rPr>
          <w:t xml:space="preserve">, </w:t>
        </w:r>
      </w:ins>
      <w:ins w:id="201631" w:author="Claude" w:date="2026-09-27T12:00:00Z">
        <w:r>
          <w:rPr>
            <w:i/>
            <w:iCs/>
            <w:sz w:val="20"/>
            <w:szCs w:val="20"/>
          </w:rPr>
          <w:t>in</w:t>
        </w:r>
      </w:ins>
      <w:ins w:id="201632" w:author="Claude" w:date="2026-09-27T12:00:00Z">
        <w:r>
          <w:rPr>
            <w:sz w:val="20"/>
            <w:szCs w:val="20"/>
          </w:rPr>
          <w:t xml:space="preserve"> </w:t>
        </w:r>
      </w:ins>
      <w:ins w:id="201633" w:author="Claude" w:date="2026-09-27T12:00:00Z">
        <w:r>
          <w:rPr>
            <w:smallCaps/>
            <w:sz w:val="20"/>
            <w:szCs w:val="20"/>
          </w:rPr>
          <w:t>Confucianism for the Modern World</w:t>
        </w:r>
      </w:ins>
      <w:ins w:id="201634" w:author="Claude" w:date="2026-09-27T12:00:00Z">
        <w:r>
          <w:rPr>
            <w:sz w:val="20"/>
            <w:szCs w:val="20"/>
          </w:rPr>
          <w:t xml:space="preserve"> 257, 261–62 (Daniel A. Bell &amp; </w:t>
        </w:r>
      </w:ins>
      <w:ins w:id="201635" w:author="Claude" w:date="2026-09-27T12:00:00Z">
        <w:r>
          <w:rPr>
            <w:sz w:val="20"/>
            <w:szCs w:val="20"/>
          </w:rPr>
          <w:t>Hahm</w:t>
        </w:r>
      </w:ins>
      <w:ins w:id="201636" w:author="Claude" w:date="2026-09-27T12:00:00Z">
        <w:r>
          <w:rPr>
            <w:sz w:val="20"/>
            <w:szCs w:val="20"/>
          </w:rPr>
          <w:t xml:space="preserve"> </w:t>
        </w:r>
      </w:ins>
      <w:ins w:id="201637" w:author="Claude" w:date="2026-09-27T12:00:00Z">
        <w:r>
          <w:rPr>
            <w:sz w:val="20"/>
            <w:szCs w:val="20"/>
          </w:rPr>
          <w:t>Chaibong</w:t>
        </w:r>
      </w:ins>
      <w:ins w:id="201638" w:author="Claude" w:date="2026-09-27T12:00:00Z">
        <w:r>
          <w:rPr>
            <w:sz w:val="20"/>
            <w:szCs w:val="20"/>
          </w:rPr>
          <w:t xml:space="preserve"> eds., 2003).</w:t>
        </w:r>
      </w:ins>
    </w:p>
  </w:footnote>
  <w:footnote w:id="811">
    <w:p w14:paraId="5F3D64E8" w14:textId="77777777" w:rsidR="00B16CD7" w:rsidRDefault="00B16CD7" w:rsidP="00B16CD7">
      <w:pPr>
        <w:spacing w:line="480" w:lineRule="auto"/>
        <w:rPr>
          <w:ins w:id="201651" w:author="Claude" w:date="2026-09-27T12:00:00Z"/>
        </w:rPr>
      </w:pPr>
      <w:ins w:id="201645" w:author="Claude" w:date="2026-09-27T12:00:00Z">
        <w:r>
          <w:rPr>
            <w:rStyle w:val="FootnoteReference"/>
            <w:rFonts w:eastAsiaTheme="majorEastAsia"/>
          </w:rPr>
          <w:footnoteRef/>
        </w:r>
      </w:ins>
      <w:ins w:id="201646" w:author="Claude" w:date="2026-09-27T12:00:00Z">
        <w:r>
          <w:rPr>
            <w:sz w:val="20"/>
            <w:szCs w:val="20"/>
          </w:rPr>
          <w:t xml:space="preserve"> </w:t>
        </w:r>
      </w:ins>
      <w:ins w:id="201647" w:author="Claude" w:date="2026-09-27T12:00:00Z">
        <w:r>
          <w:rPr>
            <w:smallCaps/>
            <w:sz w:val="20"/>
            <w:szCs w:val="20"/>
          </w:rPr>
          <w:t xml:space="preserve">George </w:t>
        </w:r>
      </w:ins>
      <w:ins w:id="201648" w:author="Claude" w:date="2026-09-27T12:00:00Z">
        <w:r>
          <w:rPr>
            <w:smallCaps/>
            <w:sz w:val="20"/>
            <w:szCs w:val="20"/>
          </w:rPr>
          <w:t>Sharswood</w:t>
        </w:r>
      </w:ins>
      <w:ins w:id="201649" w:author="Claude" w:date="2026-09-27T12:00:00Z">
        <w:r>
          <w:rPr>
            <w:smallCaps/>
            <w:sz w:val="20"/>
            <w:szCs w:val="20"/>
          </w:rPr>
          <w:t>, An Essay on Professional Ethics</w:t>
        </w:r>
      </w:ins>
      <w:ins w:id="201650" w:author="Claude" w:date="2026-09-27T12:00:00Z">
        <w:r>
          <w:rPr>
            <w:sz w:val="20"/>
            <w:szCs w:val="20"/>
          </w:rPr>
          <w:t xml:space="preserve"> 138 (2d ed. 1860).</w:t>
        </w:r>
      </w:ins>
    </w:p>
  </w:footnote>
  <w:footnote w:id="812">
    <w:p w14:paraId="02FE896F" w14:textId="77777777" w:rsidR="001B76BD" w:rsidRDefault="00000000">
      <w:pPr>
        <w:spacing w:line="480" w:lineRule="auto"/>
        <w:rPr>
          <w:ins w:id="201660" w:author="Claude" w:date="2026-09-27T12:00:00Z"/>
        </w:rPr>
      </w:pPr>
      <w:ins w:id="201656" w:author="Claude" w:date="2026-09-27T12:00:00Z">
        <w:r>
          <w:rPr>
            <w:rStyle w:val="FootnoteReference"/>
            <w:rFonts w:eastAsiaTheme="majorEastAsia"/>
          </w:rPr>
          <w:footnoteRef/>
        </w:r>
      </w:ins>
      <w:ins w:id="201657" w:author="Claude" w:date="2026-09-27T12:00:00Z">
        <w:r>
          <w:rPr>
            <w:sz w:val="20"/>
            <w:szCs w:val="20"/>
          </w:rPr>
          <w:t xml:space="preserve"> </w:t>
        </w:r>
      </w:ins>
      <w:ins w:id="201658" w:author="Claude" w:date="2026-09-27T12:00:00Z">
        <w:r>
          <w:rPr>
            <w:smallCaps/>
            <w:sz w:val="20"/>
            <w:szCs w:val="20"/>
          </w:rPr>
          <w:t>Cass R. Sunstein &amp; Reid Hastie, Wiser: Getting Beyond Groupthink to Make Groups Smarter</w:t>
        </w:r>
      </w:ins>
      <w:ins w:id="201659" w:author="Claude" w:date="2026-09-27T12:00:00Z">
        <w:r>
          <w:rPr>
            <w:sz w:val="20"/>
            <w:szCs w:val="20"/>
          </w:rPr>
          <w:t xml:space="preserve"> 24, 38 (2015).</w:t>
        </w:r>
      </w:ins>
    </w:p>
  </w:footnote>
  <w:footnote w:id="813">
    <w:p w14:paraId="79EB13E7" w14:textId="77777777" w:rsidR="001B76BD" w:rsidRDefault="00000000">
      <w:pPr>
        <w:spacing w:line="480" w:lineRule="auto"/>
        <w:rPr>
          <w:ins w:id="201669" w:author="Claude" w:date="2026-09-27T12:00:00Z"/>
        </w:rPr>
      </w:pPr>
      <w:ins w:id="201665" w:author="Claude" w:date="2026-09-27T12:00:00Z">
        <w:r>
          <w:rPr>
            <w:rStyle w:val="FootnoteReference"/>
            <w:rFonts w:eastAsiaTheme="majorEastAsia"/>
          </w:rPr>
          <w:footnoteRef/>
        </w:r>
      </w:ins>
      <w:ins w:id="201666" w:author="Claude" w:date="2026-09-27T12:00:00Z">
        <w:r>
          <w:rPr>
            <w:sz w:val="20"/>
            <w:szCs w:val="20"/>
          </w:rPr>
          <w:t xml:space="preserve"> </w:t>
        </w:r>
      </w:ins>
      <w:ins w:id="201667" w:author="Claude" w:date="2026-09-27T12:00:00Z">
        <w:r>
          <w:rPr>
            <w:smallCaps/>
            <w:sz w:val="20"/>
            <w:szCs w:val="20"/>
          </w:rPr>
          <w:t>David Boies &amp; Theodore B. Olson, Redeeming the Dream</w:t>
        </w:r>
      </w:ins>
      <w:ins w:id="201668" w:author="Claude" w:date="2026-09-27T12:00:00Z">
        <w:r>
          <w:rPr>
            <w:sz w:val="20"/>
            <w:szCs w:val="20"/>
          </w:rPr>
          <w:t xml:space="preserve"> 30 (2014).</w:t>
        </w:r>
      </w:ins>
    </w:p>
  </w:footnote>
  <w:footnote w:id="814">
    <w:p w14:paraId="67B7660A" w14:textId="55CF2ADB" w:rsidR="00580764" w:rsidRPr="005B3E31" w:rsidRDefault="00580764" w:rsidP="003D74D8">
      <w:pPr>
        <w:pStyle w:val="FootnoteText"/>
        <w:spacing w:line="480" w:lineRule="auto"/>
        <w:rPr>
          <w:ins w:id="201687" w:author="Claude" w:date="2026-09-27T12:00:00Z"/>
        </w:rPr>
      </w:pPr>
      <w:ins w:id="201681" w:author="Claude" w:date="2026-09-27T12:00:00Z">
        <w:r>
          <w:rPr>
            <w:rStyle w:val="FootnoteReference"/>
          </w:rPr>
          <w:footnoteRef/>
        </w:r>
      </w:ins>
      <w:ins w:id="201682" w:author="Claude" w:date="2026-09-27T12:00:00Z">
        <w:r>
          <w:t xml:space="preserve"> Marc Galanter, </w:t>
        </w:r>
      </w:ins>
      <w:ins w:id="201683" w:author="Claude" w:date="2026-09-27T12:00:00Z">
        <w:r>
          <w:rPr>
            <w:i/>
            <w:iCs/>
          </w:rPr>
          <w:t>Worlds of Deals: Using Negotiation to Teach about Legal Process</w:t>
        </w:r>
      </w:ins>
      <w:ins w:id="201684" w:author="Claude" w:date="2026-09-27T12:00:00Z">
        <w:r>
          <w:t xml:space="preserve">, 34 </w:t>
        </w:r>
      </w:ins>
      <w:ins w:id="201685" w:author="Claude" w:date="2026-09-27T12:00:00Z">
        <w:r>
          <w:rPr>
            <w:smallCaps/>
          </w:rPr>
          <w:t>J. Legal Educ.</w:t>
        </w:r>
      </w:ins>
      <w:ins w:id="201686" w:author="Claude" w:date="2026-09-27T12:00:00Z">
        <w:r>
          <w:t xml:space="preserve"> 268, 268 (1984).</w:t>
        </w:r>
      </w:ins>
    </w:p>
  </w:footnote>
  <w:footnote w:id="815">
    <w:p w14:paraId="7DA9F036" w14:textId="77777777" w:rsidR="000D2CC9" w:rsidRPr="005B3E31" w:rsidRDefault="000D2CC9" w:rsidP="003D74D8">
      <w:pPr>
        <w:pStyle w:val="FootnoteText"/>
        <w:spacing w:line="480" w:lineRule="auto"/>
        <w:rPr>
          <w:ins w:id="201692" w:author="Claude" w:date="2026-09-27T12:00:00Z"/>
        </w:rPr>
      </w:pPr>
      <w:ins w:id="201688" w:author="Claude" w:date="2026-09-27T12:00:00Z">
        <w:r>
          <w:rPr>
            <w:rStyle w:val="FootnoteReference"/>
          </w:rPr>
          <w:footnoteRef/>
        </w:r>
      </w:ins>
      <w:ins w:id="201689" w:author="Claude" w:date="2026-09-27T12:00:00Z">
        <w:r>
          <w:t xml:space="preserve"> </w:t>
        </w:r>
      </w:ins>
      <w:ins w:id="201690" w:author="Claude" w:date="2026-09-27T12:00:00Z">
        <w:r>
          <w:rPr>
            <w:smallCaps/>
          </w:rPr>
          <w:t>Randall Kiser, How Leading Lawyers Think: Expert Insights Into Judgment and Advocacy</w:t>
        </w:r>
      </w:ins>
      <w:ins w:id="201691" w:author="Claude" w:date="2026-09-27T12:00:00Z">
        <w:r>
          <w:t xml:space="preserve"> 250 (Springer 2011); Schneyer, infra note 209, at 11.</w:t>
        </w:r>
      </w:ins>
    </w:p>
  </w:footnote>
  <w:footnote w:id="816">
    <w:p w14:paraId="431F5D92" w14:textId="43C4A833" w:rsidR="000D2CC9" w:rsidRPr="005B3E31" w:rsidRDefault="000D2CC9" w:rsidP="003D74D8">
      <w:pPr>
        <w:pStyle w:val="FootnoteText"/>
        <w:spacing w:line="480" w:lineRule="auto"/>
        <w:rPr>
          <w:ins w:id="201701" w:author="Claude" w:date="2026-09-27T12:00:00Z"/>
          <w:color w:val="000000" w:themeColor="text1"/>
        </w:rPr>
      </w:pPr>
      <w:ins w:id="201693" w:author="Claude" w:date="2026-09-27T12:00:00Z">
        <w:r>
          <w:rPr>
            <w:rStyle w:val="FootnoteReference"/>
            <w:color w:val="000000" w:themeColor="text1"/>
          </w:rPr>
          <w:footnoteRef/>
        </w:r>
      </w:ins>
      <w:ins w:id="201694" w:author="Claude" w:date="2026-09-27T12:00:00Z">
        <w:r>
          <w:rPr>
            <w:color w:val="000000" w:themeColor="text1"/>
          </w:rPr>
          <w:t xml:space="preserve">Dan M. Kahan, </w:t>
        </w:r>
      </w:ins>
      <w:ins w:id="201695" w:author="Claude" w:date="2026-09-27T12:00:00Z">
        <w:r>
          <w:rPr>
            <w:i/>
            <w:iCs/>
            <w:color w:val="000000" w:themeColor="text1"/>
          </w:rPr>
          <w:t>Foreword: Neutral Principles, Motivated Cognition, and Some Problems for Constitutional Law</w:t>
        </w:r>
      </w:ins>
      <w:ins w:id="201696" w:author="Claude" w:date="2026-09-27T12:00:00Z">
        <w:r>
          <w:rPr>
            <w:color w:val="000000" w:themeColor="text1"/>
          </w:rPr>
          <w:t xml:space="preserve">, 125 </w:t>
        </w:r>
      </w:ins>
      <w:ins w:id="201697" w:author="Claude" w:date="2026-09-27T12:00:00Z">
        <w:r>
          <w:rPr>
            <w:smallCaps/>
            <w:color w:val="000000" w:themeColor="text1"/>
          </w:rPr>
          <w:t>Harv. L. Rev.</w:t>
        </w:r>
      </w:ins>
      <w:ins w:id="201698" w:author="Claude" w:date="2026-09-27T12:00:00Z">
        <w:r>
          <w:rPr>
            <w:color w:val="000000" w:themeColor="text1"/>
          </w:rPr>
          <w:t xml:space="preserve"> 1, 20–27 (2011); </w:t>
        </w:r>
      </w:ins>
      <w:ins w:id="201699" w:author="Claude" w:date="2026-09-27T12:00:00Z">
        <w:r>
          <w:rPr>
            <w:smallCaps/>
            <w:color w:val="000000" w:themeColor="text1"/>
          </w:rPr>
          <w:t>Micah Zenko, Red Team: How to Succeed by Thinking Like the Enemy</w:t>
        </w:r>
      </w:ins>
      <w:ins w:id="201700" w:author="Claude" w:date="2026-09-27T12:00:00Z">
        <w:r>
          <w:rPr>
            <w:color w:val="000000" w:themeColor="text1"/>
          </w:rPr>
          <w:t xml:space="preserve"> 71–76 (2015).</w:t>
        </w:r>
      </w:ins>
    </w:p>
  </w:footnote>
  <w:footnote w:id="817">
    <w:p w14:paraId="5E324F14" w14:textId="7262ADF1" w:rsidR="000D2CC9" w:rsidRPr="005B3E31" w:rsidRDefault="000D2CC9" w:rsidP="003D74D8">
      <w:pPr>
        <w:spacing w:line="480" w:lineRule="auto"/>
        <w:rPr>
          <w:ins w:id="201715" w:author="Claude" w:date="2026-09-27T12:00:00Z"/>
          <w:color w:val="000000" w:themeColor="text1"/>
          <w:sz w:val="20"/>
          <w:szCs w:val="20"/>
        </w:rPr>
      </w:pPr>
      <w:ins w:id="201702" w:author="Claude" w:date="2026-09-27T12:00:00Z">
        <w:r>
          <w:rPr>
            <w:rStyle w:val="FootnoteReference"/>
            <w:color w:val="000000" w:themeColor="text1"/>
            <w:sz w:val="20"/>
            <w:szCs w:val="20"/>
          </w:rPr>
          <w:footnoteRef/>
        </w:r>
      </w:ins>
      <w:ins w:id="201703" w:author="Claude" w:date="2026-09-27T12:00:00Z">
        <w:r>
          <w:rPr>
            <w:color w:val="000000" w:themeColor="text1"/>
            <w:sz w:val="20"/>
            <w:szCs w:val="20"/>
          </w:rPr>
          <w:t xml:space="preserve"> Elizabeth Wolfe Morrison &amp; Frances J. Milliken, </w:t>
        </w:r>
      </w:ins>
      <w:ins w:id="201704" w:author="Claude" w:date="2026-09-27T12:00:00Z">
        <w:r>
          <w:rPr>
            <w:i/>
            <w:iCs/>
            <w:color w:val="000000" w:themeColor="text1"/>
            <w:sz w:val="20"/>
            <w:szCs w:val="20"/>
          </w:rPr>
          <w:t>Organizational Silence: A Barrier to Change and Development in a Pluralistic World</w:t>
        </w:r>
      </w:ins>
      <w:ins w:id="201705" w:author="Claude" w:date="2026-09-27T12:00:00Z">
        <w:r>
          <w:rPr>
            <w:color w:val="000000" w:themeColor="text1"/>
            <w:sz w:val="20"/>
            <w:szCs w:val="20"/>
          </w:rPr>
          <w:t xml:space="preserve">, 25 </w:t>
        </w:r>
      </w:ins>
      <w:ins w:id="201706" w:author="Claude" w:date="2026-09-27T12:00:00Z">
        <w:r>
          <w:rPr>
            <w:smallCaps/>
            <w:color w:val="000000" w:themeColor="text1"/>
            <w:sz w:val="20"/>
            <w:szCs w:val="20"/>
          </w:rPr>
          <w:t>Acad. Mgmt. Rev</w:t>
        </w:r>
      </w:ins>
      <w:ins w:id="201707" w:author="Claude" w:date="2026-09-27T12:00:00Z">
        <w:r>
          <w:rPr>
            <w:color w:val="000000" w:themeColor="text1"/>
            <w:sz w:val="20"/>
            <w:szCs w:val="20"/>
          </w:rPr>
          <w:t xml:space="preserve">. 707, 721 (2000); </w:t>
        </w:r>
      </w:ins>
      <w:ins w:id="201708" w:author="Claude" w:date="2026-09-27T12:00:00Z">
        <w:r>
          <w:rPr>
            <w:smallCaps/>
            <w:color w:val="000000" w:themeColor="text1"/>
            <w:sz w:val="20"/>
            <w:szCs w:val="20"/>
          </w:rPr>
          <w:t>Sunstein</w:t>
        </w:r>
      </w:ins>
      <w:ins w:id="201709" w:author="Claude" w:date="2026-09-27T12:00:00Z">
        <w:r>
          <w:rPr>
            <w:color w:val="000000" w:themeColor="text1"/>
            <w:sz w:val="20"/>
            <w:szCs w:val="20"/>
          </w:rPr>
          <w:t xml:space="preserve">, </w:t>
        </w:r>
      </w:ins>
      <w:ins w:id="201710" w:author="Claude" w:date="2026-09-27T12:00:00Z">
        <w:r>
          <w:rPr>
            <w:i/>
            <w:iCs/>
            <w:color w:val="000000" w:themeColor="text1"/>
            <w:sz w:val="20"/>
            <w:szCs w:val="20"/>
          </w:rPr>
          <w:t>supra</w:t>
        </w:r>
      </w:ins>
      <w:ins w:id="201711" w:author="Claude" w:date="2026-09-27T12:00:00Z">
        <w:r>
          <w:rPr>
            <w:color w:val="000000" w:themeColor="text1"/>
            <w:sz w:val="20"/>
            <w:szCs w:val="20"/>
          </w:rPr>
          <w:t xml:space="preserve"> note 56. </w:t>
        </w:r>
      </w:ins>
      <w:ins w:id="201712" w:author="Claude" w:date="2026-09-27T12:00:00Z">
        <w:r>
          <w:rPr>
            <w:i/>
            <w:iCs/>
            <w:color w:val="000000" w:themeColor="text1"/>
            <w:sz w:val="20"/>
            <w:szCs w:val="20"/>
          </w:rPr>
          <w:t xml:space="preserve">see also </w:t>
        </w:r>
      </w:ins>
      <w:ins w:id="201713" w:author="Claude" w:date="2026-09-27T12:00:00Z">
        <w:r>
          <w:rPr>
            <w:smallCaps/>
            <w:color w:val="000000" w:themeColor="text1"/>
            <w:sz w:val="20"/>
            <w:szCs w:val="20"/>
          </w:rPr>
          <w:t>Scott E. Page, The Difference: How the Power of Diversity Creates Better Groups, Firms, Schools, and Societies</w:t>
        </w:r>
      </w:ins>
      <w:ins w:id="201714" w:author="Claude" w:date="2026-09-27T12:00:00Z">
        <w:r>
          <w:rPr>
            <w:color w:val="000000" w:themeColor="text1"/>
            <w:sz w:val="20"/>
            <w:szCs w:val="20"/>
          </w:rPr>
          <w:t xml:space="preserve"> 41–51, 143–45 (2007).</w:t>
        </w:r>
      </w:ins>
    </w:p>
  </w:footnote>
  <w:footnote w:id="818">
    <w:p w14:paraId="4B10A2E2" w14:textId="4EB7F70D" w:rsidR="000D2CC9" w:rsidRPr="005B3E31" w:rsidRDefault="000D2CC9" w:rsidP="003D74D8">
      <w:pPr>
        <w:spacing w:line="480" w:lineRule="auto"/>
        <w:rPr>
          <w:ins w:id="201722" w:author="Claude" w:date="2026-09-27T12:00:00Z"/>
          <w:color w:val="000000" w:themeColor="text1"/>
          <w:sz w:val="20"/>
          <w:szCs w:val="20"/>
        </w:rPr>
      </w:pPr>
      <w:ins w:id="201716" w:author="Claude" w:date="2026-09-27T12:00:00Z">
        <w:r>
          <w:rPr>
            <w:rStyle w:val="FootnoteReference"/>
            <w:color w:val="000000" w:themeColor="text1"/>
            <w:sz w:val="20"/>
            <w:szCs w:val="20"/>
          </w:rPr>
          <w:footnoteRef/>
        </w:r>
      </w:ins>
      <w:ins w:id="201717" w:author="Claude" w:date="2026-09-27T12:00:00Z">
        <w:r>
          <w:rPr>
            <w:color w:val="000000" w:themeColor="text1"/>
            <w:sz w:val="20"/>
            <w:szCs w:val="20"/>
          </w:rPr>
          <w:t xml:space="preserve"> Elizabeth Chambliss &amp; David B. Wilkins, </w:t>
        </w:r>
      </w:ins>
      <w:ins w:id="201718" w:author="Claude" w:date="2026-09-27T12:00:00Z">
        <w:r>
          <w:rPr>
            <w:i/>
            <w:iCs/>
            <w:color w:val="000000" w:themeColor="text1"/>
            <w:sz w:val="20"/>
            <w:szCs w:val="20"/>
          </w:rPr>
          <w:t>Promoting Effective Ethical Infrastructure in Large Law Firms: A Call for Research and Reporting</w:t>
        </w:r>
      </w:ins>
      <w:ins w:id="201719" w:author="Claude" w:date="2026-09-27T12:00:00Z">
        <w:r>
          <w:rPr>
            <w:color w:val="000000" w:themeColor="text1"/>
            <w:sz w:val="20"/>
            <w:szCs w:val="20"/>
          </w:rPr>
          <w:t xml:space="preserve">, 30 </w:t>
        </w:r>
      </w:ins>
      <w:ins w:id="201720" w:author="Claude" w:date="2026-09-27T12:00:00Z">
        <w:r>
          <w:rPr>
            <w:smallCaps/>
            <w:color w:val="000000" w:themeColor="text1"/>
            <w:sz w:val="20"/>
            <w:szCs w:val="20"/>
          </w:rPr>
          <w:t>Hofstra L. Rev</w:t>
        </w:r>
      </w:ins>
      <w:ins w:id="201721" w:author="Claude" w:date="2026-09-27T12:00:00Z">
        <w:r>
          <w:rPr>
            <w:color w:val="000000" w:themeColor="text1"/>
            <w:sz w:val="20"/>
            <w:szCs w:val="20"/>
          </w:rPr>
          <w:t>. 691, 699, 701 (2002) (reporting surveyed lawyers’ own assessments).</w:t>
        </w:r>
      </w:ins>
    </w:p>
  </w:footnote>
  <w:footnote w:id="819">
    <w:p w14:paraId="5845922A" w14:textId="1994D681" w:rsidR="000D2CC9" w:rsidRPr="005B3E31" w:rsidRDefault="000D2CC9" w:rsidP="003D74D8">
      <w:pPr>
        <w:spacing w:line="480" w:lineRule="auto"/>
        <w:rPr>
          <w:ins w:id="201729" w:author="Claude" w:date="2026-09-27T12:00:00Z"/>
          <w:color w:val="000000" w:themeColor="text1"/>
          <w:sz w:val="20"/>
          <w:szCs w:val="20"/>
        </w:rPr>
      </w:pPr>
      <w:ins w:id="201723" w:author="Claude" w:date="2026-09-27T12:00:00Z">
        <w:r>
          <w:rPr>
            <w:rStyle w:val="FootnoteReference"/>
            <w:color w:val="000000" w:themeColor="text1"/>
            <w:sz w:val="20"/>
            <w:szCs w:val="20"/>
          </w:rPr>
          <w:footnoteRef/>
        </w:r>
      </w:ins>
      <w:ins w:id="201724" w:author="Claude" w:date="2026-09-27T12:00:00Z">
        <w:r>
          <w:rPr>
            <w:color w:val="000000" w:themeColor="text1"/>
            <w:sz w:val="20"/>
            <w:szCs w:val="20"/>
          </w:rPr>
          <w:t xml:space="preserve"> Deborah L. Rhode, </w:t>
        </w:r>
      </w:ins>
      <w:ins w:id="201725" w:author="Claude" w:date="2026-09-27T12:00:00Z">
        <w:r>
          <w:rPr>
            <w:i/>
            <w:iCs/>
            <w:color w:val="000000" w:themeColor="text1"/>
            <w:sz w:val="20"/>
            <w:szCs w:val="20"/>
          </w:rPr>
          <w:t>Leadership in Law</w:t>
        </w:r>
      </w:ins>
      <w:ins w:id="201726" w:author="Claude" w:date="2026-09-27T12:00:00Z">
        <w:r>
          <w:rPr>
            <w:color w:val="000000" w:themeColor="text1"/>
            <w:sz w:val="20"/>
            <w:szCs w:val="20"/>
          </w:rPr>
          <w:t xml:space="preserve">, 69 </w:t>
        </w:r>
      </w:ins>
      <w:ins w:id="201727" w:author="Claude" w:date="2026-09-27T12:00:00Z">
        <w:r>
          <w:rPr>
            <w:smallCaps/>
            <w:color w:val="000000" w:themeColor="text1"/>
            <w:sz w:val="20"/>
            <w:szCs w:val="20"/>
          </w:rPr>
          <w:t>Stan. L. Rev</w:t>
        </w:r>
      </w:ins>
      <w:ins w:id="201728" w:author="Claude" w:date="2026-09-27T12:00:00Z">
        <w:r>
          <w:rPr>
            <w:color w:val="000000" w:themeColor="text1"/>
            <w:sz w:val="20"/>
            <w:szCs w:val="20"/>
          </w:rPr>
          <w:t>. 1603, 1636 (2017) (quoting Kouzes &amp; Posner).</w:t>
        </w:r>
      </w:ins>
    </w:p>
  </w:footnote>
  <w:footnote w:id="820">
    <w:p w14:paraId="33F5C2F2" w14:textId="68D4DEB3" w:rsidR="00103ED4" w:rsidRPr="005B3E31" w:rsidRDefault="00103ED4" w:rsidP="003D74D8">
      <w:pPr>
        <w:pStyle w:val="FootnoteText"/>
        <w:spacing w:line="480" w:lineRule="auto"/>
        <w:rPr>
          <w:ins w:id="201756" w:author="Claude" w:date="2026-09-27T12:00:00Z"/>
          <w:color w:val="000000" w:themeColor="text1"/>
        </w:rPr>
      </w:pPr>
      <w:ins w:id="201746" w:author="Claude" w:date="2026-09-27T12:00:00Z">
        <w:r>
          <w:rPr>
            <w:rStyle w:val="FootnoteReference"/>
            <w:color w:val="000000" w:themeColor="text1"/>
          </w:rPr>
          <w:footnoteRef/>
        </w:r>
      </w:ins>
      <w:ins w:id="201747" w:author="Claude" w:date="2026-09-27T12:00:00Z">
        <w:r>
          <w:rPr>
            <w:color w:val="000000" w:themeColor="text1"/>
          </w:rPr>
          <w:t xml:space="preserve"> </w:t>
        </w:r>
      </w:ins>
      <w:ins w:id="201748" w:author="Claude" w:date="2026-09-27T12:00:00Z">
        <w:r>
          <w:rPr>
            <w:smallCaps/>
            <w:color w:val="000000" w:themeColor="text1"/>
          </w:rPr>
          <w:t>Pierre Schlag, The Enchantment of Reason</w:t>
        </w:r>
      </w:ins>
      <w:ins w:id="201749" w:author="Claude" w:date="2026-09-27T12:00:00Z">
        <w:r>
          <w:rPr>
            <w:color w:val="000000" w:themeColor="text1"/>
          </w:rPr>
          <w:t xml:space="preserve"> 117–18 (1998); </w:t>
        </w:r>
      </w:ins>
      <w:ins w:id="201750" w:author="Claude" w:date="2026-09-27T12:00:00Z">
        <w:r>
          <w:rPr>
            <w:i/>
            <w:iCs/>
            <w:color w:val="000000" w:themeColor="text1"/>
          </w:rPr>
          <w:t>see also</w:t>
        </w:r>
      </w:ins>
      <w:ins w:id="201751" w:author="Claude" w:date="2026-09-27T12:00:00Z">
        <w:r>
          <w:rPr>
            <w:color w:val="000000" w:themeColor="text1"/>
          </w:rPr>
          <w:t xml:space="preserve"> </w:t>
        </w:r>
      </w:ins>
      <w:ins w:id="201752" w:author="Claude" w:date="2026-09-27T12:00:00Z">
        <w:r>
          <w:rPr>
            <w:smallCaps/>
            <w:color w:val="000000" w:themeColor="text1"/>
          </w:rPr>
          <w:t xml:space="preserve">Cass R. Sunstein, </w:t>
        </w:r>
      </w:ins>
      <w:ins w:id="201753" w:author="Claude" w:date="2026-09-27T12:00:00Z">
        <w:r>
          <w:rPr>
            <w:i/>
            <w:iCs/>
            <w:smallCaps/>
            <w:color w:val="000000" w:themeColor="text1"/>
          </w:rPr>
          <w:t>Conformity and Dissent</w:t>
        </w:r>
      </w:ins>
      <w:ins w:id="201754" w:author="Claude" w:date="2026-09-27T12:00:00Z">
        <w:r>
          <w:rPr>
            <w:i/>
            <w:iCs/>
            <w:color w:val="000000" w:themeColor="text1"/>
          </w:rPr>
          <w:t xml:space="preserve"> </w:t>
        </w:r>
      </w:ins>
      <w:ins w:id="201755" w:author="Claude" w:date="2026-09-27T12:00:00Z">
        <w:r>
          <w:rPr>
            <w:color w:val="000000" w:themeColor="text1"/>
          </w:rPr>
          <w:t>65–67 (2002).</w:t>
        </w:r>
      </w:ins>
    </w:p>
  </w:footnote>
  <w:footnote w:id="821">
    <w:p w14:paraId="273B6C80" w14:textId="3A437736" w:rsidR="009469D4" w:rsidRPr="005B3E31" w:rsidRDefault="009469D4" w:rsidP="003D74D8">
      <w:pPr>
        <w:pStyle w:val="FootnoteText"/>
        <w:spacing w:line="480" w:lineRule="auto"/>
        <w:rPr>
          <w:ins w:id="201763" w:author="Claude" w:date="2026-09-27T12:00:00Z"/>
          <w:color w:val="000000" w:themeColor="text1"/>
        </w:rPr>
      </w:pPr>
      <w:ins w:id="201757" w:author="Claude" w:date="2026-09-27T12:00:00Z">
        <w:r>
          <w:rPr>
            <w:rStyle w:val="FootnoteReference"/>
            <w:color w:val="000000" w:themeColor="text1"/>
          </w:rPr>
          <w:footnoteRef/>
        </w:r>
      </w:ins>
      <w:ins w:id="201758" w:author="Claude" w:date="2026-09-27T12:00:00Z">
        <w:r>
          <w:rPr>
            <w:color w:val="000000" w:themeColor="text1"/>
          </w:rPr>
          <w:t xml:space="preserve"> United States v. Rahimi, 602 U.S. 680, 692 (2024); Saul Cornell, </w:t>
        </w:r>
      </w:ins>
      <w:ins w:id="201759" w:author="Claude" w:date="2026-09-27T12:00:00Z">
        <w:r>
          <w:rPr>
            <w:i/>
            <w:iCs/>
            <w:color w:val="000000" w:themeColor="text1"/>
          </w:rPr>
          <w:t>The Founders’ Common Law and Bruen’s Text, History, and Tradition Test: From History ‘Lite’ to History Right</w:t>
        </w:r>
      </w:ins>
      <w:ins w:id="201760" w:author="Claude" w:date="2026-09-27T12:00:00Z">
        <w:r>
          <w:rPr>
            <w:color w:val="000000" w:themeColor="text1"/>
          </w:rPr>
          <w:t xml:space="preserve">, 73 </w:t>
        </w:r>
      </w:ins>
      <w:ins w:id="201761" w:author="Claude" w:date="2026-09-27T12:00:00Z">
        <w:r>
          <w:rPr>
            <w:smallCaps/>
            <w:color w:val="000000" w:themeColor="text1"/>
          </w:rPr>
          <w:t>Buff. L. Rev.</w:t>
        </w:r>
      </w:ins>
      <w:ins w:id="201762" w:author="Claude" w:date="2026-09-27T12:00:00Z">
        <w:r>
          <w:rPr>
            <w:color w:val="000000" w:themeColor="text1"/>
          </w:rPr>
          <w:t xml:space="preserve"> 651, 656 (2025).</w:t>
        </w:r>
      </w:ins>
    </w:p>
  </w:footnote>
  <w:footnote w:id="822">
    <w:p>
      <w:pPr>
        <w:pStyle w:val="FootnoteText"/>
        <w:spacing w:line="480" w:lineRule="auto"/>
        <w:rPr>
          <w:ins w:id="201764" w:author="Claude" w:date="2026-09-27T12:00:00Z"/>
        </w:rPr>
      </w:pPr>
      <w:ins w:id="201765" w:author="Claude" w:date="2026-09-27T12:00:00Z">
        <w:r>
          <w:rPr>
            <w:rStyle w:val="FootnoteReference"/>
          </w:rPr>
          <w:footnoteRef/>
        </w:r>
        <w:r>
          <w:t xml:space="preserve"> </w:t>
        </w:r>
        <w:r>
          <w:t xml:space="preserve">Hugo Mercier &amp; Dan Sperber, </w:t>
        </w:r>
        <w:r>
          <w:rPr>
            <w:i/>
          </w:rPr>
          <w:t>Why Do Humans Reason? Arguments for an Argumentative Theory</w:t>
        </w:r>
        <w:r>
          <w:t xml:space="preserve">, 34 </w:t>
        </w:r>
        <w:r>
          <w:rPr>
            <w:smallCaps/>
          </w:rPr>
          <w:t>Behav. &amp; Brain Sci.</w:t>
        </w:r>
        <w:r>
          <w:t xml:space="preserve"> 57, 66 (2011).</w:t>
        </w:r>
      </w:ins>
    </w:p>
  </w:footnote>
  <w:footnote w:id="823">
    <w:p w14:paraId="458841B3" w14:textId="184A4880" w:rsidR="00EE39F6" w:rsidRPr="005B3E31" w:rsidRDefault="00EE39F6" w:rsidP="003D74D8">
      <w:pPr>
        <w:pStyle w:val="FootnoteText"/>
        <w:spacing w:line="480" w:lineRule="auto"/>
        <w:rPr>
          <w:ins w:id="201779" w:author="Claude" w:date="2026-09-27T12:00:00Z"/>
          <w:color w:val="000000" w:themeColor="text1"/>
        </w:rPr>
      </w:pPr>
      <w:ins w:id="201766" w:author="Claude" w:date="2026-09-27T12:00:00Z">
        <w:r>
          <w:rPr>
            <w:rStyle w:val="FootnoteReference"/>
            <w:color w:val="000000" w:themeColor="text1"/>
          </w:rPr>
          <w:footnoteRef/>
        </w:r>
      </w:ins>
      <w:ins w:id="201767" w:author="Claude" w:date="2026-09-27T12:00:00Z">
        <w:r>
          <w:rPr>
            <w:color w:val="000000" w:themeColor="text1"/>
          </w:rPr>
          <w:t xml:space="preserve"> </w:t>
        </w:r>
      </w:ins>
      <w:ins w:id="201768" w:author="Claude" w:date="2026-09-27T12:00:00Z">
        <w:r>
          <w:rPr>
            <w:smallCaps/>
            <w:color w:val="000000" w:themeColor="text1"/>
          </w:rPr>
          <w:t>Zane</w:t>
        </w:r>
      </w:ins>
      <w:ins w:id="201769" w:author="Claude" w:date="2026-09-27T12:00:00Z">
        <w:r>
          <w:rPr>
            <w:color w:val="000000" w:themeColor="text1"/>
          </w:rPr>
          <w:t xml:space="preserve">, </w:t>
        </w:r>
      </w:ins>
      <w:ins w:id="201770" w:author="Claude" w:date="2026-09-27T12:00:00Z">
        <w:r>
          <w:rPr>
            <w:i/>
            <w:iCs/>
            <w:color w:val="000000" w:themeColor="text1"/>
          </w:rPr>
          <w:t>supra</w:t>
        </w:r>
      </w:ins>
      <w:ins w:id="201771" w:author="Claude" w:date="2026-09-27T12:00:00Z">
        <w:r>
          <w:rPr>
            <w:color w:val="000000" w:themeColor="text1"/>
          </w:rPr>
          <w:t xml:space="preserve"> note </w:t>
        </w:r>
      </w:ins>
      <w:ins w:id="201772" w:author="Claude" w:date="2026-09-27T12:00:00Z">
        <w:r>
          <w:rPr>
            <w:color w:val="000000" w:themeColor="text1"/>
          </w:rPr>
          <w:fldChar w:fldCharType="begin"/>
        </w:r>
      </w:ins>
      <w:ins w:id="201773" w:author="Claude" w:date="2026-09-27T12:00:00Z">
        <w:r>
          <w:rPr>
            <w:color w:val="000000" w:themeColor="text1"/>
          </w:rPr>
          <w:instrText xml:space="preserve"> NOTEREF _Ref222161048 \h  \* MERGEFORMAT </w:instrText>
        </w:r>
      </w:ins>
      <w:ins w:id="201774" w:author="Claude" w:date="2026-09-27T12:00:00Z">
        <w:r>
          <w:rPr>
            <w:color w:val="000000" w:themeColor="text1"/>
          </w:rPr>
        </w:r>
      </w:ins>
      <w:ins w:id="201775" w:author="Claude" w:date="2026-09-27T12:00:00Z">
        <w:r>
          <w:rPr>
            <w:color w:val="000000" w:themeColor="text1"/>
          </w:rPr>
          <w:fldChar w:fldCharType="separate"/>
        </w:r>
      </w:ins>
      <w:ins w:id="201776" w:author="Claude" w:date="2026-09-27T12:00:00Z">
        <w:r>
          <w:rPr>
            <w:color w:val="000000" w:themeColor="text1"/>
          </w:rPr>
          <w:t>29</w:t>
        </w:r>
      </w:ins>
      <w:ins w:id="201777" w:author="Claude" w:date="2026-09-27T12:00:00Z">
        <w:r>
          <w:rPr>
            <w:color w:val="000000" w:themeColor="text1"/>
          </w:rPr>
          <w:fldChar w:fldCharType="end"/>
        </w:r>
      </w:ins>
      <w:ins w:id="201778" w:author="Claude" w:date="2026-09-27T12:00:00Z">
        <w:r>
          <w:rPr>
            <w:color w:val="000000" w:themeColor="text1"/>
          </w:rPr>
          <w:t>, at 16.</w:t>
        </w:r>
      </w:ins>
    </w:p>
  </w:footnote>
  <w:footnote w:id="824">
    <w:p w14:paraId="4AABD765" w14:textId="0208FC64" w:rsidR="003E09AC" w:rsidRPr="005B3E31" w:rsidRDefault="003E09AC" w:rsidP="003D74D8">
      <w:pPr>
        <w:pStyle w:val="FootnoteText"/>
        <w:spacing w:line="480" w:lineRule="auto"/>
        <w:rPr>
          <w:ins w:id="201784" w:author="Claude" w:date="2026-09-27T12:00:00Z"/>
          <w:color w:val="000000" w:themeColor="text1"/>
        </w:rPr>
      </w:pPr>
      <w:ins w:id="201782" w:author="Claude" w:date="2026-09-27T12:00:00Z">
        <w:r>
          <w:rPr>
            <w:rStyle w:val="FootnoteReference"/>
            <w:color w:val="000000" w:themeColor="text1"/>
          </w:rPr>
          <w:footnoteRef/>
        </w:r>
      </w:ins>
      <w:ins w:id="201783" w:author="Claude" w:date="2026-09-27T12:00:00Z">
        <w:r>
          <w:rPr>
            <w:color w:val="000000" w:themeColor="text1"/>
          </w:rPr>
          <w:t xml:space="preserve"> This hypothetical is of my own creation, but the facts are very loosely based on historical records which are cited throughout this paragraph.</w:t>
        </w:r>
      </w:ins>
    </w:p>
  </w:footnote>
  <w:footnote w:id="825">
    <w:p w14:paraId="3D732385" w14:textId="40CA4778" w:rsidR="003E09AC" w:rsidRPr="005B3E31" w:rsidRDefault="003E09AC" w:rsidP="003D74D8">
      <w:pPr>
        <w:pStyle w:val="FootnoteText"/>
        <w:spacing w:line="480" w:lineRule="auto"/>
        <w:rPr>
          <w:ins w:id="201793" w:author="Claude" w:date="2026-09-27T12:00:00Z"/>
          <w:color w:val="000000" w:themeColor="text1"/>
        </w:rPr>
      </w:pPr>
      <w:ins w:id="201785" w:author="Claude" w:date="2026-09-27T12:00:00Z">
        <w:r>
          <w:rPr>
            <w:rStyle w:val="FootnoteReference"/>
            <w:color w:val="000000" w:themeColor="text1"/>
          </w:rPr>
          <w:footnoteRef/>
        </w:r>
      </w:ins>
      <w:ins w:id="201786" w:author="Claude" w:date="2026-09-27T12:00:00Z">
        <w:r>
          <w:rPr>
            <w:color w:val="000000" w:themeColor="text1"/>
          </w:rPr>
          <w:t xml:space="preserve"> M. B. Rowton, </w:t>
        </w:r>
      </w:ins>
      <w:ins w:id="201787" w:author="Claude" w:date="2026-09-27T12:00:00Z">
        <w:r>
          <w:rPr>
            <w:i/>
            <w:iCs/>
            <w:color w:val="000000" w:themeColor="text1"/>
          </w:rPr>
          <w:t>Watercourses and Water Rights in the Official Correspondence from Larsa and Isin</w:t>
        </w:r>
      </w:ins>
      <w:ins w:id="201788" w:author="Claude" w:date="2026-09-27T12:00:00Z">
        <w:r>
          <w:rPr>
            <w:color w:val="000000" w:themeColor="text1"/>
          </w:rPr>
          <w:t xml:space="preserve">, 21 J. </w:t>
        </w:r>
      </w:ins>
      <w:ins w:id="201789" w:author="Claude" w:date="2026-09-27T12:00:00Z">
        <w:r>
          <w:rPr>
            <w:smallCaps/>
            <w:color w:val="000000" w:themeColor="text1"/>
          </w:rPr>
          <w:t>Cuneiform Stud</w:t>
        </w:r>
      </w:ins>
      <w:ins w:id="201790" w:author="Claude" w:date="2026-09-27T12:00:00Z">
        <w:r>
          <w:rPr>
            <w:color w:val="000000" w:themeColor="text1"/>
          </w:rPr>
          <w:t xml:space="preserve">. 267, 269 (1967); </w:t>
        </w:r>
      </w:ins>
      <w:ins w:id="201791" w:author="Claude" w:date="2026-09-27T12:00:00Z">
        <w:r>
          <w:rPr>
            <w:smallCaps/>
            <w:color w:val="000000" w:themeColor="text1"/>
          </w:rPr>
          <w:t>Stanley D. Walters, Water for Larsa: An Old Babylonian Archive Dealing With Irrigation</w:t>
        </w:r>
      </w:ins>
      <w:ins w:id="201792" w:author="Claude" w:date="2026-09-27T12:00:00Z">
        <w:r>
          <w:rPr>
            <w:color w:val="000000" w:themeColor="text1"/>
          </w:rPr>
          <w:t xml:space="preserve"> 107–09 (1970).</w:t>
        </w:r>
      </w:ins>
    </w:p>
  </w:footnote>
  <w:footnote w:id="826">
    <w:p w14:paraId="0EDE0B62" w14:textId="2B249066" w:rsidR="00F6256E" w:rsidRPr="005B3E31" w:rsidRDefault="00F6256E" w:rsidP="003D74D8">
      <w:pPr>
        <w:pStyle w:val="FootnoteText"/>
        <w:spacing w:line="480" w:lineRule="auto"/>
        <w:rPr>
          <w:ins w:id="201798" w:author="Claude" w:date="2026-09-27T12:00:00Z"/>
          <w:color w:val="000000" w:themeColor="text1"/>
        </w:rPr>
      </w:pPr>
      <w:ins w:id="201794" w:author="Claude" w:date="2026-09-27T12:00:00Z">
        <w:r>
          <w:rPr>
            <w:rStyle w:val="FootnoteReference"/>
            <w:color w:val="000000" w:themeColor="text1"/>
          </w:rPr>
          <w:footnoteRef/>
        </w:r>
      </w:ins>
      <w:ins w:id="201795" w:author="Claude" w:date="2026-09-27T12:00:00Z">
        <w:r>
          <w:rPr>
            <w:color w:val="000000" w:themeColor="text1"/>
          </w:rPr>
          <w:t xml:space="preserve"> </w:t>
        </w:r>
      </w:ins>
      <w:ins w:id="201796" w:author="Claude" w:date="2026-09-27T12:00:00Z">
        <w:r>
          <w:rPr>
            <w:smallCaps/>
            <w:color w:val="000000" w:themeColor="text1"/>
          </w:rPr>
          <w:t>Klaas R. Veenhof, The Old Assyrian Period</w:t>
        </w:r>
      </w:ins>
      <w:ins w:id="201797" w:author="Claude" w:date="2026-09-27T12:00:00Z">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ins>
    </w:p>
  </w:footnote>
  <w:footnote w:id="827">
    <w:p w14:paraId="05267964" w14:textId="7A2B7C81" w:rsidR="003E09AC" w:rsidRPr="005B3E31" w:rsidRDefault="003E09AC" w:rsidP="003D74D8">
      <w:pPr>
        <w:pStyle w:val="FootnoteText"/>
        <w:spacing w:line="480" w:lineRule="auto"/>
        <w:rPr>
          <w:ins w:id="201811" w:author="Claude" w:date="2026-09-27T12:00:00Z"/>
          <w:color w:val="000000" w:themeColor="text1"/>
        </w:rPr>
      </w:pPr>
      <w:ins w:id="201799" w:author="Claude" w:date="2026-09-27T12:00:00Z">
        <w:r>
          <w:rPr>
            <w:rStyle w:val="FootnoteReference"/>
            <w:color w:val="000000" w:themeColor="text1"/>
          </w:rPr>
          <w:footnoteRef/>
        </w:r>
      </w:ins>
      <w:ins w:id="201800" w:author="Claude" w:date="2026-09-27T12:00:00Z">
        <w:r>
          <w:rPr>
            <w:color w:val="000000" w:themeColor="text1"/>
          </w:rPr>
          <w:t xml:space="preserve"> </w:t>
        </w:r>
      </w:ins>
      <w:ins w:id="201801" w:author="Claude" w:date="2026-09-27T12:00:00Z">
        <w:r>
          <w:rPr>
            <w:smallCaps/>
            <w:color w:val="000000" w:themeColor="text1"/>
          </w:rPr>
          <w:t>Pamela Barmash, The Laws of Hammurabi: At the Confluence of Royal and Scribal Traditions</w:t>
        </w:r>
      </w:ins>
      <w:ins w:id="201802" w:author="Claude" w:date="2026-09-27T12:00:00Z">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ins>
      <w:ins w:id="201803" w:author="Claude" w:date="2026-09-27T12:00:00Z">
        <w:r>
          <w:rPr>
            <w:i/>
            <w:iCs/>
            <w:color w:val="000000" w:themeColor="text1"/>
          </w:rPr>
          <w:t>see generally</w:t>
        </w:r>
      </w:ins>
      <w:ins w:id="201804" w:author="Claude" w:date="2026-09-27T12:00:00Z">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ins>
      <w:ins w:id="201805" w:author="Claude" w:date="2026-09-27T12:00:00Z">
        <w:r>
          <w:rPr>
            <w:i/>
            <w:iCs/>
            <w:color w:val="000000" w:themeColor="text1"/>
          </w:rPr>
          <w:t>see also</w:t>
        </w:r>
      </w:ins>
      <w:ins w:id="201806" w:author="Claude" w:date="2026-09-27T12:00:00Z">
        <w:r>
          <w:rPr>
            <w:color w:val="000000" w:themeColor="text1"/>
          </w:rPr>
          <w:t xml:space="preserve"> </w:t>
        </w:r>
      </w:ins>
      <w:ins w:id="201807" w:author="Claude" w:date="2026-09-27T12:00:00Z">
        <w:r>
          <w:rPr>
            <w:smallCaps/>
            <w:color w:val="000000" w:themeColor="text1"/>
          </w:rPr>
          <w:t>Dominique Charpin, Writing, Law, and Kingship in Old Babylonian Mesopotamia</w:t>
        </w:r>
      </w:ins>
      <w:ins w:id="201808" w:author="Claude" w:date="2026-09-27T12:00:00Z">
        <w:r>
          <w:rPr>
            <w:color w:val="000000" w:themeColor="text1"/>
          </w:rPr>
          <w:t xml:space="preserve"> 46–47 (Jane Marie Todd trans., 2010) (explaining oath procedures requiring divine invocation and risk of curse for perjury); </w:t>
        </w:r>
      </w:ins>
      <w:ins w:id="201809" w:author="Claude" w:date="2026-09-27T12:00:00Z">
        <w:r>
          <w:rPr>
            <w:smallCaps/>
            <w:color w:val="000000" w:themeColor="text1"/>
          </w:rPr>
          <w:t>Shalom E. Holtz, Neo-Babylonian Court Procedure</w:t>
        </w:r>
      </w:ins>
      <w:ins w:id="201810" w:author="Claude" w:date="2026-09-27T12:00:00Z">
        <w:r>
          <w:rPr>
            <w:color w:val="000000" w:themeColor="text1"/>
          </w:rPr>
          <w:t xml:space="preserve"> 199–210 (2009) (analyzing promissory oaths sworn before authorities with divine sanctions).</w:t>
        </w:r>
      </w:ins>
    </w:p>
  </w:footnote>
  <w:footnote w:id="828">
    <w:p w14:paraId="300B9D2A" w14:textId="715450F4" w:rsidR="003E09AC" w:rsidRPr="005B3E31" w:rsidRDefault="003E09AC" w:rsidP="003D74D8">
      <w:pPr>
        <w:pStyle w:val="FootnoteText"/>
        <w:spacing w:line="480" w:lineRule="auto"/>
        <w:rPr>
          <w:ins w:id="201818" w:author="Claude" w:date="2026-09-27T12:00:00Z"/>
          <w:color w:val="000000" w:themeColor="text1"/>
        </w:rPr>
      </w:pPr>
      <w:ins w:id="201812" w:author="Claude" w:date="2026-09-27T12:00:00Z">
        <w:r>
          <w:rPr>
            <w:rStyle w:val="FootnoteReference"/>
            <w:color w:val="000000" w:themeColor="text1"/>
          </w:rPr>
          <w:footnoteRef/>
        </w:r>
      </w:ins>
      <w:ins w:id="201813" w:author="Claude" w:date="2026-09-27T12:00:00Z">
        <w:r>
          <w:rPr>
            <w:color w:val="000000" w:themeColor="text1"/>
          </w:rPr>
          <w:t xml:space="preserve"> Thorkild Jacobsen, </w:t>
        </w:r>
      </w:ins>
      <w:ins w:id="201814" w:author="Claude" w:date="2026-09-27T12:00:00Z">
        <w:r>
          <w:rPr>
            <w:i/>
            <w:iCs/>
            <w:color w:val="000000" w:themeColor="text1"/>
          </w:rPr>
          <w:t>Primitive Democracy in Ancient Mesopotamia</w:t>
        </w:r>
      </w:ins>
      <w:ins w:id="201815" w:author="Claude" w:date="2026-09-27T12:00:00Z">
        <w:r>
          <w:rPr>
            <w:color w:val="000000" w:themeColor="text1"/>
          </w:rPr>
          <w:t xml:space="preserve">, 2 J. </w:t>
        </w:r>
      </w:ins>
      <w:ins w:id="201816" w:author="Claude" w:date="2026-09-27T12:00:00Z">
        <w:r>
          <w:rPr>
            <w:smallCaps/>
            <w:color w:val="000000" w:themeColor="text1"/>
          </w:rPr>
          <w:t>Near E. Stud</w:t>
        </w:r>
      </w:ins>
      <w:ins w:id="201817" w:author="Claude" w:date="2026-09-27T12:00:00Z">
        <w:r>
          <w:rPr>
            <w:color w:val="000000" w:themeColor="text1"/>
          </w:rPr>
          <w:t>. 159, 168 (1943).</w:t>
        </w:r>
      </w:ins>
    </w:p>
  </w:footnote>
  <w:footnote w:id="829">
    <w:p w14:paraId="489911B3" w14:textId="4AB296A7" w:rsidR="003E09AC" w:rsidRPr="005B3E31" w:rsidRDefault="003E09AC" w:rsidP="003D74D8">
      <w:pPr>
        <w:pStyle w:val="FootnoteText"/>
        <w:spacing w:line="480" w:lineRule="auto"/>
        <w:rPr>
          <w:ins w:id="201827" w:author="Claude" w:date="2026-09-27T12:00:00Z"/>
          <w:color w:val="000000" w:themeColor="text1"/>
        </w:rPr>
      </w:pPr>
      <w:ins w:id="201819" w:author="Claude" w:date="2026-09-27T12:00:00Z">
        <w:r>
          <w:rPr>
            <w:rStyle w:val="FootnoteReference"/>
            <w:color w:val="000000" w:themeColor="text1"/>
          </w:rPr>
          <w:footnoteRef/>
        </w:r>
      </w:ins>
      <w:ins w:id="201820" w:author="Claude" w:date="2026-09-27T12:00:00Z">
        <w:r>
          <w:rPr>
            <w:color w:val="000000" w:themeColor="text1"/>
          </w:rPr>
          <w:t xml:space="preserve"> </w:t>
        </w:r>
      </w:ins>
      <w:ins w:id="201821" w:author="Claude" w:date="2026-09-27T12:00:00Z">
        <w:r>
          <w:rPr>
            <w:smallCaps/>
            <w:color w:val="000000" w:themeColor="text1"/>
          </w:rPr>
          <w:t>Dominique Charpin, Hammurabi of Babylon</w:t>
        </w:r>
      </w:ins>
      <w:ins w:id="201822" w:author="Claude" w:date="2026-09-27T12:00:00Z">
        <w:r>
          <w:rPr>
            <w:color w:val="000000" w:themeColor="text1"/>
          </w:rPr>
          <w:t xml:space="preserve"> 107 (2012) (elders were the heads of the most influential families); Laura E. Culbertson, </w:t>
        </w:r>
      </w:ins>
      <w:ins w:id="201823" w:author="Claude" w:date="2026-09-27T12:00:00Z">
        <w:r>
          <w:rPr>
            <w:i/>
            <w:iCs/>
            <w:color w:val="000000" w:themeColor="text1"/>
          </w:rPr>
          <w:t>Dispute Resolution in the Provincial Courts of the Third Dynasty of Ur</w:t>
        </w:r>
      </w:ins>
      <w:ins w:id="201824" w:author="Claude" w:date="2026-09-27T12:00:00Z">
        <w:r>
          <w:rPr>
            <w:color w:val="000000" w:themeColor="text1"/>
          </w:rPr>
          <w:t xml:space="preserve"> 73, 75, 108 (2009) (unpublished Ph.D. dissertation, University of Michigan); </w:t>
        </w:r>
      </w:ins>
      <w:ins w:id="201825" w:author="Claude" w:date="2026-09-27T12:00:00Z">
        <w:r>
          <w:rPr>
            <w:smallCaps/>
            <w:color w:val="000000" w:themeColor="text1"/>
          </w:rPr>
          <w:t>W. F. Leemans, Old Babylonian Texts From Dilbat, Sippar, and Other Places</w:t>
        </w:r>
      </w:ins>
      <w:ins w:id="201826" w:author="Claude" w:date="2026-09-27T12:00:00Z">
        <w:r>
          <w:rPr>
            <w:color w:val="000000" w:themeColor="text1"/>
          </w:rPr>
          <w:t xml:space="preserve"> 91 (M. Stol ed., 2023) (documenting a field-boundary dispute settled by an arbiter and an oath sworn before a divine emblem).</w:t>
        </w:r>
      </w:ins>
    </w:p>
  </w:footnote>
  <w:footnote w:id="830">
    <w:p w14:paraId="3348D7C5" w14:textId="3815AFBC" w:rsidR="003E09AC" w:rsidRPr="005B3E31" w:rsidRDefault="003E09AC" w:rsidP="003D74D8">
      <w:pPr>
        <w:pStyle w:val="FootnoteText"/>
        <w:spacing w:line="480" w:lineRule="auto"/>
        <w:rPr>
          <w:ins w:id="201836" w:author="Claude" w:date="2026-09-27T12:00:00Z"/>
          <w:color w:val="000000" w:themeColor="text1"/>
        </w:rPr>
      </w:pPr>
      <w:ins w:id="201828" w:author="Claude" w:date="2026-09-27T12:00:00Z">
        <w:r>
          <w:rPr>
            <w:rStyle w:val="FootnoteReference"/>
            <w:color w:val="000000" w:themeColor="text1"/>
          </w:rPr>
          <w:footnoteRef/>
        </w:r>
      </w:ins>
      <w:ins w:id="201829" w:author="Claude" w:date="2026-09-27T12:00:00Z">
        <w:r>
          <w:rPr>
            <w:color w:val="000000" w:themeColor="text1"/>
          </w:rPr>
          <w:t xml:space="preserve"> Norman Yoffee, </w:t>
        </w:r>
      </w:ins>
      <w:ins w:id="201830" w:author="Claude" w:date="2026-09-27T12:00:00Z">
        <w:r>
          <w:rPr>
            <w:i/>
            <w:iCs/>
            <w:color w:val="000000" w:themeColor="text1"/>
          </w:rPr>
          <w:t>Law Courts and the Mediation of Social Conflict in Ancient Mesopotamia</w:t>
        </w:r>
      </w:ins>
      <w:ins w:id="201831" w:author="Claude" w:date="2026-09-27T12:00:00Z">
        <w:r>
          <w:rPr>
            <w:color w:val="000000" w:themeColor="text1"/>
          </w:rPr>
          <w:t xml:space="preserve">, </w:t>
        </w:r>
      </w:ins>
      <w:ins w:id="201832" w:author="Claude" w:date="2026-09-27T12:00:00Z">
        <w:r>
          <w:rPr>
            <w:i/>
            <w:iCs/>
            <w:color w:val="000000" w:themeColor="text1"/>
          </w:rPr>
          <w:t>in</w:t>
        </w:r>
      </w:ins>
      <w:ins w:id="201833" w:author="Claude" w:date="2026-09-27T12:00:00Z">
        <w:r>
          <w:rPr>
            <w:color w:val="000000" w:themeColor="text1"/>
          </w:rPr>
          <w:t xml:space="preserve"> </w:t>
        </w:r>
      </w:ins>
      <w:ins w:id="201834" w:author="Claude" w:date="2026-09-27T12:00:00Z">
        <w:r>
          <w:rPr>
            <w:smallCaps/>
            <w:color w:val="000000" w:themeColor="text1"/>
          </w:rPr>
          <w:t xml:space="preserve">Order, Legitimacy, and Wealth in Ancient States </w:t>
        </w:r>
      </w:ins>
      <w:ins w:id="201835" w:author="Claude" w:date="2026-09-27T12:00:00Z">
        <w:r>
          <w:rPr>
            <w:color w:val="000000" w:themeColor="text1"/>
          </w:rPr>
          <w:t>46, 48–58 (Janet Richards &amp; Mary Van Buren eds., 2000).</w:t>
        </w:r>
      </w:ins>
    </w:p>
  </w:footnote>
  <w:footnote w:id="831">
    <w:p w14:paraId="0C8A6EF2" w14:textId="27444EBA" w:rsidR="003E09AC" w:rsidRPr="005B3E31" w:rsidRDefault="003E09AC" w:rsidP="003D74D8">
      <w:pPr>
        <w:pStyle w:val="FootnoteText"/>
        <w:spacing w:line="480" w:lineRule="auto"/>
        <w:rPr>
          <w:ins w:id="201851" w:author="Claude" w:date="2026-09-27T12:00:00Z"/>
          <w:color w:val="000000" w:themeColor="text1"/>
        </w:rPr>
      </w:pPr>
      <w:ins w:id="201837" w:author="Claude" w:date="2026-09-27T12:00:00Z">
        <w:r>
          <w:rPr>
            <w:rStyle w:val="FootnoteReference"/>
            <w:color w:val="000000" w:themeColor="text1"/>
          </w:rPr>
          <w:footnoteRef/>
        </w:r>
      </w:ins>
      <w:ins w:id="201838" w:author="Claude" w:date="2026-09-27T12:00:00Z">
        <w:r>
          <w:rPr>
            <w:color w:val="000000" w:themeColor="text1"/>
          </w:rPr>
          <w:t xml:space="preserve"> Culbertson, infra note 18, at 69–78 (documenting from the ditila corpus that formal proceedings were memorialized in writing only after earlier stages); </w:t>
        </w:r>
      </w:ins>
      <w:ins w:id="201839" w:author="Claude" w:date="2026-09-27T12:00:00Z">
        <w:r>
          <w:rPr>
            <w:i/>
            <w:iCs/>
            <w:color w:val="000000" w:themeColor="text1"/>
          </w:rPr>
          <w:t>see also</w:t>
        </w:r>
      </w:ins>
      <w:ins w:id="201840" w:author="Claude" w:date="2026-09-27T12:00:00Z">
        <w:r>
          <w:rPr>
            <w:color w:val="000000" w:themeColor="text1"/>
          </w:rPr>
          <w:t> Itzchak E. Kornfeld, </w:t>
        </w:r>
      </w:ins>
      <w:ins w:id="201841" w:author="Claude" w:date="2026-09-27T12:00:00Z">
        <w:r>
          <w:rPr>
            <w:i/>
            <w:iCs/>
            <w:color w:val="000000" w:themeColor="text1"/>
          </w:rPr>
          <w:t>Mesopotamia: A History of Water and Law</w:t>
        </w:r>
      </w:ins>
      <w:ins w:id="201842" w:author="Claude" w:date="2026-09-27T12:00:00Z">
        <w:r>
          <w:rPr>
            <w:color w:val="000000" w:themeColor="text1"/>
          </w:rPr>
          <w:t>, </w:t>
        </w:r>
      </w:ins>
      <w:ins w:id="201843" w:author="Claude" w:date="2026-09-27T12:00:00Z">
        <w:r>
          <w:rPr>
            <w:i/>
            <w:iCs/>
            <w:color w:val="000000" w:themeColor="text1"/>
          </w:rPr>
          <w:t>in</w:t>
        </w:r>
      </w:ins>
      <w:ins w:id="201844" w:author="Claude" w:date="2026-09-27T12:00:00Z">
        <w:r>
          <w:rPr>
            <w:color w:val="000000" w:themeColor="text1"/>
          </w:rPr>
          <w:t> </w:t>
        </w:r>
      </w:ins>
      <w:ins w:id="201845" w:author="Claude" w:date="2026-09-27T12:00:00Z">
        <w:r>
          <w:rPr>
            <w:smallCaps/>
            <w:color w:val="000000" w:themeColor="text1"/>
          </w:rPr>
          <w:t>The Evolution of the Law and Politics of Water</w:t>
        </w:r>
      </w:ins>
      <w:ins w:id="201846" w:author="Claude" w:date="2026-09-27T12:00:00Z">
        <w:r>
          <w:rPr>
            <w:color w:val="000000" w:themeColor="text1"/>
          </w:rPr>
          <w:t xml:space="preserve"> 21, 23, 33 (Joseph W. Dellapenna &amp; Joyeeta Gupta eds., 2009) (noting compensatory rather than punitive nature of water dispute remedies); </w:t>
        </w:r>
      </w:ins>
      <w:ins w:id="201847" w:author="Claude" w:date="2026-09-27T12:00:00Z">
        <w:r>
          <w:rPr>
            <w:smallCaps/>
            <w:color w:val="000000" w:themeColor="text1"/>
          </w:rPr>
          <w:t>Judicial Decisions in the Ancient Near East</w:t>
        </w:r>
      </w:ins>
      <w:ins w:id="201848" w:author="Claude" w:date="2026-09-27T12:00:00Z">
        <w:r>
          <w:rPr>
            <w:color w:val="000000" w:themeColor="text1"/>
          </w:rPr>
          <w:t xml:space="preserve"> 383–88 (Sophie Démare-Lafont &amp; Daniel E. Fleming eds., 2023) (documenting progression from local to royal jurisdiction); </w:t>
        </w:r>
      </w:ins>
      <w:ins w:id="201849" w:author="Claude" w:date="2026-09-27T12:00:00Z">
        <w:r>
          <w:rPr>
            <w:smallCaps/>
            <w:color w:val="000000" w:themeColor="text1"/>
          </w:rPr>
          <w:t>Martha T. Roth, Law Collections From Mesopotamia and Asia Minor</w:t>
        </w:r>
      </w:ins>
      <w:ins w:id="201850" w:author="Claude" w:date="2026-09-27T12:00:00Z">
        <w:r>
          <w:rPr>
            <w:color w:val="000000" w:themeColor="text1"/>
          </w:rPr>
          <w:t xml:space="preserve"> 91–92 (2d ed. 1997) (¶¶53–56 deal with irrigation offenses).</w:t>
        </w:r>
      </w:ins>
    </w:p>
  </w:footnote>
  <w:footnote w:id="832">
    <w:p w14:paraId="50CEDD91" w14:textId="48CF5F83" w:rsidR="006E1CB3" w:rsidRPr="005B3E31" w:rsidRDefault="006E1CB3" w:rsidP="003D74D8">
      <w:pPr>
        <w:pStyle w:val="FootnoteText"/>
        <w:spacing w:line="480" w:lineRule="auto"/>
        <w:rPr>
          <w:ins w:id="201874" w:author="Claude" w:date="2026-09-27T12:00:00Z"/>
          <w:color w:val="000000" w:themeColor="text1"/>
        </w:rPr>
      </w:pPr>
      <w:ins w:id="201870" w:author="Claude" w:date="2026-09-27T12:00:00Z">
        <w:r>
          <w:rPr>
            <w:rStyle w:val="FootnoteReference"/>
            <w:color w:val="000000" w:themeColor="text1"/>
          </w:rPr>
          <w:footnoteRef/>
        </w:r>
      </w:ins>
      <w:ins w:id="201871" w:author="Claude" w:date="2026-09-27T12:00:00Z">
        <w:r>
          <w:rPr>
            <w:color w:val="000000" w:themeColor="text1"/>
          </w:rPr>
          <w:t xml:space="preserve"> </w:t>
        </w:r>
      </w:ins>
      <w:ins w:id="201872" w:author="Claude" w:date="2026-09-27T12:00:00Z">
        <w:r>
          <w:rPr>
            <w:smallCaps/>
            <w:color w:val="000000" w:themeColor="text1"/>
          </w:rPr>
          <w:t>Fernanda Pirie, The Rule of Laws: A 4000-year Quest to Order the World</w:t>
        </w:r>
      </w:ins>
      <w:ins w:id="201873" w:author="Claude" w:date="2026-09-27T12:00:00Z">
        <w:r>
          <w:rPr>
            <w:color w:val="000000" w:themeColor="text1"/>
          </w:rPr>
          <w:t>, chapter 11 (my book does not have page numbers).</w:t>
        </w:r>
      </w:ins>
    </w:p>
  </w:footnote>
  <w:footnote w:id="833">
    <w:p w14:paraId="18B4691A" w14:textId="744693C2" w:rsidR="00254412" w:rsidRPr="005B3E31" w:rsidRDefault="00254412" w:rsidP="003D74D8">
      <w:pPr>
        <w:pStyle w:val="FootnoteText"/>
        <w:spacing w:line="480" w:lineRule="auto"/>
        <w:rPr>
          <w:ins w:id="201894" w:author="Claude" w:date="2026-09-27T12:00:00Z"/>
          <w:color w:val="000000" w:themeColor="text1"/>
        </w:rPr>
      </w:pPr>
      <w:ins w:id="201879" w:author="Claude" w:date="2026-09-27T12:00:00Z">
        <w:r>
          <w:rPr>
            <w:rStyle w:val="FootnoteReference"/>
            <w:color w:val="000000" w:themeColor="text1"/>
          </w:rPr>
          <w:footnoteRef/>
        </w:r>
      </w:ins>
      <w:ins w:id="201880" w:author="Claude" w:date="2026-09-27T12:00:00Z">
        <w:r>
          <w:rPr>
            <w:smallCaps/>
            <w:color w:val="000000" w:themeColor="text1"/>
          </w:rPr>
          <w:t>Pirie</w:t>
        </w:r>
      </w:ins>
      <w:ins w:id="201881" w:author="Claude" w:date="2026-09-27T12:00:00Z">
        <w:r>
          <w:rPr>
            <w:color w:val="000000" w:themeColor="text1"/>
          </w:rPr>
          <w:t xml:space="preserve">, </w:t>
        </w:r>
      </w:ins>
      <w:ins w:id="201882" w:author="Claude" w:date="2026-09-27T12:00:00Z">
        <w:r>
          <w:rPr>
            <w:i/>
            <w:iCs/>
            <w:color w:val="000000" w:themeColor="text1"/>
          </w:rPr>
          <w:t>supra</w:t>
        </w:r>
      </w:ins>
      <w:ins w:id="201883" w:author="Claude" w:date="2026-09-27T12:00:00Z">
        <w:r>
          <w:rPr>
            <w:color w:val="000000" w:themeColor="text1"/>
          </w:rPr>
          <w:t xml:space="preserve"> note </w:t>
        </w:r>
      </w:ins>
      <w:ins w:id="201884" w:author="Claude" w:date="2026-09-27T12:00:00Z">
        <w:r>
          <w:rPr>
            <w:color w:val="000000" w:themeColor="text1"/>
          </w:rPr>
          <w:fldChar w:fldCharType="begin"/>
        </w:r>
      </w:ins>
      <w:ins w:id="201885" w:author="Claude" w:date="2026-09-27T12:00:00Z">
        <w:r>
          <w:rPr>
            <w:color w:val="000000" w:themeColor="text1"/>
          </w:rPr>
          <w:instrText xml:space="preserve"> NOTEREF _Ref221994663 \h  \* MERGEFORMAT </w:instrText>
        </w:r>
      </w:ins>
      <w:ins w:id="201886" w:author="Claude" w:date="2026-09-27T12:00:00Z">
        <w:r>
          <w:rPr>
            <w:color w:val="000000" w:themeColor="text1"/>
          </w:rPr>
        </w:r>
      </w:ins>
      <w:ins w:id="201887" w:author="Claude" w:date="2026-09-27T12:00:00Z">
        <w:r>
          <w:rPr>
            <w:color w:val="000000" w:themeColor="text1"/>
          </w:rPr>
          <w:fldChar w:fldCharType="separate"/>
        </w:r>
      </w:ins>
      <w:ins w:id="201888" w:author="Claude" w:date="2026-09-27T12:00:00Z">
        <w:r>
          <w:rPr>
            <w:color w:val="000000" w:themeColor="text1"/>
          </w:rPr>
          <w:t>21</w:t>
        </w:r>
      </w:ins>
      <w:ins w:id="201889" w:author="Claude" w:date="2026-09-27T12:00:00Z">
        <w:r>
          <w:rPr>
            <w:color w:val="000000" w:themeColor="text1"/>
          </w:rPr>
          <w:fldChar w:fldCharType="end"/>
        </w:r>
      </w:ins>
      <w:ins w:id="201890" w:author="Claude" w:date="2026-09-27T12:00:00Z">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ins>
      <w:ins w:id="201891" w:author="Claude" w:date="2026-09-27T12:00:00Z">
        <w:r>
          <w:rPr>
            <w:smallCaps/>
            <w:color w:val="000000" w:themeColor="text1"/>
          </w:rPr>
          <w:t xml:space="preserve">John Maxcy Zane, </w:t>
        </w:r>
      </w:ins>
      <w:ins w:id="201892" w:author="Claude" w:date="2026-09-27T12:00:00Z">
        <w:r>
          <w:rPr>
            <w:i/>
            <w:iCs/>
            <w:smallCaps/>
            <w:color w:val="000000" w:themeColor="text1"/>
          </w:rPr>
          <w:t>The Story of Law</w:t>
        </w:r>
      </w:ins>
      <w:ins w:id="201893" w:author="Claude" w:date="2026-09-27T12:00:00Z">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ins>
    </w:p>
  </w:footnote>
  <w:footnote w:id="834">
    <w:p w14:paraId="616E11D5" w14:textId="7352A697" w:rsidR="007219E6" w:rsidRPr="005B3E31" w:rsidRDefault="00000000" w:rsidP="003D74D8">
      <w:pPr>
        <w:pStyle w:val="FootnoteText"/>
        <w:spacing w:line="480" w:lineRule="auto"/>
        <w:rPr>
          <w:ins w:id="201899" w:author="Claude" w:date="2026-09-27T12:00:00Z"/>
          <w:color w:val="000000" w:themeColor="text1"/>
        </w:rPr>
      </w:pPr>
      <w:ins w:id="201895" w:author="Claude" w:date="2026-09-27T12:00:00Z">
        <w:r>
          <w:rPr>
            <w:rStyle w:val="FootnoteReference"/>
            <w:color w:val="000000" w:themeColor="text1"/>
          </w:rPr>
          <w:footnoteRef/>
        </w:r>
      </w:ins>
      <w:ins w:id="201896" w:author="Claude" w:date="2026-09-27T12:00:00Z">
        <w:r>
          <w:rPr>
            <w:color w:val="000000" w:themeColor="text1"/>
          </w:rPr>
          <w:t xml:space="preserve"> </w:t>
        </w:r>
      </w:ins>
      <w:ins w:id="201897" w:author="Claude" w:date="2026-09-27T12:00:00Z">
        <w:r>
          <w:rPr>
            <w:i/>
            <w:iCs/>
            <w:color w:val="000000" w:themeColor="text1"/>
          </w:rPr>
          <w:t>See infra</w:t>
        </w:r>
      </w:ins>
      <w:ins w:id="201898" w:author="Claude" w:date="2026-09-27T12:00:00Z">
        <w:r>
          <w:rPr>
            <w:color w:val="000000" w:themeColor="text1"/>
          </w:rPr>
          <w:t xml:space="preserve"> notes 34, 41, 43 and accompanying text.</w:t>
        </w:r>
      </w:ins>
    </w:p>
  </w:footnote>
  <w:footnote w:id="835">
    <w:p w14:paraId="420D0346" w14:textId="44CDEF82" w:rsidR="000F5FFF" w:rsidRPr="005B3E31" w:rsidRDefault="000F5FFF" w:rsidP="003D74D8">
      <w:pPr>
        <w:pStyle w:val="FootnoteText"/>
        <w:spacing w:line="480" w:lineRule="auto"/>
        <w:rPr>
          <w:ins w:id="201904" w:author="Claude" w:date="2026-09-27T12:00:00Z"/>
          <w:color w:val="000000" w:themeColor="text1"/>
        </w:rPr>
      </w:pPr>
      <w:ins w:id="201900" w:author="Claude" w:date="2026-09-27T12:00:00Z">
        <w:r>
          <w:rPr>
            <w:rStyle w:val="FootnoteReference"/>
            <w:color w:val="000000" w:themeColor="text1"/>
          </w:rPr>
          <w:footnoteRef/>
        </w:r>
      </w:ins>
      <w:ins w:id="201901" w:author="Claude" w:date="2026-09-27T12:00:00Z">
        <w:r>
          <w:rPr>
            <w:color w:val="000000" w:themeColor="text1"/>
          </w:rPr>
          <w:t xml:space="preserve"> </w:t>
        </w:r>
      </w:ins>
      <w:ins w:id="201902" w:author="Claude" w:date="2026-09-27T12:00:00Z">
        <w:r>
          <w:rPr>
            <w:smallCaps/>
            <w:color w:val="000000" w:themeColor="text1"/>
          </w:rPr>
          <w:t>James A. Brundage, The Medieval Origins of the Legal Profession</w:t>
        </w:r>
      </w:ins>
      <w:ins w:id="201903" w:author="Claude" w:date="2026-09-27T12:00:00Z">
        <w:r>
          <w:rPr>
            <w:color w:val="000000" w:themeColor="text1"/>
          </w:rPr>
          <w:t xml:space="preserve"> 28 (Univ. of Chicago Press 2008).</w:t>
        </w:r>
      </w:ins>
    </w:p>
  </w:footnote>
  <w:footnote w:id="836">
    <w:p w14:paraId="084379F6" w14:textId="77777777" w:rsidR="000F5FFF" w:rsidRPr="005B3E31" w:rsidRDefault="000F5FFF" w:rsidP="003D74D8">
      <w:pPr>
        <w:pStyle w:val="FootnoteText"/>
        <w:spacing w:line="480" w:lineRule="auto"/>
        <w:rPr>
          <w:ins w:id="201909" w:author="Claude" w:date="2026-09-27T12:00:00Z"/>
        </w:rPr>
      </w:pPr>
      <w:ins w:id="201905" w:author="Claude" w:date="2026-09-27T12:00:00Z">
        <w:r>
          <w:rPr>
            <w:rStyle w:val="FootnoteReference"/>
          </w:rPr>
          <w:footnoteRef/>
        </w:r>
      </w:ins>
      <w:ins w:id="201906" w:author="Claude" w:date="2026-09-27T12:00:00Z">
        <w:r>
          <w:t xml:space="preserve"> </w:t>
        </w:r>
      </w:ins>
      <w:ins w:id="201907" w:author="Claude" w:date="2026-09-27T12:00:00Z">
        <w:r>
          <w:rPr>
            <w:i/>
            <w:iCs/>
          </w:rPr>
          <w:t>Id.</w:t>
        </w:r>
      </w:ins>
      <w:ins w:id="201908" w:author="Claude" w:date="2026-09-27T12:00:00Z">
        <w:r>
          <w:t xml:space="preserve"> at 28. </w:t>
        </w:r>
      </w:ins>
    </w:p>
  </w:footnote>
  <w:footnote w:id="837">
    <w:p w14:paraId="1FAA8A91" w14:textId="2B6A236C" w:rsidR="000F5FFF" w:rsidRPr="005B3E31" w:rsidRDefault="000F5FFF" w:rsidP="003D74D8">
      <w:pPr>
        <w:pStyle w:val="FootnoteText"/>
        <w:spacing w:line="480" w:lineRule="auto"/>
        <w:rPr>
          <w:ins w:id="201914" w:author="Claude" w:date="2026-09-27T12:00:00Z"/>
          <w:color w:val="000000" w:themeColor="text1"/>
        </w:rPr>
      </w:pPr>
      <w:ins w:id="201910" w:author="Claude" w:date="2026-09-27T12:00:00Z">
        <w:r>
          <w:rPr>
            <w:rStyle w:val="FootnoteReference"/>
            <w:color w:val="000000" w:themeColor="text1"/>
          </w:rPr>
          <w:footnoteRef/>
        </w:r>
      </w:ins>
      <w:ins w:id="201911" w:author="Claude" w:date="2026-09-27T12:00:00Z">
        <w:r>
          <w:rPr>
            <w:color w:val="000000" w:themeColor="text1"/>
          </w:rPr>
          <w:t xml:space="preserve"> </w:t>
        </w:r>
      </w:ins>
      <w:ins w:id="201912" w:author="Claude" w:date="2026-09-27T12:00:00Z">
        <w:r>
          <w:rPr>
            <w:i/>
            <w:iCs/>
            <w:color w:val="000000" w:themeColor="text1"/>
          </w:rPr>
          <w:t>Id.</w:t>
        </w:r>
      </w:ins>
      <w:ins w:id="201913" w:author="Claude" w:date="2026-09-27T12:00:00Z">
        <w:r>
          <w:rPr>
            <w:color w:val="000000" w:themeColor="text1"/>
          </w:rPr>
          <w:t xml:space="preserve"> at 444.</w:t>
        </w:r>
      </w:ins>
    </w:p>
  </w:footnote>
  <w:footnote w:id="838">
    <w:p w14:paraId="5247A477" w14:textId="77777777" w:rsidR="007219E6" w:rsidRPr="005B3E31" w:rsidRDefault="00000000" w:rsidP="003D74D8">
      <w:pPr>
        <w:pStyle w:val="FootnoteText"/>
        <w:spacing w:line="480" w:lineRule="auto"/>
        <w:rPr>
          <w:ins w:id="201927" w:author="Claude" w:date="2026-09-27T12:00:00Z"/>
          <w:color w:val="000000" w:themeColor="text1"/>
        </w:rPr>
      </w:pPr>
      <w:ins w:id="201921" w:author="Claude" w:date="2026-09-27T12:00:00Z">
        <w:r>
          <w:rPr>
            <w:rStyle w:val="FootnoteReference"/>
            <w:color w:val="000000" w:themeColor="text1"/>
          </w:rPr>
          <w:footnoteRef/>
        </w:r>
      </w:ins>
      <w:ins w:id="201922" w:author="Claude" w:date="2026-09-27T12:00:00Z">
        <w:r>
          <w:rPr>
            <w:color w:val="000000" w:themeColor="text1"/>
          </w:rPr>
          <w:t xml:space="preserve"> </w:t>
        </w:r>
      </w:ins>
      <w:ins w:id="201923" w:author="Claude" w:date="2026-09-27T12:00:00Z">
        <w:r>
          <w:rPr>
            <w:i/>
            <w:iCs/>
            <w:color w:val="000000" w:themeColor="text1"/>
          </w:rPr>
          <w:t>See infra</w:t>
        </w:r>
      </w:ins>
      <w:ins w:id="201924" w:author="Claude" w:date="2026-09-27T12:00:00Z">
        <w:r>
          <w:rPr>
            <w:color w:val="000000" w:themeColor="text1"/>
          </w:rPr>
          <w:t xml:space="preserve"> Section IV; </w:t>
        </w:r>
      </w:ins>
      <w:ins w:id="201925" w:author="Claude" w:date="2026-09-27T12:00:00Z">
        <w:r>
          <w:rPr>
            <w:i/>
            <w:iCs/>
            <w:color w:val="000000" w:themeColor="text1"/>
          </w:rPr>
          <w:t>see infra</w:t>
        </w:r>
      </w:ins>
      <w:ins w:id="201926" w:author="Claude" w:date="2026-09-27T12:00:00Z">
        <w:r>
          <w:rPr>
            <w:color w:val="000000" w:themeColor="text1"/>
          </w:rPr>
          <w:t xml:space="preserve"> Section V.F.</w:t>
        </w:r>
      </w:ins>
    </w:p>
  </w:footnote>
  <w:footnote w:id="839">
    <w:p w14:paraId="57657C36" w14:textId="378D3855" w:rsidR="00254412" w:rsidRPr="005B3E31" w:rsidRDefault="00254412" w:rsidP="003D74D8">
      <w:pPr>
        <w:pStyle w:val="FootnoteText"/>
        <w:spacing w:line="480" w:lineRule="auto"/>
        <w:rPr>
          <w:ins w:id="201953" w:author="Claude" w:date="2026-09-27T12:00:00Z"/>
          <w:color w:val="000000" w:themeColor="text1"/>
        </w:rPr>
      </w:pPr>
      <w:ins w:id="201930" w:author="Claude" w:date="2026-09-27T12:00:00Z">
        <w:r>
          <w:rPr>
            <w:rStyle w:val="FootnoteReference"/>
            <w:color w:val="000000" w:themeColor="text1"/>
          </w:rPr>
          <w:footnoteRef/>
        </w:r>
      </w:ins>
      <w:ins w:id="201931" w:author="Claude" w:date="2026-09-27T12:00:00Z">
        <w:r>
          <w:rPr>
            <w:color w:val="000000" w:themeColor="text1"/>
          </w:rPr>
          <w:t xml:space="preserve"> </w:t>
        </w:r>
      </w:ins>
      <w:ins w:id="201932" w:author="Claude" w:date="2026-09-27T12:00:00Z">
        <w:r>
          <w:rPr>
            <w:smallCaps/>
            <w:color w:val="000000" w:themeColor="text1"/>
          </w:rPr>
          <w:t>Fernanda Pirie</w:t>
        </w:r>
      </w:ins>
      <w:ins w:id="201933" w:author="Claude" w:date="2026-09-27T12:00:00Z">
        <w:r>
          <w:rPr>
            <w:i/>
            <w:smallCaps/>
            <w:color w:val="000000" w:themeColor="text1"/>
          </w:rPr>
          <w:t xml:space="preserve">, </w:t>
        </w:r>
      </w:ins>
      <w:ins w:id="201934" w:author="Claude" w:date="2026-09-27T12:00:00Z">
        <w:r>
          <w:rPr>
            <w:iCs/>
            <w:smallCaps/>
            <w:color w:val="000000" w:themeColor="text1"/>
          </w:rPr>
          <w:t>The Anthropology of Law</w:t>
        </w:r>
      </w:ins>
      <w:ins w:id="201935" w:author="Claude" w:date="2026-09-27T12:00:00Z">
        <w:r>
          <w:rPr>
            <w:iCs/>
            <w:color w:val="000000" w:themeColor="text1"/>
          </w:rPr>
          <w:t xml:space="preserve"> 143 (2013); Comaroff &amp; Roberts, infra note 382, at 108</w:t>
        </w:r>
      </w:ins>
      <w:ins w:id="201936" w:author="Claude" w:date="2026-09-27T12:00:00Z">
        <w:r>
          <w:rPr>
            <w:color w:val="000000" w:themeColor="text1"/>
          </w:rPr>
          <w:fldChar w:fldCharType="begin"/>
        </w:r>
      </w:ins>
      <w:ins w:id="201937" w:author="Claude" w:date="2026-09-27T12:00:00Z">
        <w:r>
          <w:rPr>
            <w:color w:val="000000" w:themeColor="text1"/>
          </w:rPr>
          <w:instrText xml:space="preserve"> NOTEREF _Ref218967994 \h  \* MERGEFORMAT </w:instrText>
        </w:r>
      </w:ins>
      <w:ins w:id="201938" w:author="Claude" w:date="2026-09-27T12:00:00Z">
        <w:r>
          <w:rPr>
            <w:color w:val="000000" w:themeColor="text1"/>
          </w:rPr>
        </w:r>
      </w:ins>
      <w:ins w:id="201939" w:author="Claude" w:date="2026-09-27T12:00:00Z">
        <w:r>
          <w:rPr>
            <w:color w:val="000000" w:themeColor="text1"/>
          </w:rPr>
          <w:fldChar w:fldCharType="separate"/>
        </w:r>
      </w:ins>
      <w:ins w:id="201940" w:author="Claude" w:date="2026-09-27T12:00:00Z">
        <w:r>
          <w:rPr>
            <w:color w:val="000000" w:themeColor="text1"/>
          </w:rPr>
          <w:fldChar w:fldCharType="end"/>
        </w:r>
      </w:ins>
      <w:ins w:id="201941" w:author="Claude" w:date="2026-09-27T12:00:00Z">
        <w:r>
          <w:rPr>
            <w:color w:val="000000" w:themeColor="text1"/>
          </w:rPr>
          <w:t xml:space="preserve">; </w:t>
        </w:r>
      </w:ins>
      <w:ins w:id="201942" w:author="Claude" w:date="2026-09-27T12:00:00Z">
        <w:r>
          <w:rPr>
            <w:smallCaps/>
            <w:color w:val="000000" w:themeColor="text1"/>
          </w:rPr>
          <w:t>Pirie</w:t>
        </w:r>
      </w:ins>
      <w:ins w:id="201943" w:author="Claude" w:date="2026-09-27T12:00:00Z">
        <w:r>
          <w:rPr>
            <w:color w:val="000000" w:themeColor="text1"/>
          </w:rPr>
          <w:t xml:space="preserve">, </w:t>
        </w:r>
      </w:ins>
      <w:ins w:id="201944" w:author="Claude" w:date="2026-09-27T12:00:00Z">
        <w:r>
          <w:rPr>
            <w:i/>
            <w:iCs/>
            <w:color w:val="000000" w:themeColor="text1"/>
          </w:rPr>
          <w:t>supra</w:t>
        </w:r>
      </w:ins>
      <w:ins w:id="201945" w:author="Claude" w:date="2026-09-27T12:00:00Z">
        <w:r>
          <w:rPr>
            <w:color w:val="000000" w:themeColor="text1"/>
          </w:rPr>
          <w:t xml:space="preserve"> note </w:t>
        </w:r>
      </w:ins>
      <w:ins w:id="201946" w:author="Claude" w:date="2026-09-27T12:00:00Z">
        <w:r>
          <w:rPr>
            <w:color w:val="000000" w:themeColor="text1"/>
          </w:rPr>
          <w:fldChar w:fldCharType="begin"/>
        </w:r>
      </w:ins>
      <w:ins w:id="201947" w:author="Claude" w:date="2026-09-27T12:00:00Z">
        <w:r>
          <w:rPr>
            <w:color w:val="000000" w:themeColor="text1"/>
          </w:rPr>
          <w:instrText xml:space="preserve"> NOTEREF _Ref221994663 \h  \* MERGEFORMAT </w:instrText>
        </w:r>
      </w:ins>
      <w:ins w:id="201948" w:author="Claude" w:date="2026-09-27T12:00:00Z">
        <w:r>
          <w:rPr>
            <w:color w:val="000000" w:themeColor="text1"/>
          </w:rPr>
        </w:r>
      </w:ins>
      <w:ins w:id="201949" w:author="Claude" w:date="2026-09-27T12:00:00Z">
        <w:r>
          <w:rPr>
            <w:color w:val="000000" w:themeColor="text1"/>
          </w:rPr>
          <w:fldChar w:fldCharType="separate"/>
        </w:r>
      </w:ins>
      <w:ins w:id="201950" w:author="Claude" w:date="2026-09-27T12:00:00Z">
        <w:r>
          <w:rPr>
            <w:color w:val="000000" w:themeColor="text1"/>
          </w:rPr>
          <w:t>21</w:t>
        </w:r>
      </w:ins>
      <w:ins w:id="201951" w:author="Claude" w:date="2026-09-27T12:00:00Z">
        <w:r>
          <w:rPr>
            <w:color w:val="000000" w:themeColor="text1"/>
          </w:rPr>
          <w:fldChar w:fldCharType="end"/>
        </w:r>
      </w:ins>
      <w:ins w:id="201952" w:author="Claude" w:date="2026-09-27T12:00:00Z">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ins>
    </w:p>
  </w:footnote>
  <w:footnote w:id="840">
    <w:p w14:paraId="1DEF1AAA" w14:textId="5734A523" w:rsidR="00EC1600" w:rsidRPr="005B3E31" w:rsidRDefault="00EC1600" w:rsidP="003D74D8">
      <w:pPr>
        <w:pStyle w:val="FootnoteText"/>
        <w:spacing w:line="480" w:lineRule="auto"/>
        <w:rPr>
          <w:ins w:id="201958" w:author="Claude" w:date="2026-09-27T12:00:00Z"/>
          <w:color w:val="000000" w:themeColor="text1"/>
        </w:rPr>
      </w:pPr>
      <w:ins w:id="201954" w:author="Claude" w:date="2026-09-27T12:00:00Z">
        <w:r>
          <w:rPr>
            <w:rStyle w:val="FootnoteReference"/>
            <w:color w:val="000000" w:themeColor="text1"/>
          </w:rPr>
          <w:footnoteRef/>
        </w:r>
      </w:ins>
      <w:ins w:id="201955" w:author="Claude" w:date="2026-09-27T12:00:00Z">
        <w:r>
          <w:rPr>
            <w:color w:val="000000" w:themeColor="text1"/>
          </w:rPr>
          <w:t xml:space="preserve"> McRitchue v. Zuckerverg</w:t>
        </w:r>
      </w:ins>
      <w:ins w:id="201956" w:author="Claude" w:date="2026-09-27T12:00:00Z">
        <w:r>
          <w:rPr>
            <w:smallCaps/>
            <w:color w:val="000000" w:themeColor="text1"/>
          </w:rPr>
          <w:t xml:space="preserve"> C.A. No. 2022-0890-jtl</w:t>
        </w:r>
      </w:ins>
      <w:ins w:id="201957" w:author="Claude" w:date="2026-09-27T12:00:00Z">
        <w:r>
          <w:rPr>
            <w:color w:val="000000" w:themeColor="text1"/>
          </w:rPr>
          <w:t xml:space="preserve">. </w:t>
        </w:r>
      </w:ins>
    </w:p>
  </w:footnote>
  <w:footnote w:id="841">
    <w:p w14:paraId="6B5B1355" w14:textId="77777777" w:rsidR="00254412" w:rsidRPr="005B3E31" w:rsidRDefault="00254412" w:rsidP="003D74D8">
      <w:pPr>
        <w:pStyle w:val="FootnoteText"/>
        <w:spacing w:line="480" w:lineRule="auto"/>
        <w:rPr>
          <w:ins w:id="201965" w:author="Claude" w:date="2026-09-27T12:00:00Z"/>
          <w:color w:val="000000" w:themeColor="text1"/>
        </w:rPr>
      </w:pPr>
      <w:ins w:id="201959" w:author="Claude" w:date="2026-09-27T12:00:00Z">
        <w:r>
          <w:rPr>
            <w:rStyle w:val="FootnoteReference"/>
            <w:color w:val="000000" w:themeColor="text1"/>
          </w:rPr>
          <w:footnoteRef/>
        </w:r>
      </w:ins>
      <w:ins w:id="201960" w:author="Claude" w:date="2026-09-27T12:00:00Z">
        <w:r>
          <w:rPr>
            <w:color w:val="000000" w:themeColor="text1"/>
          </w:rPr>
          <w:t xml:space="preserve"> Peter T. Leeson, </w:t>
        </w:r>
      </w:ins>
      <w:ins w:id="201961" w:author="Claude" w:date="2026-09-27T12:00:00Z">
        <w:r>
          <w:rPr>
            <w:i/>
            <w:iCs/>
            <w:color w:val="000000" w:themeColor="text1"/>
          </w:rPr>
          <w:t>Ordeals</w:t>
        </w:r>
      </w:ins>
      <w:ins w:id="201962" w:author="Claude" w:date="2026-09-27T12:00:00Z">
        <w:r>
          <w:rPr>
            <w:color w:val="000000" w:themeColor="text1"/>
          </w:rPr>
          <w:t xml:space="preserve">, 55 </w:t>
        </w:r>
      </w:ins>
      <w:ins w:id="201963" w:author="Claude" w:date="2026-09-27T12:00:00Z">
        <w:r>
          <w:rPr>
            <w:smallCaps/>
            <w:color w:val="000000" w:themeColor="text1"/>
          </w:rPr>
          <w:t>J.L. &amp; Econ</w:t>
        </w:r>
      </w:ins>
      <w:ins w:id="201964" w:author="Claude" w:date="2026-09-27T12:00:00Z">
        <w:r>
          <w:rPr>
            <w:color w:val="000000" w:themeColor="text1"/>
          </w:rPr>
          <w:t>. 1, 31 (2012).</w:t>
        </w:r>
      </w:ins>
    </w:p>
  </w:footnote>
  <w:footnote w:id="842">
    <w:p w14:paraId="20019D6A" w14:textId="3FB6D491" w:rsidR="00254412" w:rsidRPr="005B3E31" w:rsidRDefault="00254412" w:rsidP="003D74D8">
      <w:pPr>
        <w:pStyle w:val="FootnoteText"/>
        <w:spacing w:line="480" w:lineRule="auto"/>
        <w:rPr>
          <w:ins w:id="201970" w:author="Claude" w:date="2026-09-27T12:00:00Z"/>
          <w:color w:val="000000" w:themeColor="text1"/>
        </w:rPr>
      </w:pPr>
      <w:ins w:id="201966" w:author="Claude" w:date="2026-09-27T12:00:00Z">
        <w:r>
          <w:rPr>
            <w:rStyle w:val="FootnoteReference"/>
            <w:color w:val="000000" w:themeColor="text1"/>
          </w:rPr>
          <w:footnoteRef/>
        </w:r>
      </w:ins>
      <w:ins w:id="201967" w:author="Claude" w:date="2026-09-27T12:00:00Z">
        <w:r>
          <w:rPr>
            <w:color w:val="000000" w:themeColor="text1"/>
          </w:rPr>
          <w:t xml:space="preserve"> </w:t>
        </w:r>
      </w:ins>
      <w:ins w:id="201968" w:author="Claude" w:date="2026-09-27T12:00:00Z">
        <w:r>
          <w:rPr>
            <w:i/>
            <w:iCs/>
            <w:color w:val="000000" w:themeColor="text1"/>
          </w:rPr>
          <w:t>Pirie, supra note 21, ch. 11; Leeson, supra note 38, at 34</w:t>
        </w:r>
      </w:ins>
      <w:ins w:id="201969" w:author="Claude" w:date="2026-09-27T12:00:00Z">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ins>
    </w:p>
  </w:footnote>
  <w:footnote w:id="843">
    <w:p w14:paraId="7900B6CF" w14:textId="54C424E0" w:rsidR="00254412" w:rsidRPr="005B3E31" w:rsidRDefault="00254412" w:rsidP="003D74D8">
      <w:pPr>
        <w:pStyle w:val="FootnoteText"/>
        <w:spacing w:line="480" w:lineRule="auto"/>
        <w:rPr>
          <w:ins w:id="201977" w:author="Claude" w:date="2026-09-27T12:00:00Z"/>
          <w:color w:val="000000" w:themeColor="text1"/>
        </w:rPr>
      </w:pPr>
      <w:ins w:id="201971" w:author="Claude" w:date="2026-09-27T12:00:00Z">
        <w:r>
          <w:rPr>
            <w:rStyle w:val="FootnoteReference"/>
            <w:color w:val="000000" w:themeColor="text1"/>
          </w:rPr>
          <w:footnoteRef/>
        </w:r>
      </w:ins>
      <w:ins w:id="201972" w:author="Claude" w:date="2026-09-27T12:00:00Z">
        <w:r>
          <w:rPr>
            <w:color w:val="000000" w:themeColor="text1"/>
          </w:rPr>
          <w:t xml:space="preserve"> </w:t>
        </w:r>
      </w:ins>
      <w:ins w:id="201973" w:author="Claude" w:date="2026-09-27T12:00:00Z">
        <w:r>
          <w:rPr>
            <w:i/>
            <w:iCs/>
            <w:color w:val="000000" w:themeColor="text1"/>
          </w:rPr>
          <w:t>See</w:t>
        </w:r>
      </w:ins>
      <w:ins w:id="201974" w:author="Claude" w:date="2026-09-27T12:00:00Z">
        <w:r>
          <w:rPr>
            <w:color w:val="000000" w:themeColor="text1"/>
          </w:rPr>
          <w:t xml:space="preserve"> </w:t>
        </w:r>
      </w:ins>
      <w:ins w:id="201975" w:author="Claude" w:date="2026-09-27T12:00:00Z">
        <w:r>
          <w:rPr>
            <w:i/>
            <w:iCs/>
            <w:color w:val="000000" w:themeColor="text1"/>
          </w:rPr>
          <w:t>infra</w:t>
        </w:r>
      </w:ins>
      <w:ins w:id="201976" w:author="Claude" w:date="2026-09-27T12:00:00Z">
        <w:r>
          <w:rPr>
            <w:color w:val="000000" w:themeColor="text1"/>
          </w:rPr>
          <w:t xml:space="preserve"> Section V.</w:t>
        </w:r>
      </w:ins>
    </w:p>
  </w:footnote>
  <w:footnote w:id="844">
    <w:p w14:paraId="2B721218" w14:textId="160C624E" w:rsidR="00254412" w:rsidRPr="005B3E31" w:rsidRDefault="00254412" w:rsidP="003D74D8">
      <w:pPr>
        <w:pStyle w:val="FootnoteText"/>
        <w:spacing w:line="480" w:lineRule="auto"/>
        <w:rPr>
          <w:ins w:id="201984" w:author="Claude" w:date="2026-09-27T12:00:00Z"/>
          <w:color w:val="000000" w:themeColor="text1"/>
        </w:rPr>
      </w:pPr>
      <w:ins w:id="201978" w:author="Claude" w:date="2026-09-27T12:00:00Z">
        <w:r>
          <w:rPr>
            <w:rStyle w:val="FootnoteReference"/>
            <w:color w:val="000000" w:themeColor="text1"/>
          </w:rPr>
          <w:footnoteRef/>
        </w:r>
      </w:ins>
      <w:ins w:id="201979" w:author="Claude" w:date="2026-09-27T12:00:00Z">
        <w:r>
          <w:rPr>
            <w:color w:val="000000" w:themeColor="text1"/>
          </w:rPr>
          <w:t xml:space="preserve"> Carol R. Andrews, </w:t>
        </w:r>
      </w:ins>
      <w:ins w:id="201980" w:author="Claude" w:date="2026-09-27T12:00:00Z">
        <w:r>
          <w:rPr>
            <w:i/>
            <w:iCs/>
            <w:color w:val="000000" w:themeColor="text1"/>
          </w:rPr>
          <w:t>The Lawyer's Oath: Both Ancient and Modern</w:t>
        </w:r>
      </w:ins>
      <w:ins w:id="201981" w:author="Claude" w:date="2026-09-27T12:00:00Z">
        <w:r>
          <w:rPr>
            <w:color w:val="000000" w:themeColor="text1"/>
          </w:rPr>
          <w:t xml:space="preserve">, 22 </w:t>
        </w:r>
      </w:ins>
      <w:ins w:id="201982" w:author="Claude" w:date="2026-09-27T12:00:00Z">
        <w:r>
          <w:rPr>
            <w:smallCaps/>
            <w:color w:val="000000" w:themeColor="text1"/>
          </w:rPr>
          <w:t>Geo. J. Legal Ethics</w:t>
        </w:r>
      </w:ins>
      <w:ins w:id="201983" w:author="Claude" w:date="2026-09-27T12:00:00Z">
        <w:r>
          <w:rPr>
            <w:color w:val="000000" w:themeColor="text1"/>
          </w:rPr>
          <w:t xml:space="preserve"> 3, 4–5 (2009).</w:t>
        </w:r>
      </w:ins>
    </w:p>
  </w:footnote>
  <w:footnote w:id="845">
    <w:p w14:paraId="522CF5F7" w14:textId="34A9E4A1" w:rsidR="00254412" w:rsidRPr="005B3E31" w:rsidRDefault="00254412" w:rsidP="003D74D8">
      <w:pPr>
        <w:pStyle w:val="FootnoteText"/>
        <w:spacing w:line="480" w:lineRule="auto"/>
        <w:rPr>
          <w:ins w:id="201993" w:author="Claude" w:date="2026-09-27T12:00:00Z"/>
          <w:color w:val="000000" w:themeColor="text1"/>
        </w:rPr>
      </w:pPr>
      <w:ins w:id="201987" w:author="Claude" w:date="2026-09-27T12:00:00Z">
        <w:r>
          <w:rPr>
            <w:rStyle w:val="FootnoteReference"/>
            <w:color w:val="000000" w:themeColor="text1"/>
          </w:rPr>
          <w:footnoteRef/>
        </w:r>
      </w:ins>
      <w:ins w:id="201988" w:author="Claude" w:date="2026-09-27T12:00:00Z">
        <w:r>
          <w:rPr>
            <w:color w:val="000000" w:themeColor="text1"/>
          </w:rPr>
          <w:t xml:space="preserve"> MM. Coşgel, Thomas J. Miceli &amp; Emre Özer, </w:t>
        </w:r>
      </w:ins>
      <w:ins w:id="201989" w:author="Claude" w:date="2026-09-27T12:00:00Z">
        <w:r>
          <w:rPr>
            <w:i/>
            <w:iCs/>
            <w:color w:val="000000" w:themeColor="text1"/>
          </w:rPr>
          <w:t>Resolving Lawsuits with a Decisive Oath: An Economic Analysis</w:t>
        </w:r>
      </w:ins>
      <w:ins w:id="201990" w:author="Claude" w:date="2026-09-27T12:00:00Z">
        <w:r>
          <w:rPr>
            <w:color w:val="000000" w:themeColor="text1"/>
          </w:rPr>
          <w:t xml:space="preserve">, 226 </w:t>
        </w:r>
      </w:ins>
      <w:ins w:id="201991" w:author="Claude" w:date="2026-09-27T12:00:00Z">
        <w:r>
          <w:rPr>
            <w:smallCaps/>
            <w:color w:val="000000" w:themeColor="text1"/>
          </w:rPr>
          <w:t>J. Econ. Behav. &amp; Org</w:t>
        </w:r>
      </w:ins>
      <w:ins w:id="201992" w:author="Claude" w:date="2026-09-27T12:00:00Z">
        <w:r>
          <w:rPr>
            <w:color w:val="000000" w:themeColor="text1"/>
          </w:rPr>
          <w:t>. 106700, at 5–6 (2024).</w:t>
        </w:r>
      </w:ins>
    </w:p>
  </w:footnote>
  <w:footnote w:id="846">
    <w:p w14:paraId="21E4D701" w14:textId="6405A7A6" w:rsidR="00254412" w:rsidRPr="005B3E31" w:rsidRDefault="00254412" w:rsidP="003D74D8">
      <w:pPr>
        <w:spacing w:line="480" w:lineRule="auto"/>
        <w:rPr>
          <w:ins w:id="202000" w:author="Claude" w:date="2026-09-27T12:00:00Z"/>
          <w:color w:val="000000" w:themeColor="text1"/>
          <w:sz w:val="20"/>
          <w:szCs w:val="20"/>
        </w:rPr>
      </w:pPr>
      <w:ins w:id="201994" w:author="Claude" w:date="2026-09-27T12:00:00Z">
        <w:r>
          <w:rPr>
            <w:rStyle w:val="FootnoteReference"/>
            <w:color w:val="000000" w:themeColor="text1"/>
            <w:sz w:val="20"/>
            <w:szCs w:val="20"/>
          </w:rPr>
          <w:footnoteRef/>
        </w:r>
      </w:ins>
      <w:ins w:id="201995" w:author="Claude" w:date="2026-09-27T12:00:00Z">
        <w:r>
          <w:rPr>
            <w:color w:val="000000" w:themeColor="text1"/>
            <w:sz w:val="20"/>
            <w:szCs w:val="20"/>
          </w:rPr>
          <w:t xml:space="preserve"> Carol Rice Andrews, </w:t>
        </w:r>
      </w:ins>
      <w:ins w:id="201996" w:author="Claude" w:date="2026-09-27T12:00:00Z">
        <w:r>
          <w:rPr>
            <w:i/>
            <w:iCs/>
            <w:color w:val="000000" w:themeColor="text1"/>
            <w:sz w:val="20"/>
            <w:szCs w:val="20"/>
          </w:rPr>
          <w:t>The Lawyer’s Oath: Both Ancient and Modern</w:t>
        </w:r>
      </w:ins>
      <w:ins w:id="201997" w:author="Claude" w:date="2026-09-27T12:00:00Z">
        <w:r>
          <w:rPr>
            <w:color w:val="000000" w:themeColor="text1"/>
            <w:sz w:val="20"/>
            <w:szCs w:val="20"/>
          </w:rPr>
          <w:t xml:space="preserve">, 22 </w:t>
        </w:r>
      </w:ins>
      <w:ins w:id="201998" w:author="Claude" w:date="2026-09-27T12:00:00Z">
        <w:r>
          <w:rPr>
            <w:smallCaps/>
            <w:color w:val="000000" w:themeColor="text1"/>
            <w:sz w:val="20"/>
            <w:szCs w:val="20"/>
          </w:rPr>
          <w:t>Geo. J. Legal Ethics</w:t>
        </w:r>
      </w:ins>
      <w:ins w:id="201999" w:author="Claude" w:date="2026-09-27T12:00:00Z">
        <w:r>
          <w:rPr>
            <w:color w:val="000000" w:themeColor="text1"/>
            <w:sz w:val="20"/>
            <w:szCs w:val="20"/>
          </w:rPr>
          <w:t xml:space="preserve"> 3, 36 (2009).</w:t>
        </w:r>
      </w:ins>
    </w:p>
  </w:footnote>
  <w:footnote w:id="847">
    <w:p w14:paraId="631905C5" w14:textId="613A36E2" w:rsidR="00254412" w:rsidRPr="005B3E31" w:rsidRDefault="00254412" w:rsidP="003D74D8">
      <w:pPr>
        <w:spacing w:line="480" w:lineRule="auto"/>
        <w:rPr>
          <w:ins w:id="202007" w:author="Claude" w:date="2026-09-27T12:00:00Z"/>
          <w:color w:val="000000" w:themeColor="text1"/>
          <w:sz w:val="20"/>
          <w:szCs w:val="20"/>
        </w:rPr>
      </w:pPr>
      <w:ins w:id="202001" w:author="Claude" w:date="2026-09-27T12:00:00Z">
        <w:r>
          <w:rPr>
            <w:rStyle w:val="FootnoteReference"/>
            <w:color w:val="000000" w:themeColor="text1"/>
            <w:sz w:val="20"/>
            <w:szCs w:val="20"/>
          </w:rPr>
          <w:footnoteRef/>
        </w:r>
      </w:ins>
      <w:ins w:id="202002" w:author="Claude" w:date="2026-09-27T12:00:00Z">
        <w:r>
          <w:rPr>
            <w:color w:val="000000" w:themeColor="text1"/>
            <w:sz w:val="20"/>
            <w:szCs w:val="20"/>
          </w:rPr>
          <w:t xml:space="preserve"> Konstantinos D. Kerameus, </w:t>
        </w:r>
      </w:ins>
      <w:ins w:id="202003" w:author="Claude" w:date="2026-09-27T12:00:00Z">
        <w:r>
          <w:rPr>
            <w:i/>
            <w:iCs/>
            <w:color w:val="000000" w:themeColor="text1"/>
            <w:sz w:val="20"/>
            <w:szCs w:val="20"/>
          </w:rPr>
          <w:t>Judicial Organization and Civil Procedure, in</w:t>
        </w:r>
      </w:ins>
      <w:ins w:id="202004" w:author="Claude" w:date="2026-09-27T12:00:00Z">
        <w:r>
          <w:rPr>
            <w:color w:val="000000" w:themeColor="text1"/>
            <w:sz w:val="20"/>
            <w:szCs w:val="20"/>
          </w:rPr>
          <w:t xml:space="preserve"> </w:t>
        </w:r>
      </w:ins>
      <w:ins w:id="202005" w:author="Claude" w:date="2026-09-27T12:00:00Z">
        <w:r>
          <w:rPr>
            <w:smallCaps/>
            <w:color w:val="000000" w:themeColor="text1"/>
            <w:sz w:val="20"/>
            <w:szCs w:val="20"/>
          </w:rPr>
          <w:t>Introduction to Greek Law</w:t>
        </w:r>
      </w:ins>
      <w:ins w:id="202006" w:author="Claude" w:date="2026-09-27T12:00:00Z">
        <w:r>
          <w:rPr>
            <w:color w:val="000000" w:themeColor="text1"/>
            <w:sz w:val="20"/>
            <w:szCs w:val="20"/>
          </w:rPr>
          <w:t xml:space="preserve"> 341, 353 (Konstantinos D. Kerameus &amp; Phaedon J. Kozyris eds., 3d ed. 2008).</w:t>
        </w:r>
      </w:ins>
    </w:p>
  </w:footnote>
  <w:footnote w:id="848">
    <w:p w14:paraId="51FF508D" w14:textId="47FD7780" w:rsidR="00254412" w:rsidRPr="005B3E31" w:rsidRDefault="00254412" w:rsidP="003D74D8">
      <w:pPr>
        <w:spacing w:line="480" w:lineRule="auto"/>
        <w:rPr>
          <w:ins w:id="202012" w:author="Claude" w:date="2026-09-27T12:00:00Z"/>
          <w:color w:val="000000" w:themeColor="text1"/>
          <w:sz w:val="20"/>
          <w:szCs w:val="20"/>
        </w:rPr>
      </w:pPr>
      <w:ins w:id="202008" w:author="Claude" w:date="2026-09-27T12:00:00Z">
        <w:r>
          <w:rPr>
            <w:rStyle w:val="FootnoteReference"/>
            <w:color w:val="000000" w:themeColor="text1"/>
            <w:sz w:val="20"/>
            <w:szCs w:val="20"/>
          </w:rPr>
          <w:footnoteRef/>
        </w:r>
      </w:ins>
      <w:ins w:id="202009" w:author="Claude" w:date="2026-09-27T12:00:00Z">
        <w:r>
          <w:rPr>
            <w:color w:val="000000" w:themeColor="text1"/>
            <w:sz w:val="20"/>
            <w:szCs w:val="20"/>
          </w:rPr>
          <w:t xml:space="preserve"> </w:t>
        </w:r>
      </w:ins>
      <w:ins w:id="202010" w:author="Claude" w:date="2026-09-27T12:00:00Z">
        <w:r>
          <w:rPr>
            <w:smallCaps/>
            <w:color w:val="000000" w:themeColor="text1"/>
            <w:sz w:val="20"/>
            <w:szCs w:val="20"/>
          </w:rPr>
          <w:t>Matthew R. Christ, The Litigious Athenian: Legal Excess in Ancient Democracy</w:t>
        </w:r>
      </w:ins>
      <w:ins w:id="202011" w:author="Claude" w:date="2026-09-27T12:00:00Z">
        <w:r>
          <w:rPr>
            <w:color w:val="000000" w:themeColor="text1"/>
            <w:sz w:val="20"/>
            <w:szCs w:val="20"/>
          </w:rPr>
          <w:t xml:space="preserve"> 51, 59–60 (1998) (quoting Isocrates 20.14).</w:t>
        </w:r>
      </w:ins>
    </w:p>
  </w:footnote>
  <w:footnote w:id="849">
    <w:p w14:paraId="1A94D49F" w14:textId="28739F24" w:rsidR="00254412" w:rsidRPr="005B3E31" w:rsidRDefault="00254412" w:rsidP="003D74D8">
      <w:pPr>
        <w:pStyle w:val="FootnoteText"/>
        <w:spacing w:line="480" w:lineRule="auto"/>
        <w:rPr>
          <w:ins w:id="202017" w:author="Claude" w:date="2026-09-27T12:00:00Z"/>
          <w:color w:val="000000" w:themeColor="text1"/>
        </w:rPr>
      </w:pPr>
      <w:ins w:id="202013" w:author="Claude" w:date="2026-09-27T12:00:00Z">
        <w:r>
          <w:rPr>
            <w:rStyle w:val="FootnoteReference"/>
            <w:color w:val="000000" w:themeColor="text1"/>
          </w:rPr>
          <w:footnoteRef/>
        </w:r>
      </w:ins>
      <w:ins w:id="202014" w:author="Claude" w:date="2026-09-27T12:00:00Z">
        <w:r>
          <w:rPr>
            <w:color w:val="000000" w:themeColor="text1"/>
          </w:rPr>
          <w:t xml:space="preserve"> </w:t>
        </w:r>
      </w:ins>
      <w:ins w:id="202015" w:author="Claude" w:date="2026-09-27T12:00:00Z">
        <w:r>
          <w:rPr>
            <w:i/>
            <w:iCs/>
            <w:color w:val="000000" w:themeColor="text1"/>
          </w:rPr>
          <w:t>Brundage, supra note 31, at 15</w:t>
        </w:r>
      </w:ins>
      <w:ins w:id="202016" w:author="Claude" w:date="2026-09-27T12:00:00Z">
        <w:r>
          <w:rPr>
            <w:color w:val="000000" w:themeColor="text1"/>
          </w:rPr>
          <w:t>6.</w:t>
        </w:r>
      </w:ins>
    </w:p>
  </w:footnote>
  <w:footnote w:id="850">
    <w:p w14:paraId="5AAD94E7" w14:textId="77777777" w:rsidR="00254412" w:rsidRPr="005B3E31" w:rsidRDefault="00254412" w:rsidP="003D74D8">
      <w:pPr>
        <w:pStyle w:val="FootnoteText"/>
        <w:spacing w:line="480" w:lineRule="auto"/>
        <w:rPr>
          <w:ins w:id="202037" w:author="Claude" w:date="2026-09-27T12:00:00Z"/>
          <w:color w:val="000000" w:themeColor="text1"/>
        </w:rPr>
      </w:pPr>
      <w:ins w:id="202030" w:author="Claude" w:date="2026-09-27T12:00:00Z">
        <w:r>
          <w:rPr>
            <w:rStyle w:val="FootnoteReference"/>
            <w:color w:val="000000" w:themeColor="text1"/>
          </w:rPr>
          <w:footnoteRef/>
        </w:r>
      </w:ins>
      <w:ins w:id="202031" w:author="Claude" w:date="2026-09-27T12:00:00Z">
        <w:r>
          <w:rPr>
            <w:color w:val="000000" w:themeColor="text1"/>
          </w:rPr>
          <w:t xml:space="preserve"> Weixia Gu, </w:t>
        </w:r>
      </w:ins>
      <w:ins w:id="202032" w:author="Claude" w:date="2026-09-27T12:00:00Z">
        <w:r>
          <w:rPr>
            <w:i/>
            <w:iCs/>
            <w:color w:val="000000" w:themeColor="text1"/>
          </w:rPr>
          <w:t>The Delicate Art of Med-Arb and Its Future Institutionalisation in China</w:t>
        </w:r>
      </w:ins>
      <w:ins w:id="202033" w:author="Claude" w:date="2026-09-27T12:00:00Z">
        <w:r>
          <w:rPr>
            <w:smallCaps/>
            <w:color w:val="000000" w:themeColor="text1"/>
          </w:rPr>
          <w:t>, 31 Ucla Pac. Basin</w:t>
        </w:r>
      </w:ins>
      <w:ins w:id="202034" w:author="Claude" w:date="2026-09-27T12:00:00Z">
        <w:r>
          <w:rPr>
            <w:color w:val="000000" w:themeColor="text1"/>
          </w:rPr>
          <w:t xml:space="preserve"> </w:t>
        </w:r>
      </w:ins>
      <w:ins w:id="202035" w:author="Claude" w:date="2026-09-27T12:00:00Z">
        <w:r>
          <w:rPr>
            <w:smallCaps/>
            <w:color w:val="000000" w:themeColor="text1"/>
          </w:rPr>
          <w:t>L.J.</w:t>
        </w:r>
      </w:ins>
      <w:ins w:id="202036" w:author="Claude" w:date="2026-09-27T12:00:00Z">
        <w:r>
          <w:rPr>
            <w:color w:val="000000" w:themeColor="text1"/>
          </w:rPr>
          <w:t xml:space="preserve"> 97, 98, 102–03 (2014).</w:t>
        </w:r>
      </w:ins>
    </w:p>
  </w:footnote>
  <w:footnote w:id="851">
    <w:p w14:paraId="50364426" w14:textId="3053F319" w:rsidR="00254412" w:rsidRPr="005B3E31" w:rsidRDefault="00254412" w:rsidP="003D74D8">
      <w:pPr>
        <w:pStyle w:val="FootnoteText"/>
        <w:spacing w:line="480" w:lineRule="auto"/>
        <w:rPr>
          <w:ins w:id="202044" w:author="Claude" w:date="2026-09-27T12:00:00Z"/>
          <w:color w:val="000000" w:themeColor="text1"/>
        </w:rPr>
      </w:pPr>
      <w:ins w:id="202038" w:author="Claude" w:date="2026-09-27T12:00:00Z">
        <w:r>
          <w:rPr>
            <w:rStyle w:val="FootnoteReference"/>
            <w:color w:val="000000" w:themeColor="text1"/>
          </w:rPr>
          <w:footnoteRef/>
        </w:r>
      </w:ins>
      <w:ins w:id="202039" w:author="Claude" w:date="2026-09-27T12:00:00Z">
        <w:r>
          <w:rPr>
            <w:color w:val="000000" w:themeColor="text1"/>
          </w:rPr>
          <w:t xml:space="preserve"> Carlos de Vera, </w:t>
        </w:r>
      </w:ins>
      <w:ins w:id="202040" w:author="Claude" w:date="2026-09-27T12:00:00Z">
        <w:r>
          <w:rPr>
            <w:i/>
            <w:iCs/>
            <w:color w:val="000000" w:themeColor="text1"/>
          </w:rPr>
          <w:t>Arbitrating Harmony: ‘Med-Arb’ and the Confluence of Culture and Rule of Law in the Resolution of International Commercial Disputes in China</w:t>
        </w:r>
      </w:ins>
      <w:ins w:id="202041" w:author="Claude" w:date="2026-09-27T12:00:00Z">
        <w:r>
          <w:rPr>
            <w:color w:val="000000" w:themeColor="text1"/>
          </w:rPr>
          <w:t xml:space="preserve">, 18 </w:t>
        </w:r>
      </w:ins>
      <w:ins w:id="202042" w:author="Claude" w:date="2026-09-27T12:00:00Z">
        <w:r>
          <w:rPr>
            <w:smallCaps/>
            <w:color w:val="000000" w:themeColor="text1"/>
          </w:rPr>
          <w:t>Colum. J. Asian L</w:t>
        </w:r>
      </w:ins>
      <w:ins w:id="202043" w:author="Claude" w:date="2026-09-27T12:00:00Z">
        <w:r>
          <w:rPr>
            <w:color w:val="000000" w:themeColor="text1"/>
          </w:rPr>
          <w:t>. 149, 184 (2004).</w:t>
        </w:r>
      </w:ins>
    </w:p>
  </w:footnote>
  <w:footnote w:id="852">
    <w:p w14:paraId="4CE144AA" w14:textId="1FA1D476" w:rsidR="00254412" w:rsidRPr="005B3E31" w:rsidRDefault="00254412" w:rsidP="003D74D8">
      <w:pPr>
        <w:pStyle w:val="FootnoteText"/>
        <w:spacing w:line="480" w:lineRule="auto"/>
        <w:rPr>
          <w:ins w:id="202051" w:author="Claude" w:date="2026-09-27T12:00:00Z"/>
          <w:color w:val="000000" w:themeColor="text1"/>
        </w:rPr>
      </w:pPr>
      <w:ins w:id="202045" w:author="Claude" w:date="2026-09-27T12:00:00Z">
        <w:r>
          <w:rPr>
            <w:rStyle w:val="FootnoteReference"/>
            <w:color w:val="000000" w:themeColor="text1"/>
          </w:rPr>
          <w:footnoteRef/>
        </w:r>
      </w:ins>
      <w:ins w:id="202046" w:author="Claude" w:date="2026-09-27T12:00:00Z">
        <w:r>
          <w:rPr>
            <w:color w:val="000000" w:themeColor="text1"/>
          </w:rPr>
          <w:t xml:space="preserve"> Shahla F. Ali, </w:t>
        </w:r>
      </w:ins>
      <w:ins w:id="202047" w:author="Claude" w:date="2026-09-27T12:00:00Z">
        <w:r>
          <w:rPr>
            <w:i/>
            <w:iCs/>
            <w:color w:val="000000" w:themeColor="text1"/>
          </w:rPr>
          <w:t>The Jurisprudence of Responsive Mediation: An Empirical Examination of Chinese People's Mediation in Action</w:t>
        </w:r>
      </w:ins>
      <w:ins w:id="202048" w:author="Claude" w:date="2026-09-27T12:00:00Z">
        <w:r>
          <w:rPr>
            <w:color w:val="000000" w:themeColor="text1"/>
          </w:rPr>
          <w:t xml:space="preserve">, 45 J. </w:t>
        </w:r>
      </w:ins>
      <w:ins w:id="202049" w:author="Claude" w:date="2026-09-27T12:00:00Z">
        <w:r>
          <w:rPr>
            <w:smallCaps/>
            <w:color w:val="000000" w:themeColor="text1"/>
          </w:rPr>
          <w:t>Legal Pluralism &amp; Unofficial L</w:t>
        </w:r>
      </w:ins>
      <w:ins w:id="202050" w:author="Claude" w:date="2026-09-27T12:00:00Z">
        <w:r>
          <w:rPr>
            <w:color w:val="000000" w:themeColor="text1"/>
          </w:rPr>
          <w:t>. 227, 241 (2013).</w:t>
        </w:r>
      </w:ins>
    </w:p>
  </w:footnote>
  <w:footnote w:id="853">
    <w:p w14:paraId="791405F2" w14:textId="6BB155EC" w:rsidR="00254412" w:rsidRPr="005B3E31" w:rsidRDefault="00254412" w:rsidP="003D74D8">
      <w:pPr>
        <w:pStyle w:val="FootnoteText"/>
        <w:spacing w:line="480" w:lineRule="auto"/>
        <w:rPr>
          <w:ins w:id="202058" w:author="Claude" w:date="2026-09-27T12:00:00Z"/>
          <w:color w:val="000000" w:themeColor="text1"/>
        </w:rPr>
      </w:pPr>
      <w:ins w:id="202052" w:author="Claude" w:date="2026-09-27T12:00:00Z">
        <w:r>
          <w:rPr>
            <w:rStyle w:val="FootnoteReference"/>
            <w:color w:val="000000" w:themeColor="text1"/>
          </w:rPr>
          <w:footnoteRef/>
        </w:r>
      </w:ins>
      <w:ins w:id="202053" w:author="Claude" w:date="2026-09-27T12:00:00Z">
        <w:r>
          <w:rPr>
            <w:color w:val="000000" w:themeColor="text1"/>
          </w:rPr>
          <w:t xml:space="preserve">  J.H. Baker, </w:t>
        </w:r>
      </w:ins>
      <w:ins w:id="202054" w:author="Claude" w:date="2026-09-27T12:00:00Z">
        <w:r>
          <w:rPr>
            <w:i/>
            <w:iCs/>
            <w:color w:val="000000" w:themeColor="text1"/>
          </w:rPr>
          <w:t>From Lovedays to Commercial Arbitration, in</w:t>
        </w:r>
      </w:ins>
      <w:ins w:id="202055" w:author="Claude" w:date="2026-09-27T12:00:00Z">
        <w:r>
          <w:rPr>
            <w:color w:val="000000" w:themeColor="text1"/>
          </w:rPr>
          <w:t xml:space="preserve"> </w:t>
        </w:r>
      </w:ins>
      <w:ins w:id="202056" w:author="Claude" w:date="2026-09-27T12:00:00Z">
        <w:r>
          <w:rPr>
            <w:smallCaps/>
            <w:color w:val="000000" w:themeColor="text1"/>
          </w:rPr>
          <w:t>1 Collected Papers on English Legal History</w:t>
        </w:r>
      </w:ins>
      <w:ins w:id="202057" w:author="Claude" w:date="2026-09-27T12:00:00Z">
        <w:r>
          <w:rPr>
            <w:color w:val="000000" w:themeColor="text1"/>
          </w:rPr>
          <w:t xml:space="preserve"> 432, 436 (Cambridge Univ. Press 2013).</w:t>
        </w:r>
      </w:ins>
    </w:p>
  </w:footnote>
  <w:footnote w:id="854">
    <w:p w14:paraId="10350D1A" w14:textId="0CDE2256" w:rsidR="00254412" w:rsidRPr="005B3E31" w:rsidRDefault="00254412" w:rsidP="003D74D8">
      <w:pPr>
        <w:pStyle w:val="FootnoteText"/>
        <w:spacing w:line="480" w:lineRule="auto"/>
        <w:rPr>
          <w:ins w:id="202065" w:author="Claude" w:date="2026-09-27T12:00:00Z"/>
          <w:color w:val="000000" w:themeColor="text1"/>
        </w:rPr>
      </w:pPr>
      <w:ins w:id="202059" w:author="Claude" w:date="2026-09-27T12:00:00Z">
        <w:r>
          <w:rPr>
            <w:rStyle w:val="FootnoteReference"/>
            <w:color w:val="000000" w:themeColor="text1"/>
          </w:rPr>
          <w:footnoteRef/>
        </w:r>
      </w:ins>
      <w:ins w:id="202060" w:author="Claude" w:date="2026-09-27T12:00:00Z">
        <w:r>
          <w:rPr>
            <w:color w:val="000000" w:themeColor="text1"/>
          </w:rPr>
          <w:t xml:space="preserve"> Stavros Brekoulakis, </w:t>
        </w:r>
      </w:ins>
      <w:ins w:id="202061" w:author="Claude" w:date="2026-09-27T12:00:00Z">
        <w:r>
          <w:rPr>
            <w:i/>
            <w:iCs/>
            <w:color w:val="000000" w:themeColor="text1"/>
          </w:rPr>
          <w:t>The Historical Treatment of Arbitration Under English Law and the Development of the Policy Favouring Arbitration</w:t>
        </w:r>
      </w:ins>
      <w:ins w:id="202062" w:author="Claude" w:date="2026-09-27T12:00:00Z">
        <w:r>
          <w:rPr>
            <w:color w:val="000000" w:themeColor="text1"/>
          </w:rPr>
          <w:t xml:space="preserve">, 39 </w:t>
        </w:r>
      </w:ins>
      <w:ins w:id="202063" w:author="Claude" w:date="2026-09-27T12:00:00Z">
        <w:r>
          <w:rPr>
            <w:smallCaps/>
            <w:color w:val="000000" w:themeColor="text1"/>
          </w:rPr>
          <w:t>Oxford J. Legal Stud</w:t>
        </w:r>
      </w:ins>
      <w:ins w:id="202064" w:author="Claude" w:date="2026-09-27T12:00:00Z">
        <w:r>
          <w:rPr>
            <w:color w:val="000000" w:themeColor="text1"/>
          </w:rPr>
          <w:t>. 124, 125, 135 (2019).</w:t>
        </w:r>
      </w:ins>
    </w:p>
  </w:footnote>
  <w:footnote w:id="855">
    <w:p w14:paraId="1C7B2049" w14:textId="6E566316" w:rsidR="00D70590" w:rsidRPr="005B3E31" w:rsidRDefault="00D70590" w:rsidP="003D74D8">
      <w:pPr>
        <w:pStyle w:val="FootnoteText"/>
        <w:spacing w:line="480" w:lineRule="auto"/>
        <w:rPr>
          <w:ins w:id="202083" w:author="Claude" w:date="2026-09-27T12:00:00Z"/>
        </w:rPr>
      </w:pPr>
      <w:ins w:id="202077" w:author="Claude" w:date="2026-09-27T12:00:00Z">
        <w:r>
          <w:rPr>
            <w:rStyle w:val="FootnoteReference"/>
          </w:rPr>
          <w:footnoteRef/>
        </w:r>
      </w:ins>
      <w:ins w:id="202078" w:author="Claude" w:date="2026-09-27T12:00:00Z">
        <w:r>
          <w:t xml:space="preserve"> Russell G. Pearce, </w:t>
        </w:r>
      </w:ins>
      <w:ins w:id="202079" w:author="Claude" w:date="2026-09-27T12:00:00Z">
        <w:r>
          <w:rPr>
            <w:i/>
            <w:iCs/>
          </w:rPr>
          <w:t>Rediscovering the Republican Origins of the Legal Ethics Codes</w:t>
        </w:r>
      </w:ins>
      <w:ins w:id="202080" w:author="Claude" w:date="2026-09-27T12:00:00Z">
        <w:r>
          <w:t xml:space="preserve">, 6 </w:t>
        </w:r>
      </w:ins>
      <w:ins w:id="202081" w:author="Claude" w:date="2026-09-27T12:00:00Z">
        <w:r>
          <w:rPr>
            <w:smallCaps/>
          </w:rPr>
          <w:t>Geo. J. Legal Ethics</w:t>
        </w:r>
      </w:ins>
      <w:ins w:id="202082" w:author="Claude" w:date="2026-09-27T12:00:00Z">
        <w:r>
          <w:t xml:space="preserve"> 241, 248 (1992).</w:t>
        </w:r>
      </w:ins>
    </w:p>
  </w:footnote>
  <w:footnote w:id="856">
    <w:p w14:paraId="7383B4FA" w14:textId="45996591" w:rsidR="00B663C8" w:rsidRPr="005B3E31" w:rsidRDefault="00B663C8" w:rsidP="003D74D8">
      <w:pPr>
        <w:pStyle w:val="FootnoteText"/>
        <w:spacing w:line="480" w:lineRule="auto"/>
        <w:rPr>
          <w:ins w:id="202090" w:author="Claude" w:date="2026-09-27T12:00:00Z"/>
        </w:rPr>
      </w:pPr>
      <w:ins w:id="202084" w:author="Claude" w:date="2026-09-27T12:00:00Z">
        <w:r>
          <w:rPr>
            <w:rStyle w:val="FootnoteReference"/>
          </w:rPr>
          <w:footnoteRef/>
        </w:r>
      </w:ins>
      <w:ins w:id="202085" w:author="Claude" w:date="2026-09-27T12:00:00Z">
        <w:r>
          <w:t xml:space="preserve"> Keith A. Findley &amp; Michael S. Scott, </w:t>
        </w:r>
      </w:ins>
      <w:ins w:id="202086" w:author="Claude" w:date="2026-09-27T12:00:00Z">
        <w:r>
          <w:rPr>
            <w:i/>
            <w:iCs/>
          </w:rPr>
          <w:t>The Multiple Dimensions of Tunnel Vision in Criminal Cases</w:t>
        </w:r>
      </w:ins>
      <w:ins w:id="202087" w:author="Claude" w:date="2026-09-27T12:00:00Z">
        <w:r>
          <w:t xml:space="preserve">, 2006 </w:t>
        </w:r>
      </w:ins>
      <w:ins w:id="202088" w:author="Claude" w:date="2026-09-27T12:00:00Z">
        <w:r>
          <w:rPr>
            <w:smallCaps/>
          </w:rPr>
          <w:t>Wis. L. Rev.</w:t>
        </w:r>
      </w:ins>
      <w:ins w:id="202089" w:author="Claude" w:date="2026-09-27T12:00:00Z">
        <w:r>
          <w:t xml:space="preserve"> 291, 322–23 (2006).</w:t>
        </w:r>
      </w:ins>
    </w:p>
  </w:footnote>
  <w:footnote w:id="857">
    <w:p w14:paraId="37FA1776" w14:textId="4499ED54" w:rsidR="00094246" w:rsidRPr="005B3E31" w:rsidRDefault="00094246" w:rsidP="003D74D8">
      <w:pPr>
        <w:pStyle w:val="FootnoteText"/>
        <w:spacing w:line="480" w:lineRule="auto"/>
        <w:rPr>
          <w:ins w:id="202099" w:author="Claude" w:date="2026-09-27T12:00:00Z"/>
        </w:rPr>
      </w:pPr>
      <w:ins w:id="202091" w:author="Claude" w:date="2026-09-27T12:00:00Z">
        <w:r>
          <w:rPr>
            <w:rStyle w:val="FootnoteReference"/>
          </w:rPr>
          <w:footnoteRef/>
        </w:r>
      </w:ins>
      <w:ins w:id="202092" w:author="Claude" w:date="2026-09-27T12:00:00Z">
        <w:r>
          <w:t xml:space="preserve"> Russell G. Pearce, </w:t>
        </w:r>
      </w:ins>
      <w:ins w:id="202093" w:author="Claude" w:date="2026-09-27T12:00:00Z">
        <w:r>
          <w:rPr>
            <w:i/>
            <w:iCs/>
          </w:rPr>
          <w:t>Rediscovering the Republican Origins of the Legal Ethics Codes</w:t>
        </w:r>
      </w:ins>
      <w:ins w:id="202094" w:author="Claude" w:date="2026-09-27T12:00:00Z">
        <w:r>
          <w:t xml:space="preserve">, 6 </w:t>
        </w:r>
      </w:ins>
      <w:ins w:id="202095" w:author="Claude" w:date="2026-09-27T12:00:00Z">
        <w:r>
          <w:rPr>
            <w:smallCaps/>
          </w:rPr>
          <w:t>Geo. J. Legal Ethics</w:t>
        </w:r>
      </w:ins>
      <w:ins w:id="202096" w:author="Claude" w:date="2026-09-27T12:00:00Z">
        <w:r>
          <w:t xml:space="preserve"> 241, 269 (1992) (quoting </w:t>
        </w:r>
      </w:ins>
      <w:ins w:id="202097" w:author="Claude" w:date="2026-09-27T12:00:00Z">
        <w:r>
          <w:rPr>
            <w:smallCaps/>
          </w:rPr>
          <w:t>ABA Canons of Ethics</w:t>
        </w:r>
      </w:ins>
      <w:ins w:id="202098" w:author="Claude" w:date="2026-09-27T12:00:00Z">
        <w:r>
          <w:t xml:space="preserve"> Canon 31 (1908))</w:t>
        </w:r>
      </w:ins>
    </w:p>
  </w:footnote>
  <w:footnote w:id="858">
    <w:p w14:paraId="1F8CC019" w14:textId="50EF28D8" w:rsidR="00094246" w:rsidRPr="005B3E31" w:rsidRDefault="00094246" w:rsidP="003D74D8">
      <w:pPr>
        <w:pStyle w:val="FootnoteText"/>
        <w:spacing w:line="480" w:lineRule="auto"/>
        <w:rPr>
          <w:ins w:id="202106" w:author="Claude" w:date="2026-09-27T12:00:00Z"/>
        </w:rPr>
      </w:pPr>
      <w:ins w:id="202100" w:author="Claude" w:date="2026-09-27T12:00:00Z">
        <w:r>
          <w:rPr>
            <w:rStyle w:val="FootnoteReference"/>
          </w:rPr>
          <w:footnoteRef/>
        </w:r>
      </w:ins>
      <w:ins w:id="202101" w:author="Claude" w:date="2026-09-27T12:00:00Z">
        <w:r>
          <w:t xml:space="preserve"> Michael Ariens, </w:t>
        </w:r>
      </w:ins>
      <w:ins w:id="202102" w:author="Claude" w:date="2026-09-27T12:00:00Z">
        <w:r>
          <w:rPr>
            <w:i/>
            <w:iCs/>
          </w:rPr>
          <w:t>Lost and Found: David Hoffman and the History of American Legal Ethics</w:t>
        </w:r>
      </w:ins>
      <w:ins w:id="202103" w:author="Claude" w:date="2026-09-27T12:00:00Z">
        <w:r>
          <w:t xml:space="preserve">, 67 </w:t>
        </w:r>
      </w:ins>
      <w:ins w:id="202104" w:author="Claude" w:date="2026-09-27T12:00:00Z">
        <w:r>
          <w:rPr>
            <w:smallCaps/>
          </w:rPr>
          <w:t>Ark. L. Rev</w:t>
        </w:r>
      </w:ins>
      <w:ins w:id="202105" w:author="Claude" w:date="2026-09-27T12:00:00Z">
        <w:r>
          <w:t>. 571, 573, 602 (2014).</w:t>
        </w:r>
      </w:ins>
    </w:p>
  </w:footnote>
  <w:footnote w:id="859">
    <w:p w14:paraId="5C30CE41" w14:textId="13D85DD5" w:rsidR="00254412" w:rsidRPr="005B3E31" w:rsidRDefault="00254412" w:rsidP="003D74D8">
      <w:pPr>
        <w:pStyle w:val="FootnoteText"/>
        <w:spacing w:line="480" w:lineRule="auto"/>
        <w:rPr>
          <w:ins w:id="202123" w:author="Claude" w:date="2026-09-27T12:00:00Z"/>
          <w:color w:val="000000" w:themeColor="text1"/>
        </w:rPr>
      </w:pPr>
      <w:ins w:id="202117" w:author="Claude" w:date="2026-09-27T12:00:00Z">
        <w:r>
          <w:rPr>
            <w:rStyle w:val="FootnoteReference"/>
            <w:color w:val="000000" w:themeColor="text1"/>
          </w:rPr>
          <w:footnoteRef/>
        </w:r>
      </w:ins>
      <w:ins w:id="202118" w:author="Claude" w:date="2026-09-27T12:00:00Z">
        <w:r>
          <w:rPr>
            <w:color w:val="000000" w:themeColor="text1"/>
          </w:rPr>
          <w:t xml:space="preserve"> Leonard S. Goodman, </w:t>
        </w:r>
      </w:ins>
      <w:ins w:id="202119" w:author="Claude" w:date="2026-09-27T12:00:00Z">
        <w:r>
          <w:rPr>
            <w:i/>
            <w:iCs/>
            <w:color w:val="000000" w:themeColor="text1"/>
          </w:rPr>
          <w:t>The Historic Role of the Oath of Admission</w:t>
        </w:r>
      </w:ins>
      <w:ins w:id="202120" w:author="Claude" w:date="2026-09-27T12:00:00Z">
        <w:r>
          <w:rPr>
            <w:color w:val="000000" w:themeColor="text1"/>
          </w:rPr>
          <w:t xml:space="preserve">, 11 </w:t>
        </w:r>
      </w:ins>
      <w:ins w:id="202121" w:author="Claude" w:date="2026-09-27T12:00:00Z">
        <w:r>
          <w:rPr>
            <w:smallCaps/>
            <w:color w:val="000000" w:themeColor="text1"/>
          </w:rPr>
          <w:t>Am. J. Legal Hist</w:t>
        </w:r>
      </w:ins>
      <w:ins w:id="202122" w:author="Claude" w:date="2026-09-27T12:00:00Z">
        <w:r>
          <w:rPr>
            <w:color w:val="000000" w:themeColor="text1"/>
          </w:rPr>
          <w:t>. 404, 409, 411 (1967).</w:t>
        </w:r>
      </w:ins>
    </w:p>
  </w:footnote>
  <w:footnote w:id="860">
    <w:p w14:paraId="0001000C" w14:textId="77777777" w:rsidR="007219E6" w:rsidRPr="005B3E31" w:rsidRDefault="00000000" w:rsidP="003D74D8">
      <w:pPr>
        <w:pStyle w:val="FootnoteText"/>
        <w:spacing w:line="480" w:lineRule="auto"/>
        <w:rPr>
          <w:ins w:id="202128" w:author="Claude" w:date="2026-09-27T12:00:00Z"/>
          <w:color w:val="000000" w:themeColor="text1"/>
        </w:rPr>
      </w:pPr>
      <w:ins w:id="202124" w:author="Claude" w:date="2026-09-27T12:00:00Z">
        <w:r>
          <w:rPr>
            <w:rStyle w:val="FootnoteReference"/>
            <w:color w:val="000000" w:themeColor="text1"/>
          </w:rPr>
          <w:footnoteRef/>
        </w:r>
      </w:ins>
      <w:ins w:id="202125" w:author="Claude" w:date="2026-09-27T12:00:00Z">
        <w:r>
          <w:rPr>
            <w:color w:val="000000" w:themeColor="text1"/>
          </w:rPr>
          <w:t xml:space="preserve"> </w:t>
        </w:r>
      </w:ins>
      <w:ins w:id="202126" w:author="Claude" w:date="2026-09-27T12:00:00Z">
        <w:r>
          <w:rPr>
            <w:i/>
            <w:iCs/>
            <w:color w:val="000000" w:themeColor="text1"/>
          </w:rPr>
          <w:t>See infra</w:t>
        </w:r>
      </w:ins>
      <w:ins w:id="202127" w:author="Claude" w:date="2026-09-27T12:00:00Z">
        <w:r>
          <w:rPr>
            <w:color w:val="000000" w:themeColor="text1"/>
          </w:rPr>
          <w:t xml:space="preserve"> Section V.</w:t>
        </w:r>
      </w:ins>
    </w:p>
  </w:footnote>
  <w:footnote w:id="861">
    <w:p w14:paraId="26559215" w14:textId="6CA3E0C1" w:rsidR="00F6256E" w:rsidRPr="005B3E31" w:rsidRDefault="00F6256E" w:rsidP="003D74D8">
      <w:pPr>
        <w:pStyle w:val="FootnoteText"/>
        <w:spacing w:line="480" w:lineRule="auto"/>
        <w:rPr>
          <w:ins w:id="202156" w:author="Claude" w:date="2026-09-27T12:00:00Z"/>
          <w:color w:val="000000" w:themeColor="text1"/>
        </w:rPr>
      </w:pPr>
      <w:ins w:id="202134" w:author="Claude" w:date="2026-09-27T12:00:00Z">
        <w:r>
          <w:rPr>
            <w:rStyle w:val="FootnoteReference"/>
            <w:color w:val="000000" w:themeColor="text1"/>
          </w:rPr>
          <w:footnoteRef/>
        </w:r>
      </w:ins>
      <w:ins w:id="202135" w:author="Claude" w:date="2026-09-27T12:00:00Z">
        <w:r>
          <w:rPr>
            <w:color w:val="000000" w:themeColor="text1"/>
          </w:rPr>
          <w:t xml:space="preserve"> Robert Cooter &amp; Stephen Marks, </w:t>
        </w:r>
      </w:ins>
      <w:ins w:id="202136" w:author="Claude" w:date="2026-09-27T12:00:00Z">
        <w:r>
          <w:rPr>
            <w:i/>
            <w:iCs/>
            <w:color w:val="000000" w:themeColor="text1"/>
          </w:rPr>
          <w:t>Bargaining in the Shadow of the Law: A Testable Model of Strategic Behavior</w:t>
        </w:r>
      </w:ins>
      <w:ins w:id="202137" w:author="Claude" w:date="2026-09-27T12:00:00Z">
        <w:r>
          <w:rPr>
            <w:color w:val="000000" w:themeColor="text1"/>
          </w:rPr>
          <w:t xml:space="preserve">, 11 </w:t>
        </w:r>
      </w:ins>
      <w:ins w:id="202138" w:author="Claude" w:date="2026-09-27T12:00:00Z">
        <w:r>
          <w:rPr>
            <w:smallCaps/>
            <w:color w:val="000000" w:themeColor="text1"/>
          </w:rPr>
          <w:t>J. Legal Stud</w:t>
        </w:r>
      </w:ins>
      <w:ins w:id="202139" w:author="Claude" w:date="2026-09-27T12:00:00Z">
        <w:r>
          <w:rPr>
            <w:color w:val="000000" w:themeColor="text1"/>
          </w:rPr>
          <w:t xml:space="preserve">. 225, 233–251 (1982); Carrie Menkel-Meadow, </w:t>
        </w:r>
      </w:ins>
      <w:ins w:id="202140" w:author="Claude" w:date="2026-09-27T12:00:00Z">
        <w:r>
          <w:rPr>
            <w:i/>
            <w:iCs/>
            <w:color w:val="000000" w:themeColor="text1"/>
          </w:rPr>
          <w:t>The Transformation of Disputes by Lawyers: What the Dispute Paradigm Does and Does Not Tell Us</w:t>
        </w:r>
      </w:ins>
      <w:ins w:id="202141" w:author="Claude" w:date="2026-09-27T12:00:00Z">
        <w:r>
          <w:rPr>
            <w:color w:val="000000" w:themeColor="text1"/>
          </w:rPr>
          <w:t xml:space="preserve">, 1985 </w:t>
        </w:r>
      </w:ins>
      <w:ins w:id="202142" w:author="Claude" w:date="2026-09-27T12:00:00Z">
        <w:r>
          <w:rPr>
            <w:smallCaps/>
            <w:color w:val="000000" w:themeColor="text1"/>
          </w:rPr>
          <w:t>J. Disp. Resol</w:t>
        </w:r>
      </w:ins>
      <w:ins w:id="202143" w:author="Claude" w:date="2026-09-27T12:00:00Z">
        <w:r>
          <w:rPr>
            <w:color w:val="000000" w:themeColor="text1"/>
          </w:rPr>
          <w:t xml:space="preserve">. 25, 32; Avani Mehta Sood, </w:t>
        </w:r>
      </w:ins>
      <w:ins w:id="202144" w:author="Claude" w:date="2026-09-27T12:00:00Z">
        <w:r>
          <w:rPr>
            <w:i/>
            <w:iCs/>
            <w:color w:val="000000" w:themeColor="text1"/>
          </w:rPr>
          <w:t>Motivated Cognition in Legal Judgments—An Analytic Review</w:t>
        </w:r>
      </w:ins>
      <w:ins w:id="202145" w:author="Claude" w:date="2026-09-27T12:00:00Z">
        <w:r>
          <w:rPr>
            <w:color w:val="000000" w:themeColor="text1"/>
          </w:rPr>
          <w:t xml:space="preserve">, 9 </w:t>
        </w:r>
      </w:ins>
      <w:ins w:id="202146" w:author="Claude" w:date="2026-09-27T12:00:00Z">
        <w:r>
          <w:rPr>
            <w:smallCaps/>
            <w:color w:val="000000" w:themeColor="text1"/>
          </w:rPr>
          <w:t>Ann. R. L. &amp; Soc. Sci</w:t>
        </w:r>
      </w:ins>
      <w:ins w:id="202147" w:author="Claude" w:date="2026-09-27T12:00:00Z">
        <w:r>
          <w:rPr>
            <w:color w:val="000000" w:themeColor="text1"/>
          </w:rPr>
          <w:t xml:space="preserve">. 307, 321 (2013) (internal citations omitted); Doron Teichman, Eyal Zamir &amp; Ilana Ritov, </w:t>
        </w:r>
      </w:ins>
      <w:ins w:id="202148" w:author="Claude" w:date="2026-09-27T12:00:00Z">
        <w:r>
          <w:rPr>
            <w:i/>
            <w:iCs/>
            <w:color w:val="000000" w:themeColor="text1"/>
          </w:rPr>
          <w:t>Biases in Legal Decision-Making: Comparing Prosecutors, Defense Attorneys, Law Students, and Laypersons,</w:t>
        </w:r>
      </w:ins>
      <w:ins w:id="202149" w:author="Claude" w:date="2026-09-27T12:00:00Z">
        <w:r>
          <w:rPr>
            <w:color w:val="000000" w:themeColor="text1"/>
          </w:rPr>
          <w:t xml:space="preserve"> 20 J. </w:t>
        </w:r>
      </w:ins>
      <w:ins w:id="202150" w:author="Claude" w:date="2026-09-27T12:00:00Z">
        <w:r>
          <w:rPr>
            <w:smallCaps/>
            <w:color w:val="000000" w:themeColor="text1"/>
          </w:rPr>
          <w:t>Empirical Legal Stud</w:t>
        </w:r>
      </w:ins>
      <w:ins w:id="202151" w:author="Claude" w:date="2026-09-27T12:00:00Z">
        <w:r>
          <w:rPr>
            <w:color w:val="000000" w:themeColor="text1"/>
          </w:rPr>
          <w:t xml:space="preserve">. 852, 858 (2023); Jane Goodman-Delahunty et al., </w:t>
        </w:r>
      </w:ins>
      <w:ins w:id="202152" w:author="Claude" w:date="2026-09-27T12:00:00Z">
        <w:r>
          <w:rPr>
            <w:i/>
            <w:iCs/>
            <w:color w:val="000000" w:themeColor="text1"/>
          </w:rPr>
          <w:t>Insightful or Wishful: Lawyers’ Ability to Predict Case Outcomes</w:t>
        </w:r>
      </w:ins>
      <w:ins w:id="202153" w:author="Claude" w:date="2026-09-27T12:00:00Z">
        <w:r>
          <w:rPr>
            <w:color w:val="000000" w:themeColor="text1"/>
          </w:rPr>
          <w:t xml:space="preserve">, 16 </w:t>
        </w:r>
      </w:ins>
      <w:ins w:id="202154" w:author="Claude" w:date="2026-09-27T12:00:00Z">
        <w:r>
          <w:rPr>
            <w:smallCaps/>
            <w:color w:val="000000" w:themeColor="text1"/>
          </w:rPr>
          <w:t>Psych. Pub. Pol’y &amp; L</w:t>
        </w:r>
      </w:ins>
      <w:ins w:id="202155" w:author="Claude" w:date="2026-09-27T12:00:00Z">
        <w:r>
          <w:rPr>
            <w:color w:val="000000" w:themeColor="text1"/>
          </w:rPr>
          <w:t>. 133, 152 (2010).</w:t>
        </w:r>
      </w:ins>
    </w:p>
  </w:footnote>
  <w:footnote w:id="862">
    <w:p w14:paraId="0001000B" w14:textId="77777777" w:rsidR="007219E6" w:rsidRPr="005B3E31" w:rsidRDefault="00000000" w:rsidP="003D74D8">
      <w:pPr>
        <w:pStyle w:val="FootnoteText"/>
        <w:spacing w:line="480" w:lineRule="auto"/>
        <w:rPr>
          <w:ins w:id="202161" w:author="Claude" w:date="2026-09-27T12:00:00Z"/>
          <w:color w:val="000000" w:themeColor="text1"/>
        </w:rPr>
      </w:pPr>
      <w:ins w:id="202157" w:author="Claude" w:date="2026-09-27T12:00:00Z">
        <w:r>
          <w:rPr>
            <w:rStyle w:val="FootnoteReference"/>
            <w:color w:val="000000" w:themeColor="text1"/>
          </w:rPr>
          <w:footnoteRef/>
        </w:r>
      </w:ins>
      <w:ins w:id="202158" w:author="Claude" w:date="2026-09-27T12:00:00Z">
        <w:r>
          <w:rPr>
            <w:color w:val="000000" w:themeColor="text1"/>
          </w:rPr>
          <w:t xml:space="preserve"> </w:t>
        </w:r>
      </w:ins>
      <w:ins w:id="202159" w:author="Claude" w:date="2026-09-27T12:00:00Z">
        <w:r>
          <w:rPr>
            <w:i/>
            <w:iCs/>
            <w:color w:val="000000" w:themeColor="text1"/>
          </w:rPr>
          <w:t>See infra</w:t>
        </w:r>
      </w:ins>
      <w:ins w:id="202160" w:author="Claude" w:date="2026-09-27T12:00:00Z">
        <w:r>
          <w:rPr>
            <w:color w:val="000000" w:themeColor="text1"/>
          </w:rPr>
          <w:t xml:space="preserve"> Section VI.</w:t>
        </w:r>
      </w:ins>
    </w:p>
  </w:footnote>
  <w:footnote w:id="863">
    <w:p w14:paraId="5943CC01" w14:textId="6F89ABE9" w:rsidR="00556D4F" w:rsidRPr="005B3E31" w:rsidRDefault="00556D4F" w:rsidP="003D74D8">
      <w:pPr>
        <w:pStyle w:val="FootnoteText"/>
        <w:spacing w:line="480" w:lineRule="auto"/>
        <w:rPr>
          <w:ins w:id="202170" w:author="Claude" w:date="2026-09-27T12:00:00Z"/>
        </w:rPr>
      </w:pPr>
      <w:ins w:id="202166" w:author="Claude" w:date="2026-09-27T12:00:00Z">
        <w:r>
          <w:rPr>
            <w:rStyle w:val="FootnoteReference"/>
          </w:rPr>
          <w:footnoteRef/>
        </w:r>
      </w:ins>
      <w:ins w:id="202167" w:author="Claude" w:date="2026-09-27T12:00:00Z">
        <w:r>
          <w:t xml:space="preserve"> Ross, </w:t>
        </w:r>
      </w:ins>
      <w:ins w:id="202168" w:author="Claude" w:date="2026-09-27T12:00:00Z">
        <w:r>
          <w:rPr>
            <w:i/>
            <w:iCs/>
          </w:rPr>
          <w:t>supra</w:t>
        </w:r>
      </w:ins>
      <w:ins w:id="202169" w:author="Claude" w:date="2026-09-27T12:00:00Z">
        <w:r>
          <w:t xml:space="preserve"> note 85, at 47 (quoting Judge Thomas M. Reavley).</w:t>
        </w:r>
      </w:ins>
    </w:p>
  </w:footnote>
  <w:footnote w:id="864">
    <w:p w14:paraId="0CE453E1" w14:textId="735CB21A" w:rsidR="00F54EDF" w:rsidRPr="005B3E31" w:rsidRDefault="00F54EDF" w:rsidP="003D74D8">
      <w:pPr>
        <w:pStyle w:val="FootnoteText"/>
        <w:spacing w:line="480" w:lineRule="auto"/>
        <w:rPr>
          <w:ins w:id="202190" w:author="Claude" w:date="2026-09-27T12:00:00Z"/>
        </w:rPr>
      </w:pPr>
      <w:ins w:id="202174" w:author="Claude" w:date="2026-09-27T12:00:00Z">
        <w:r>
          <w:rPr>
            <w:rStyle w:val="FootnoteReference"/>
          </w:rPr>
          <w:footnoteRef/>
        </w:r>
      </w:ins>
      <w:ins w:id="202175" w:author="Claude" w:date="2026-09-27T12:00:00Z">
        <w:r>
          <w:t xml:space="preserve"> John Lande, </w:t>
        </w:r>
      </w:ins>
      <w:ins w:id="202176" w:author="Claude" w:date="2026-09-27T12:00:00Z">
        <w:r>
          <w:rPr>
            <w:i/>
            <w:iCs/>
          </w:rPr>
          <w:t>For Pragmatic Romanticism in Law and Dispute Resolution: Reflections on Galanter’s Remarkably Realistic Analysis of Why the Have-Nots Come Out Behind</w:t>
        </w:r>
      </w:ins>
      <w:ins w:id="202177" w:author="Claude" w:date="2026-09-27T12:00:00Z">
        <w:r>
          <w:t xml:space="preserve">, </w:t>
        </w:r>
      </w:ins>
      <w:ins w:id="202178" w:author="Claude" w:date="2026-09-27T12:00:00Z">
        <w:r>
          <w:rPr>
            <w:i/>
            <w:iCs/>
          </w:rPr>
          <w:t>in</w:t>
        </w:r>
      </w:ins>
      <w:ins w:id="202179" w:author="Claude" w:date="2026-09-27T12:00:00Z">
        <w:r>
          <w:t xml:space="preserve"> </w:t>
        </w:r>
      </w:ins>
      <w:ins w:id="202180" w:author="Claude" w:date="2026-09-27T12:00:00Z">
        <w:r>
          <w:rPr>
            <w:smallCaps/>
          </w:rPr>
          <w:t>Discussions in Dispute Resolution: The Foundational Articles</w:t>
        </w:r>
      </w:ins>
      <w:ins w:id="202181" w:author="Claude" w:date="2026-09-27T12:00:00Z">
        <w:r>
          <w:t xml:space="preserve"> 303, 305 (Art Hinshaw et al. eds., 2021); Lande, supra note 8, at 3, 5; Marc Galanter, </w:t>
        </w:r>
      </w:ins>
      <w:ins w:id="202182" w:author="Claude" w:date="2026-09-27T12:00:00Z">
        <w:r>
          <w:rPr>
            <w:i/>
            <w:iCs/>
          </w:rPr>
          <w:t>Worlds of Deals: Using Negotiation to Teach about Legal Process</w:t>
        </w:r>
      </w:ins>
      <w:ins w:id="202183" w:author="Claude" w:date="2026-09-27T12:00:00Z">
        <w:r>
          <w:t xml:space="preserve">, 34 </w:t>
        </w:r>
      </w:ins>
      <w:ins w:id="202184" w:author="Claude" w:date="2026-09-27T12:00:00Z">
        <w:r>
          <w:rPr>
            <w:smallCaps/>
          </w:rPr>
          <w:t>J. Legal Educ.</w:t>
        </w:r>
      </w:ins>
      <w:ins w:id="202185" w:author="Claude" w:date="2026-09-27T12:00:00Z">
        <w:r>
          <w:t xml:space="preserve"> 268, 268 (1984) John Lande, </w:t>
        </w:r>
      </w:ins>
      <w:ins w:id="202186" w:author="Claude" w:date="2026-09-27T12:00:00Z">
        <w:r>
          <w:rPr>
            <w:i/>
            <w:iCs/>
          </w:rPr>
          <w:t>How Will Lawyering and Mediation Practices Transform Each Other?</w:t>
        </w:r>
      </w:ins>
      <w:ins w:id="202187" w:author="Claude" w:date="2026-09-27T12:00:00Z">
        <w:r>
          <w:t xml:space="preserve">, 24 </w:t>
        </w:r>
      </w:ins>
      <w:ins w:id="202188" w:author="Claude" w:date="2026-09-27T12:00:00Z">
        <w:r>
          <w:rPr>
            <w:smallCaps/>
          </w:rPr>
          <w:t>Fla. St. U. L. Rev.</w:t>
        </w:r>
      </w:ins>
      <w:ins w:id="202189" w:author="Claude" w:date="2026-09-27T12:00:00Z">
        <w:r>
          <w:t xml:space="preserve"> 839, 841 (1997) </w:t>
        </w:r>
      </w:ins>
    </w:p>
  </w:footnote>
  <w:footnote w:id="865">
    <w:p w14:paraId="33FBCA56" w14:textId="180DA63E" w:rsidR="00B573FE" w:rsidRPr="005B3E31" w:rsidRDefault="00B573FE" w:rsidP="003D74D8">
      <w:pPr>
        <w:pStyle w:val="FootnoteText"/>
        <w:spacing w:line="480" w:lineRule="auto"/>
        <w:rPr>
          <w:ins w:id="202199" w:author="Claude" w:date="2026-09-27T12:00:00Z"/>
        </w:rPr>
      </w:pPr>
      <w:ins w:id="202193" w:author="Claude" w:date="2026-09-27T12:00:00Z">
        <w:r>
          <w:rPr>
            <w:rStyle w:val="FootnoteReference"/>
          </w:rPr>
          <w:footnoteRef/>
        </w:r>
      </w:ins>
      <w:ins w:id="202194" w:author="Claude" w:date="2026-09-27T12:00:00Z">
        <w:r>
          <w:t xml:space="preserve"> Amos Gabrieli &amp; Michal Alberstein, </w:t>
        </w:r>
      </w:ins>
      <w:ins w:id="202195" w:author="Claude" w:date="2026-09-27T12:00:00Z">
        <w:r>
          <w:rPr>
            <w:i/>
            <w:iCs/>
          </w:rPr>
          <w:t>Conflict Resolution Procedures Within the Courtroom: Between the Adversarial and Inquisitorial Traditions</w:t>
        </w:r>
      </w:ins>
      <w:ins w:id="202196" w:author="Claude" w:date="2026-09-27T12:00:00Z">
        <w:r>
          <w:t xml:space="preserve">, 51 </w:t>
        </w:r>
      </w:ins>
      <w:ins w:id="202197" w:author="Claude" w:date="2026-09-27T12:00:00Z">
        <w:r>
          <w:rPr>
            <w:smallCaps/>
          </w:rPr>
          <w:t>Ga. J. Int’l &amp; Comp. L.</w:t>
        </w:r>
      </w:ins>
      <w:ins w:id="202198" w:author="Claude" w:date="2026-09-27T12:00:00Z">
        <w:r>
          <w:t xml:space="preserve"> 89, 91, 111 (2022)</w:t>
        </w:r>
      </w:ins>
    </w:p>
  </w:footnote>
  <w:footnote w:id="866">
    <w:p w14:paraId="4F8A5E5A" w14:textId="1B098107" w:rsidR="008E3C30" w:rsidRPr="005B3E31" w:rsidRDefault="00765972" w:rsidP="003D74D8">
      <w:pPr>
        <w:pStyle w:val="FootnoteText"/>
        <w:spacing w:line="480" w:lineRule="auto"/>
        <w:rPr>
          <w:ins w:id="202209" w:author="Claude" w:date="2026-09-27T12:00:00Z"/>
          <w:color w:val="000000" w:themeColor="text1"/>
        </w:rPr>
      </w:pPr>
      <w:ins w:id="202203" w:author="Claude" w:date="2026-09-27T12:00:00Z">
        <w:r>
          <w:rPr>
            <w:rStyle w:val="FootnoteReference"/>
            <w:color w:val="000000" w:themeColor="text1"/>
          </w:rPr>
          <w:footnoteRef/>
        </w:r>
      </w:ins>
      <w:ins w:id="202204" w:author="Claude" w:date="2026-09-27T12:00:00Z">
        <w:r>
          <w:rPr>
            <w:color w:val="000000" w:themeColor="text1"/>
          </w:rPr>
          <w:t xml:space="preserve"> A leading ADR treatise defines a dispute as arising only once a claimant asserts a claim against a respondent. </w:t>
        </w:r>
      </w:ins>
      <w:ins w:id="202205" w:author="Claude" w:date="2026-09-27T12:00:00Z">
        <w:r>
          <w:rPr>
            <w:i/>
            <w:iCs/>
            <w:color w:val="000000" w:themeColor="text1"/>
          </w:rPr>
          <w:t>See</w:t>
        </w:r>
      </w:ins>
      <w:ins w:id="202206" w:author="Claude" w:date="2026-09-27T12:00:00Z">
        <w:r>
          <w:rPr>
            <w:color w:val="000000" w:themeColor="text1"/>
          </w:rPr>
          <w:t xml:space="preserve"> </w:t>
        </w:r>
      </w:ins>
      <w:ins w:id="202207" w:author="Claude" w:date="2026-09-27T12:00:00Z">
        <w:r>
          <w:rPr>
            <w:smallCaps/>
            <w:color w:val="000000" w:themeColor="text1"/>
          </w:rPr>
          <w:t>Stephen J. Ware, Principles of Alternative Dispute Resolution</w:t>
        </w:r>
      </w:ins>
      <w:ins w:id="202208" w:author="Claude" w:date="2026-09-27T12:00:00Z">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ins>
    </w:p>
  </w:footnote>
  <w:footnote w:id="867">
    <w:p>
      <w:pPr>
        <w:pStyle w:val="FootnoteText"/>
        <w:spacing w:line="480" w:lineRule="auto"/>
        <w:rPr>
          <w:ins w:id="202210" w:author="Claude" w:date="2026-09-27T12:00:00Z"/>
        </w:rPr>
      </w:pPr>
      <w:ins w:id="202211" w:author="Claude" w:date="2026-09-27T12:00:00Z">
        <w:r>
          <w:rPr>
            <w:rStyle w:val="FootnoteReference"/>
          </w:rPr>
          <w:footnoteRef/>
        </w:r>
        <w:r>
          <w:t xml:space="preserve"> </w:t>
        </w:r>
        <w:r>
          <w:rPr>
            <w:smallCaps/>
          </w:rPr>
          <w:t>Mary Douglas, How Institutions Think</w:t>
        </w:r>
        <w:r>
          <w:t xml:space="preserve"> 111 (1986).</w:t>
        </w:r>
      </w:ins>
    </w:p>
  </w:footnote>
  <w:footnote w:id="868">
    <w:p w14:paraId="556F5486" w14:textId="3A1C47C1" w:rsidR="007219E6" w:rsidRPr="005B3E31" w:rsidRDefault="00000000" w:rsidP="003D74D8">
      <w:pPr>
        <w:pStyle w:val="FootnoteText"/>
        <w:spacing w:line="480" w:lineRule="auto"/>
        <w:rPr>
          <w:ins w:id="202216" w:author="Claude" w:date="2026-09-27T12:00:00Z"/>
          <w:color w:val="000000" w:themeColor="text1"/>
        </w:rPr>
      </w:pPr>
      <w:ins w:id="202212" w:author="Claude" w:date="2026-09-27T12:00:00Z">
        <w:r>
          <w:rPr>
            <w:rStyle w:val="FootnoteReference"/>
            <w:color w:val="000000" w:themeColor="text1"/>
          </w:rPr>
          <w:footnoteRef/>
        </w:r>
      </w:ins>
      <w:ins w:id="202213" w:author="Claude" w:date="2026-09-27T12:00:00Z">
        <w:r>
          <w:rPr>
            <w:color w:val="000000" w:themeColor="text1"/>
          </w:rPr>
          <w:t xml:space="preserve"> </w:t>
        </w:r>
      </w:ins>
      <w:ins w:id="202214" w:author="Claude" w:date="2026-09-27T12:00:00Z">
        <w:r>
          <w:rPr>
            <w:i/>
            <w:iCs/>
            <w:color w:val="000000" w:themeColor="text1"/>
          </w:rPr>
          <w:t>See infra</w:t>
        </w:r>
      </w:ins>
      <w:ins w:id="202215" w:author="Claude" w:date="2026-09-27T12:00:00Z">
        <w:r>
          <w:rPr>
            <w:color w:val="000000" w:themeColor="text1"/>
          </w:rPr>
          <w:t xml:space="preserve"> Sections IV–V.</w:t>
        </w:r>
      </w:ins>
    </w:p>
  </w:footnote>
  <w:footnote w:id="869">
    <w:p w14:paraId="44F07397" w14:textId="56A7B525" w:rsidR="0043682F" w:rsidRPr="005B3E31" w:rsidRDefault="0043682F" w:rsidP="003D74D8">
      <w:pPr>
        <w:pStyle w:val="FootnoteText"/>
        <w:spacing w:line="480" w:lineRule="auto"/>
        <w:rPr>
          <w:ins w:id="202223" w:author="Claude" w:date="2026-09-27T12:00:00Z"/>
          <w:color w:val="000000" w:themeColor="text1"/>
        </w:rPr>
      </w:pPr>
      <w:ins w:id="202217" w:author="Claude" w:date="2026-09-27T12:00:00Z">
        <w:r>
          <w:rPr>
            <w:rStyle w:val="FootnoteReference"/>
            <w:color w:val="000000" w:themeColor="text1"/>
          </w:rPr>
          <w:footnoteRef/>
        </w:r>
      </w:ins>
      <w:ins w:id="202218" w:author="Claude" w:date="2026-09-27T12:00:00Z">
        <w:r>
          <w:rPr>
            <w:color w:val="000000" w:themeColor="text1"/>
          </w:rPr>
          <w:t xml:space="preserve"> </w:t>
        </w:r>
      </w:ins>
      <w:ins w:id="202219" w:author="Claude" w:date="2026-09-27T12:00:00Z">
        <w:r>
          <w:rPr>
            <w:smallCaps/>
            <w:color w:val="000000" w:themeColor="text1"/>
          </w:rPr>
          <w:t>Art Hinshaw</w:t>
        </w:r>
      </w:ins>
      <w:ins w:id="202220" w:author="Claude" w:date="2026-09-27T12:00:00Z">
        <w:r>
          <w:rPr>
            <w:color w:val="000000" w:themeColor="text1"/>
          </w:rPr>
          <w:t xml:space="preserve"> et al., </w:t>
        </w:r>
      </w:ins>
      <w:ins w:id="202221" w:author="Claude" w:date="2026-09-27T12:00:00Z">
        <w:r>
          <w:rPr>
            <w:smallCaps/>
            <w:color w:val="000000" w:themeColor="text1"/>
          </w:rPr>
          <w:t>Discussions in Dispute Resolution</w:t>
        </w:r>
      </w:ins>
      <w:ins w:id="202222" w:author="Claude" w:date="2026-09-27T12:00:00Z">
        <w:r>
          <w:rPr>
            <w:color w:val="000000" w:themeColor="text1"/>
          </w:rPr>
          <w:t xml:space="preserve"> at xix (2021).</w:t>
        </w:r>
      </w:ins>
    </w:p>
  </w:footnote>
  <w:footnote w:id="870">
    <w:p w14:paraId="711DF507" w14:textId="7ADD30D8" w:rsidR="008B1831" w:rsidRPr="005B3E31" w:rsidRDefault="008B1831" w:rsidP="003D74D8">
      <w:pPr>
        <w:pStyle w:val="FootnoteText"/>
        <w:spacing w:line="480" w:lineRule="auto"/>
        <w:rPr>
          <w:ins w:id="202257" w:author="Claude" w:date="2026-09-27T12:00:00Z"/>
          <w:color w:val="000000" w:themeColor="text1"/>
        </w:rPr>
      </w:pPr>
      <w:ins w:id="202224" w:author="Claude" w:date="2026-09-27T12:00:00Z">
        <w:r>
          <w:rPr>
            <w:rStyle w:val="FootnoteReference"/>
            <w:color w:val="000000" w:themeColor="text1"/>
          </w:rPr>
          <w:footnoteRef/>
        </w:r>
      </w:ins>
      <w:ins w:id="202225" w:author="Claude" w:date="2026-09-27T12:00:00Z">
        <w:r>
          <w:rPr>
            <w:color w:val="000000" w:themeColor="text1"/>
          </w:rPr>
          <w:t xml:space="preserve">Andrew B. Mamo, </w:t>
        </w:r>
      </w:ins>
      <w:ins w:id="202226" w:author="Claude" w:date="2026-09-27T12:00:00Z">
        <w:r>
          <w:rPr>
            <w:i/>
            <w:iCs/>
            <w:color w:val="000000" w:themeColor="text1"/>
          </w:rPr>
          <w:t>Three Ways of Looking at Dispute Resolution</w:t>
        </w:r>
      </w:ins>
      <w:ins w:id="202227" w:author="Claude" w:date="2026-09-27T12:00:00Z">
        <w:r>
          <w:rPr>
            <w:color w:val="000000" w:themeColor="text1"/>
          </w:rPr>
          <w:t xml:space="preserve">, 54 </w:t>
        </w:r>
      </w:ins>
      <w:ins w:id="202228" w:author="Claude" w:date="2026-09-27T12:00:00Z">
        <w:r>
          <w:rPr>
            <w:smallCaps/>
            <w:color w:val="000000" w:themeColor="text1"/>
          </w:rPr>
          <w:t>Wake Forest L. Rev.</w:t>
        </w:r>
      </w:ins>
      <w:ins w:id="202229" w:author="Claude" w:date="2026-09-27T12:00:00Z">
        <w:r>
          <w:rPr>
            <w:color w:val="000000" w:themeColor="text1"/>
          </w:rPr>
          <w:t xml:space="preserve"> 1399, 1403, 1434–35 (2019); </w:t>
        </w:r>
      </w:ins>
      <w:ins w:id="202230" w:author="Claude" w:date="2026-09-27T12:00:00Z">
        <w:r>
          <w:rPr>
            <w:smallCaps/>
            <w:color w:val="000000" w:themeColor="text1"/>
          </w:rPr>
          <w:t>Stephen J. Ware, Principles of Alternative Dispute Resolution</w:t>
        </w:r>
      </w:ins>
      <w:ins w:id="202231" w:author="Claude" w:date="2026-09-27T12:00:00Z">
        <w:r>
          <w:rPr>
            <w:color w:val="000000" w:themeColor="text1"/>
          </w:rPr>
          <w:t xml:space="preserve"> (2023); Carrie Menkel-Meadow, </w:t>
        </w:r>
      </w:ins>
      <w:ins w:id="202232" w:author="Claude" w:date="2026-09-27T12:00:00Z">
        <w:r>
          <w:rPr>
            <w:i/>
            <w:iCs/>
            <w:color w:val="000000" w:themeColor="text1"/>
          </w:rPr>
          <w:t>The Transformation of Disputes by Lawyers: What the Dispute Paradigm Does and Does Not Tell Us</w:t>
        </w:r>
      </w:ins>
      <w:ins w:id="202233" w:author="Claude" w:date="2026-09-27T12:00:00Z">
        <w:r>
          <w:rPr>
            <w:color w:val="000000" w:themeColor="text1"/>
          </w:rPr>
          <w:t xml:space="preserve">, 1985 </w:t>
        </w:r>
      </w:ins>
      <w:ins w:id="202234" w:author="Claude" w:date="2026-09-27T12:00:00Z">
        <w:r>
          <w:rPr>
            <w:smallCaps/>
            <w:color w:val="000000" w:themeColor="text1"/>
          </w:rPr>
          <w:t>Mo. J</w:t>
        </w:r>
      </w:ins>
      <w:ins w:id="202235" w:author="Claude" w:date="2026-09-27T12:00:00Z">
        <w:r>
          <w:rPr>
            <w:color w:val="000000" w:themeColor="text1"/>
          </w:rPr>
          <w:t xml:space="preserve">. </w:t>
        </w:r>
      </w:ins>
      <w:ins w:id="202236" w:author="Claude" w:date="2026-09-27T12:00:00Z">
        <w:r>
          <w:rPr>
            <w:smallCaps/>
            <w:color w:val="000000" w:themeColor="text1"/>
          </w:rPr>
          <w:t>Disp. Resol.</w:t>
        </w:r>
      </w:ins>
      <w:ins w:id="202237" w:author="Claude" w:date="2026-09-27T12:00:00Z">
        <w:r>
          <w:rPr>
            <w:color w:val="000000" w:themeColor="text1"/>
          </w:rPr>
          <w:t xml:space="preserve"> 25, 29 (1985); Richard E. Miller &amp; Austin Sarat, </w:t>
        </w:r>
      </w:ins>
      <w:ins w:id="202238" w:author="Claude" w:date="2026-09-27T12:00:00Z">
        <w:r>
          <w:rPr>
            <w:i/>
            <w:iCs/>
            <w:color w:val="000000" w:themeColor="text1"/>
          </w:rPr>
          <w:t>Grievances, Claims, and Disputes: Assessing the Adversary Culture</w:t>
        </w:r>
      </w:ins>
      <w:ins w:id="202239" w:author="Claude" w:date="2026-09-27T12:00:00Z">
        <w:r>
          <w:rPr>
            <w:color w:val="000000" w:themeColor="text1"/>
          </w:rPr>
          <w:t xml:space="preserve">, 15 </w:t>
        </w:r>
      </w:ins>
      <w:ins w:id="202240" w:author="Claude" w:date="2026-09-27T12:00:00Z">
        <w:r>
          <w:rPr>
            <w:smallCaps/>
            <w:color w:val="000000" w:themeColor="text1"/>
          </w:rPr>
          <w:t>L. &amp; Soc’y Rev</w:t>
        </w:r>
      </w:ins>
      <w:ins w:id="202241" w:author="Claude" w:date="2026-09-27T12:00:00Z">
        <w:r>
          <w:rPr>
            <w:color w:val="000000" w:themeColor="text1"/>
          </w:rPr>
          <w:t xml:space="preserve">. 525, 526 (1980–81); John Lande, </w:t>
        </w:r>
      </w:ins>
      <w:ins w:id="202242" w:author="Claude" w:date="2026-09-27T12:00:00Z">
        <w:r>
          <w:rPr>
            <w:i/>
            <w:iCs/>
            <w:color w:val="000000" w:themeColor="text1"/>
          </w:rPr>
          <w:t>A Framework for Advancing Negotiation Theory: Implications from a Study of How Lawyers Reach Agreement in Pretrial Litigation</w:t>
        </w:r>
      </w:ins>
      <w:ins w:id="202243" w:author="Claude" w:date="2026-09-27T12:00:00Z">
        <w:r>
          <w:rPr>
            <w:color w:val="000000" w:themeColor="text1"/>
          </w:rPr>
          <w:t xml:space="preserve">, 16 </w:t>
        </w:r>
      </w:ins>
      <w:ins w:id="202244" w:author="Claude" w:date="2026-09-27T12:00:00Z">
        <w:r>
          <w:rPr>
            <w:smallCaps/>
            <w:color w:val="000000" w:themeColor="text1"/>
          </w:rPr>
          <w:t>Cardozo J. Conflict Resol</w:t>
        </w:r>
      </w:ins>
      <w:ins w:id="202245" w:author="Claude" w:date="2026-09-27T12:00:00Z">
        <w:r>
          <w:rPr>
            <w:color w:val="000000" w:themeColor="text1"/>
          </w:rPr>
          <w:t xml:space="preserve">. 1, 4–7 (2014); </w:t>
        </w:r>
      </w:ins>
      <w:ins w:id="202246" w:author="Claude" w:date="2026-09-27T12:00:00Z">
        <w:r>
          <w:rPr>
            <w:i/>
            <w:iCs/>
            <w:color w:val="000000" w:themeColor="text1"/>
          </w:rPr>
          <w:t>see</w:t>
        </w:r>
      </w:ins>
      <w:ins w:id="202247" w:author="Claude" w:date="2026-09-27T12:00:00Z">
        <w:r>
          <w:rPr>
            <w:color w:val="000000" w:themeColor="text1"/>
          </w:rPr>
          <w:t xml:space="preserve"> </w:t>
        </w:r>
      </w:ins>
      <w:ins w:id="202248" w:author="Claude" w:date="2026-09-27T12:00:00Z">
        <w:r>
          <w:rPr>
            <w:i/>
            <w:iCs/>
            <w:color w:val="000000" w:themeColor="text1"/>
          </w:rPr>
          <w:t>infra</w:t>
        </w:r>
      </w:ins>
      <w:ins w:id="202249" w:author="Claude" w:date="2026-09-27T12:00:00Z">
        <w:r>
          <w:rPr>
            <w:color w:val="000000" w:themeColor="text1"/>
          </w:rPr>
          <w:t xml:space="preserve"> Section III; Menkel-Meadow, </w:t>
        </w:r>
      </w:ins>
      <w:ins w:id="202250" w:author="Claude" w:date="2026-09-27T12:00:00Z">
        <w:r>
          <w:rPr>
            <w:i/>
            <w:iCs/>
            <w:color w:val="000000" w:themeColor="text1"/>
          </w:rPr>
          <w:t>supra</w:t>
        </w:r>
      </w:ins>
      <w:ins w:id="202251" w:author="Claude" w:date="2026-09-27T12:00:00Z">
        <w:r>
          <w:rPr>
            <w:color w:val="000000" w:themeColor="text1"/>
          </w:rPr>
          <w:fldChar w:fldCharType="begin"/>
        </w:r>
      </w:ins>
      <w:ins w:id="202252" w:author="Claude" w:date="2026-09-27T12:00:00Z">
        <w:r>
          <w:rPr>
            <w:color w:val="000000" w:themeColor="text1"/>
          </w:rPr>
          <w:instrText xml:space="preserve"> NOTEREF _Ref214049453 \h  \* MERGEFORMAT </w:instrText>
        </w:r>
      </w:ins>
      <w:ins w:id="202253" w:author="Claude" w:date="2026-09-27T12:00:00Z">
        <w:r>
          <w:rPr>
            <w:color w:val="000000" w:themeColor="text1"/>
          </w:rPr>
        </w:r>
      </w:ins>
      <w:ins w:id="202254" w:author="Claude" w:date="2026-09-27T12:00:00Z">
        <w:r>
          <w:rPr>
            <w:color w:val="000000" w:themeColor="text1"/>
          </w:rPr>
          <w:fldChar w:fldCharType="separate"/>
        </w:r>
      </w:ins>
      <w:ins w:id="202255" w:author="Claude" w:date="2026-09-27T12:00:00Z">
        <w:r>
          <w:rPr>
            <w:color w:val="000000" w:themeColor="text1"/>
          </w:rPr>
          <w:fldChar w:fldCharType="end"/>
        </w:r>
      </w:ins>
      <w:ins w:id="202256" w:author="Claude" w:date="2026-09-27T12:00:00Z">
        <w:r>
          <w:rPr>
            <w:color w:val="000000" w:themeColor="text1"/>
          </w:rPr>
          <w:t>, at 26.</w:t>
        </w:r>
      </w:ins>
    </w:p>
  </w:footnote>
  <w:footnote w:id="871">
    <w:p w14:paraId="78D26124" w14:textId="12A7B799" w:rsidR="008B1831" w:rsidRPr="005B3E31" w:rsidRDefault="008B1831" w:rsidP="003D74D8">
      <w:pPr>
        <w:pStyle w:val="FootnoteText"/>
        <w:spacing w:line="480" w:lineRule="auto"/>
        <w:rPr>
          <w:ins w:id="202262" w:author="Claude" w:date="2026-09-27T12:00:00Z"/>
          <w:color w:val="000000" w:themeColor="text1"/>
        </w:rPr>
      </w:pPr>
      <w:ins w:id="202258" w:author="Claude" w:date="2026-09-27T12:00:00Z">
        <w:r>
          <w:rPr>
            <w:rStyle w:val="FootnoteReference"/>
            <w:color w:val="000000" w:themeColor="text1"/>
          </w:rPr>
          <w:footnoteRef/>
        </w:r>
      </w:ins>
      <w:ins w:id="202259" w:author="Claude" w:date="2026-09-27T12:00:00Z">
        <w:r>
          <w:rPr>
            <w:color w:val="000000" w:themeColor="text1"/>
          </w:rPr>
          <w:t xml:space="preserve">  </w:t>
        </w:r>
      </w:ins>
      <w:ins w:id="202260" w:author="Claude" w:date="2026-09-27T12:00:00Z">
        <w:r>
          <w:rPr>
            <w:smallCaps/>
            <w:color w:val="000000" w:themeColor="text1"/>
          </w:rPr>
          <w:t>Martin Heidegger, The Essence of Truth</w:t>
        </w:r>
      </w:ins>
      <w:ins w:id="202261" w:author="Claude" w:date="2026-09-27T12:00:00Z">
        <w:r>
          <w:rPr>
            <w:color w:val="000000" w:themeColor="text1"/>
          </w:rPr>
          <w:t xml:space="preserve"> 21–22, 43 (Sadler trans., Bloomsbury Academic 2013). </w:t>
        </w:r>
      </w:ins>
    </w:p>
  </w:footnote>
  <w:footnote w:id="872">
    <w:p w14:paraId="70A4D3F2" w14:textId="6B089DC8" w:rsidR="00156E3A" w:rsidRPr="005B3E31" w:rsidRDefault="00156E3A" w:rsidP="003D74D8">
      <w:pPr>
        <w:pStyle w:val="FootnoteText"/>
        <w:spacing w:line="480" w:lineRule="auto"/>
        <w:rPr>
          <w:ins w:id="202273" w:author="Claude" w:date="2026-09-27T12:00:00Z"/>
          <w:color w:val="000000" w:themeColor="text1"/>
        </w:rPr>
      </w:pPr>
      <w:ins w:id="202263" w:author="Claude" w:date="2026-09-27T12:00:00Z">
        <w:r>
          <w:rPr>
            <w:rStyle w:val="FootnoteReference"/>
            <w:color w:val="000000" w:themeColor="text1"/>
          </w:rPr>
          <w:footnoteRef/>
        </w:r>
      </w:ins>
      <w:ins w:id="202264" w:author="Claude" w:date="2026-09-27T12:00:00Z">
        <w:r>
          <w:rPr>
            <w:color w:val="000000" w:themeColor="text1"/>
          </w:rPr>
          <w:t>Andrew B. Mamo</w:t>
        </w:r>
      </w:ins>
      <w:ins w:id="202265" w:author="Claude" w:date="2026-09-27T12:00:00Z">
        <w:r>
          <w:rPr>
            <w:i/>
            <w:iCs/>
            <w:color w:val="000000" w:themeColor="text1"/>
          </w:rPr>
          <w:t>, Putting the “Alternative” Back Into ADR</w:t>
        </w:r>
      </w:ins>
      <w:ins w:id="202266" w:author="Claude" w:date="2026-09-27T12:00:00Z">
        <w:r>
          <w:rPr>
            <w:color w:val="000000" w:themeColor="text1"/>
          </w:rPr>
          <w:t xml:space="preserve">, 70 </w:t>
        </w:r>
      </w:ins>
      <w:ins w:id="202267" w:author="Claude" w:date="2026-09-27T12:00:00Z">
        <w:r>
          <w:rPr>
            <w:smallCaps/>
            <w:color w:val="000000" w:themeColor="text1"/>
          </w:rPr>
          <w:t>Wash. U. J. L. &amp; Pol’y</w:t>
        </w:r>
      </w:ins>
      <w:ins w:id="202268" w:author="Claude" w:date="2026-09-27T12:00:00Z">
        <w:r>
          <w:rPr>
            <w:color w:val="000000" w:themeColor="text1"/>
          </w:rPr>
          <w:t xml:space="preserve"> 219, 221–26 (2023); Nancy A. Welsh, </w:t>
        </w:r>
      </w:ins>
      <w:ins w:id="202269" w:author="Claude" w:date="2026-09-27T12:00:00Z">
        <w:r>
          <w:rPr>
            <w:i/>
            <w:iCs/>
            <w:color w:val="000000" w:themeColor="text1"/>
          </w:rPr>
          <w:t>The Thinning Vision of Self-Determination in Court-Connected Mediation: The Inevitable Price of Institutionalization?</w:t>
        </w:r>
      </w:ins>
      <w:ins w:id="202270" w:author="Claude" w:date="2026-09-27T12:00:00Z">
        <w:r>
          <w:rPr>
            <w:color w:val="000000" w:themeColor="text1"/>
          </w:rPr>
          <w:t xml:space="preserve">, 6 </w:t>
        </w:r>
      </w:ins>
      <w:ins w:id="202271" w:author="Claude" w:date="2026-09-27T12:00:00Z">
        <w:r>
          <w:rPr>
            <w:smallCaps/>
            <w:color w:val="000000" w:themeColor="text1"/>
          </w:rPr>
          <w:t>Harv. Negot. L. Rev.</w:t>
        </w:r>
      </w:ins>
      <w:ins w:id="202272" w:author="Claude" w:date="2026-09-27T12:00:00Z">
        <w:r>
          <w:rPr>
            <w:color w:val="000000" w:themeColor="text1"/>
          </w:rPr>
          <w:t xml:space="preserve"> 1, 23–27 (2001).</w:t>
        </w:r>
      </w:ins>
    </w:p>
  </w:footnote>
  <w:footnote w:id="873">
    <w:p>
      <w:pPr>
        <w:pStyle w:val="FootnoteText"/>
        <w:spacing w:line="480" w:lineRule="auto"/>
        <w:rPr>
          <w:ins w:id="202276" w:author="Claude" w:date="2026-09-27T12:00:00Z"/>
        </w:rPr>
      </w:pPr>
      <w:ins w:id="202277" w:author="Claude" w:date="2026-09-27T12:00:00Z">
        <w:r>
          <w:rPr>
            <w:rStyle w:val="FootnoteReference"/>
          </w:rPr>
          <w:footnoteRef/>
        </w:r>
        <w:r>
          <w:t xml:space="preserve"> </w:t>
        </w:r>
        <w:r>
          <w:t xml:space="preserve">Lon L. Fuller &amp; John D. Randall, </w:t>
        </w:r>
        <w:r>
          <w:rPr>
            <w:i/>
          </w:rPr>
          <w:t>Professional Responsibility: Report of the Joint Conference</w:t>
        </w:r>
        <w:r>
          <w:t xml:space="preserve">, 44 </w:t>
        </w:r>
        <w:r>
          <w:rPr>
            <w:smallCaps/>
          </w:rPr>
          <w:t>A.B.A. J.</w:t>
        </w:r>
        <w:r>
          <w:t xml:space="preserve"> 1159 (1958), </w:t>
        </w:r>
        <w:r>
          <w:rPr>
            <w:i/>
          </w:rPr>
          <w:t>reprinted in</w:t>
        </w:r>
        <w:r>
          <w:t xml:space="preserve"> Lon L. Fuller, </w:t>
        </w:r>
        <w:r>
          <w:rPr>
            <w:i/>
          </w:rPr>
          <w:t>The Forms and Limits of Adjudication</w:t>
        </w:r>
        <w:r>
          <w:t xml:space="preserve">, 92 </w:t>
        </w:r>
        <w:r>
          <w:rPr>
            <w:smallCaps/>
          </w:rPr>
          <w:t>Harv. L. Rev.</w:t>
        </w:r>
        <w:r>
          <w:t xml:space="preserve"> 353, 383 (1978).</w:t>
        </w:r>
      </w:ins>
    </w:p>
  </w:footnote>
  <w:footnote w:id="874">
    <w:p>
      <w:pPr>
        <w:pStyle w:val="FootnoteText"/>
        <w:spacing w:line="480" w:lineRule="auto"/>
        <w:rPr>
          <w:ins w:id="202278" w:author="Claude" w:date="2026-09-27T12:00:00Z"/>
        </w:rPr>
      </w:pPr>
      <w:ins w:id="202279" w:author="Claude" w:date="2026-09-27T12:00:00Z">
        <w:r>
          <w:rPr>
            <w:rStyle w:val="FootnoteReference"/>
          </w:rPr>
          <w:footnoteRef/>
        </w:r>
        <w:r>
          <w:t xml:space="preserve"> </w:t>
        </w:r>
        <w:r>
          <w:t xml:space="preserve">Fuller &amp; Randall, </w:t>
        </w:r>
        <w:r>
          <w:rPr>
            <w:i/>
          </w:rPr>
          <w:t>supra</w:t>
        </w:r>
        <w:r>
          <w:t xml:space="preserve">, </w:t>
        </w:r>
        <w:r>
          <w:rPr>
            <w:i/>
          </w:rPr>
          <w:t>reprinted in</w:t>
        </w:r>
        <w:r>
          <w:t xml:space="preserve"> Fuller, </w:t>
        </w:r>
        <w:r>
          <w:rPr>
            <w:i/>
          </w:rPr>
          <w:t>supra</w:t>
        </w:r>
        <w:r>
          <w:t>, at 384.</w:t>
        </w:r>
      </w:ins>
    </w:p>
  </w:footnote>
  <w:footnote w:id="875">
    <w:p>
      <w:pPr>
        <w:pStyle w:val="FootnoteText"/>
        <w:spacing w:line="480" w:lineRule="auto"/>
        <w:rPr>
          <w:ins w:id="202280" w:author="Claude" w:date="2026-09-27T12:00:00Z"/>
        </w:rPr>
      </w:pPr>
      <w:ins w:id="202281" w:author="Claude" w:date="2026-09-27T12:00:00Z">
        <w:r>
          <w:rPr>
            <w:rStyle w:val="FootnoteReference"/>
          </w:rPr>
          <w:footnoteRef/>
        </w:r>
        <w:r>
          <w:t xml:space="preserve"> </w:t>
        </w:r>
        <w:r>
          <w:t xml:space="preserve">John Dewey, </w:t>
        </w:r>
        <w:r>
          <w:rPr>
            <w:i/>
          </w:rPr>
          <w:t>Logical Method and Law</w:t>
        </w:r>
        <w:r>
          <w:t xml:space="preserve">, 10 </w:t>
        </w:r>
        <w:r>
          <w:rPr>
            <w:smallCaps/>
          </w:rPr>
          <w:t>Cornell L.Q.</w:t>
        </w:r>
        <w:r>
          <w:t xml:space="preserve"> 17, 23 (1924).</w:t>
        </w:r>
      </w:ins>
    </w:p>
  </w:footnote>
  <w:footnote w:id="876">
    <w:p w14:paraId="483490DC" w14:textId="3865A4EC" w:rsidR="00094246" w:rsidRPr="005B3E31" w:rsidRDefault="00094246" w:rsidP="003D74D8">
      <w:pPr>
        <w:pStyle w:val="FootnoteText"/>
        <w:spacing w:line="480" w:lineRule="auto"/>
        <w:rPr>
          <w:ins w:id="202286" w:author="Claude" w:date="2026-09-27T12:00:00Z"/>
        </w:rPr>
      </w:pPr>
      <w:ins w:id="202282" w:author="Claude" w:date="2026-09-27T12:00:00Z">
        <w:r>
          <w:rPr>
            <w:rStyle w:val="FootnoteReference"/>
          </w:rPr>
          <w:footnoteRef/>
        </w:r>
      </w:ins>
      <w:ins w:id="202283" w:author="Claude" w:date="2026-09-27T12:00:00Z">
        <w:r>
          <w:t xml:space="preserve"> Dan Simon &amp; Minwoo Ahn, </w:t>
        </w:r>
      </w:ins>
      <w:ins w:id="202284" w:author="Claude" w:date="2026-09-27T12:00:00Z">
        <w:r>
          <w:rPr>
            <w:i/>
            <w:iCs/>
          </w:rPr>
          <w:t>The Adversarial Mindset</w:t>
        </w:r>
      </w:ins>
      <w:ins w:id="202285" w:author="Claude" w:date="2026-09-27T12:00:00Z">
        <w:r>
          <w:rPr>
            <w:smallCaps/>
          </w:rPr>
          <w:t>, 26 Psychol. Pub. Pol’y &amp; L. 63 (2020).</w:t>
        </w:r>
      </w:ins>
    </w:p>
  </w:footnote>
  <w:footnote w:id="877">
    <w:p w14:paraId="1EC2E24B" w14:textId="0B986039" w:rsidR="00B663C8" w:rsidRPr="005B3E31" w:rsidRDefault="00B663C8" w:rsidP="003D74D8">
      <w:pPr>
        <w:pStyle w:val="FootnoteText"/>
        <w:spacing w:line="480" w:lineRule="auto"/>
        <w:rPr>
          <w:ins w:id="202295" w:author="Claude" w:date="2026-09-27T12:00:00Z"/>
        </w:rPr>
      </w:pPr>
      <w:ins w:id="202287" w:author="Claude" w:date="2026-09-27T12:00:00Z">
        <w:r>
          <w:rPr>
            <w:rStyle w:val="FootnoteReference"/>
          </w:rPr>
          <w:footnoteRef/>
        </w:r>
      </w:ins>
      <w:ins w:id="202288" w:author="Claude" w:date="2026-09-27T12:00:00Z">
        <w:r>
          <w:rPr>
            <w:color w:val="000000" w:themeColor="text1"/>
          </w:rPr>
          <w:t xml:space="preserve">Holger Spamann, </w:t>
        </w:r>
      </w:ins>
      <w:ins w:id="202289" w:author="Claude" w:date="2026-09-27T12:00:00Z">
        <w:r>
          <w:rPr>
            <w:i/>
            <w:iCs/>
            <w:color w:val="000000" w:themeColor="text1"/>
          </w:rPr>
          <w:t>Extension: Lawyers’ Role-Induced Bias Arises Fast and Persists despite Intervention</w:t>
        </w:r>
      </w:ins>
      <w:ins w:id="202290" w:author="Claude" w:date="2026-09-27T12:00:00Z">
        <w:r>
          <w:rPr>
            <w:color w:val="000000" w:themeColor="text1"/>
          </w:rPr>
          <w:t xml:space="preserve">, 49 </w:t>
        </w:r>
      </w:ins>
      <w:ins w:id="202291" w:author="Claude" w:date="2026-09-27T12:00:00Z">
        <w:r>
          <w:rPr>
            <w:smallCaps/>
            <w:color w:val="000000" w:themeColor="text1"/>
          </w:rPr>
          <w:t>J. Legal Stud.</w:t>
        </w:r>
      </w:ins>
      <w:ins w:id="202292" w:author="Claude" w:date="2026-09-27T12:00:00Z">
        <w:r>
          <w:rPr>
            <w:color w:val="000000" w:themeColor="text1"/>
          </w:rPr>
          <w:t xml:space="preserve"> 467, 467–68 (2020); Alafair S. Burke</w:t>
        </w:r>
      </w:ins>
      <w:ins w:id="202293" w:author="Claude" w:date="2026-09-27T12:00:00Z">
        <w:r>
          <w:rPr>
            <w:i/>
            <w:iCs/>
            <w:color w:val="000000" w:themeColor="text1"/>
          </w:rPr>
          <w:t xml:space="preserve">, Prosecutorial Passion, Cognitive Bias, and Plea Bargaining 196 </w:t>
        </w:r>
      </w:ins>
      <w:ins w:id="202294" w:author="Claude" w:date="2026-09-27T12:00:00Z">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ins>
    </w:p>
  </w:footnote>
  <w:footnote w:id="878">
    <w:p w14:paraId="792A961F" w14:textId="72007D37" w:rsidR="000B08B7" w:rsidRPr="005B3E31" w:rsidRDefault="000B08B7" w:rsidP="003D74D8">
      <w:pPr>
        <w:pStyle w:val="FootnoteText"/>
        <w:spacing w:line="480" w:lineRule="auto"/>
        <w:rPr>
          <w:ins w:id="202304" w:author="Claude" w:date="2026-09-27T12:00:00Z"/>
        </w:rPr>
      </w:pPr>
      <w:ins w:id="202296" w:author="Claude" w:date="2026-09-27T12:00:00Z">
        <w:r>
          <w:rPr>
            <w:rStyle w:val="FootnoteReference"/>
          </w:rPr>
          <w:footnoteRef/>
        </w:r>
      </w:ins>
      <w:ins w:id="202297" w:author="Claude" w:date="2026-09-27T12:00:00Z">
        <w:r>
          <w:t xml:space="preserve"> Mihael A. Jeklic, </w:t>
        </w:r>
      </w:ins>
      <w:ins w:id="202298" w:author="Claude" w:date="2026-09-27T12:00:00Z">
        <w:r>
          <w:rPr>
            <w:i/>
            <w:iCs/>
          </w:rPr>
          <w:t>Can You Trust Your Lawyer’s Call? Legal Advisers Exhibit Myside Bias Resistant to Debiasing Interventions</w:t>
        </w:r>
      </w:ins>
      <w:ins w:id="202299" w:author="Claude" w:date="2026-09-27T12:00:00Z">
        <w:r>
          <w:t>, 20 J</w:t>
        </w:r>
      </w:ins>
      <w:ins w:id="202300" w:author="Claude" w:date="2026-09-27T12:00:00Z">
        <w:r>
          <w:rPr>
            <w:smallCaps/>
          </w:rPr>
          <w:t>. Empirical Legal Stud</w:t>
        </w:r>
      </w:ins>
      <w:ins w:id="202301" w:author="Claude" w:date="2026-09-27T12:00:00Z">
        <w:r>
          <w:t xml:space="preserve">. 409, 414 (2023); </w:t>
        </w:r>
      </w:ins>
      <w:ins w:id="202302" w:author="Claude" w:date="2026-09-27T12:00:00Z">
        <w:r>
          <w:rPr>
            <w:smallCaps/>
          </w:rPr>
          <w:t xml:space="preserve">Randall Kiser, How Leading Lawyers Think: Expert Insights into Judgment and Advocacy </w:t>
        </w:r>
      </w:ins>
      <w:ins w:id="202303" w:author="Claude" w:date="2026-09-27T12:00:00Z">
        <w:r>
          <w:t>244 (2011) (“As an advocate you want to believe in the client and you want to advance their agenda. That’s what we’re trained to do in law school, and that’s what we do.”).</w:t>
        </w:r>
      </w:ins>
    </w:p>
  </w:footnote>
  <w:footnote w:id="879">
    <w:p w14:paraId="792A9620" w14:textId="5112D34D" w:rsidR="000B08B7" w:rsidRPr="005B3E31" w:rsidRDefault="000B08B7" w:rsidP="003D74D8">
      <w:pPr>
        <w:pStyle w:val="FootnoteText"/>
        <w:spacing w:line="480" w:lineRule="auto"/>
        <w:rPr>
          <w:ins w:id="202313" w:author="Claude" w:date="2026-09-27T12:00:00Z"/>
        </w:rPr>
      </w:pPr>
      <w:ins w:id="202305" w:author="Claude" w:date="2026-09-27T12:00:00Z">
        <w:r>
          <w:rPr>
            <w:rStyle w:val="FootnoteReference"/>
          </w:rPr>
          <w:footnoteRef/>
        </w:r>
      </w:ins>
      <w:ins w:id="202306" w:author="Claude" w:date="2026-09-27T12:00:00Z">
        <w:r>
          <w:t xml:space="preserve"> Douglas N. Frenkel &amp; James H. Stark, </w:t>
        </w:r>
      </w:ins>
      <w:ins w:id="202307" w:author="Claude" w:date="2026-09-27T12:00:00Z">
        <w:r>
          <w:rPr>
            <w:i/>
            <w:iCs/>
          </w:rPr>
          <w:t>Improving Lawyers’ Judgment: Is Mediation Training De-Biasing?</w:t>
        </w:r>
      </w:ins>
      <w:ins w:id="202308" w:author="Claude" w:date="2026-09-27T12:00:00Z">
        <w:r>
          <w:t xml:space="preserve">, 21 </w:t>
        </w:r>
      </w:ins>
      <w:ins w:id="202309" w:author="Claude" w:date="2026-09-27T12:00:00Z">
        <w:r>
          <w:rPr>
            <w:smallCaps/>
          </w:rPr>
          <w:t>Harv. Negot. L. Rev</w:t>
        </w:r>
      </w:ins>
      <w:ins w:id="202310" w:author="Claude" w:date="2026-09-27T12:00:00Z">
        <w:r>
          <w:t xml:space="preserve">. 1, 37–45 (2016); Kiser, </w:t>
        </w:r>
      </w:ins>
      <w:ins w:id="202311" w:author="Claude" w:date="2026-09-27T12:00:00Z">
        <w:r>
          <w:rPr>
            <w:i/>
            <w:iCs/>
          </w:rPr>
          <w:t>supra</w:t>
        </w:r>
      </w:ins>
      <w:ins w:id="202312" w:author="Claude" w:date="2026-09-27T12:00:00Z">
        <w:r>
          <w:t xml:space="preserve"> note 68, at 232 (quoting study attorneys) (“Certain people buy into their client’s mantra and lose their objectivity”; “Seventy to 75% of lawyers really do not know how to evaluate a case”; “75% of attorneys exaggerate their cases”).</w:t>
        </w:r>
      </w:ins>
    </w:p>
  </w:footnote>
  <w:footnote w:id="880">
    <w:p w14:paraId="08DDA451" w14:textId="77777777" w:rsidR="000B08B7" w:rsidRPr="005B3E31" w:rsidRDefault="000B08B7" w:rsidP="003D74D8">
      <w:pPr>
        <w:pStyle w:val="FootnoteText"/>
        <w:spacing w:line="480" w:lineRule="auto"/>
        <w:rPr>
          <w:ins w:id="202318" w:author="Claude" w:date="2026-09-27T12:00:00Z"/>
        </w:rPr>
      </w:pPr>
      <w:ins w:id="202314" w:author="Claude" w:date="2026-09-27T12:00:00Z">
        <w:r>
          <w:rPr>
            <w:rStyle w:val="FootnoteReference"/>
          </w:rPr>
          <w:footnoteRef/>
        </w:r>
      </w:ins>
      <w:ins w:id="202315" w:author="Claude" w:date="2026-09-27T12:00:00Z">
        <w:r>
          <w:t xml:space="preserve"> Dan Simon &amp; Minwoo Ahn, </w:t>
        </w:r>
      </w:ins>
      <w:ins w:id="202316" w:author="Claude" w:date="2026-09-27T12:00:00Z">
        <w:r>
          <w:rPr>
            <w:i/>
            <w:iCs/>
          </w:rPr>
          <w:t>The Adversarial Mindset</w:t>
        </w:r>
      </w:ins>
      <w:ins w:id="202317" w:author="Claude" w:date="2026-09-27T12:00:00Z">
        <w:r>
          <w:rPr>
            <w:smallCaps/>
          </w:rPr>
          <w:t>, 26 Psychol. Pub. Pol’y &amp; L. 70 (2020).</w:t>
        </w:r>
      </w:ins>
    </w:p>
  </w:footnote>
  <w:footnote w:id="881">
    <w:p w14:paraId="35701A4F" w14:textId="44971711" w:rsidR="00B663C8" w:rsidRPr="005B3E31" w:rsidRDefault="00B663C8" w:rsidP="003D74D8">
      <w:pPr>
        <w:pStyle w:val="FootnoteText"/>
        <w:spacing w:line="480" w:lineRule="auto"/>
        <w:rPr>
          <w:ins w:id="202330" w:author="Claude" w:date="2026-09-27T12:00:00Z"/>
        </w:rPr>
      </w:pPr>
      <w:ins w:id="202319" w:author="Claude" w:date="2026-09-27T12:00:00Z">
        <w:r>
          <w:rPr>
            <w:rStyle w:val="FootnoteReference"/>
          </w:rPr>
          <w:footnoteRef/>
        </w:r>
      </w:ins>
      <w:ins w:id="202320" w:author="Claude" w:date="2026-09-27T12:00:00Z">
        <w:r>
          <w:t xml:space="preserve"> </w:t>
        </w:r>
      </w:ins>
      <w:ins w:id="202321" w:author="Claude" w:date="2026-09-27T12:00:00Z">
        <w:r>
          <w:rPr>
            <w:color w:val="000000" w:themeColor="text1"/>
          </w:rPr>
          <w:t xml:space="preserve">Holger Spamann, </w:t>
        </w:r>
      </w:ins>
      <w:ins w:id="202322" w:author="Claude" w:date="2026-09-27T12:00:00Z">
        <w:r>
          <w:rPr>
            <w:i/>
            <w:iCs/>
            <w:color w:val="000000" w:themeColor="text1"/>
          </w:rPr>
          <w:t>Extension: Lawyers’ Role-Induced Bias Arises Fast and Persists despite Intervention</w:t>
        </w:r>
      </w:ins>
      <w:ins w:id="202323" w:author="Claude" w:date="2026-09-27T12:00:00Z">
        <w:r>
          <w:rPr>
            <w:color w:val="000000" w:themeColor="text1"/>
          </w:rPr>
          <w:t xml:space="preserve">, 49 </w:t>
        </w:r>
      </w:ins>
      <w:ins w:id="202324" w:author="Claude" w:date="2026-09-27T12:00:00Z">
        <w:r>
          <w:rPr>
            <w:smallCaps/>
            <w:color w:val="000000" w:themeColor="text1"/>
          </w:rPr>
          <w:t>J. Legal Stud.</w:t>
        </w:r>
      </w:ins>
      <w:ins w:id="202325" w:author="Claude" w:date="2026-09-27T12:00:00Z">
        <w:r>
          <w:rPr>
            <w:color w:val="000000" w:themeColor="text1"/>
          </w:rPr>
          <w:t xml:space="preserve"> 467, 482 (2020); Doron Teichman, Eyal Zamir &amp; Ilana Ritov, </w:t>
        </w:r>
      </w:ins>
      <w:ins w:id="202326" w:author="Claude" w:date="2026-09-27T12:00:00Z">
        <w:r>
          <w:rPr>
            <w:i/>
            <w:iCs/>
            <w:color w:val="000000" w:themeColor="text1"/>
          </w:rPr>
          <w:t xml:space="preserve">Biases in Legal Decision-Making: Comparing Prosecutors, Defense Attorneys, Law Students, and Laypersons, </w:t>
        </w:r>
      </w:ins>
      <w:ins w:id="202327" w:author="Claude" w:date="2026-09-27T12:00:00Z">
        <w:r>
          <w:rPr>
            <w:smallCaps/>
            <w:color w:val="000000" w:themeColor="text1"/>
          </w:rPr>
          <w:t>J. Empirical Legal Stud</w:t>
        </w:r>
      </w:ins>
      <w:ins w:id="202328" w:author="Claude" w:date="2026-09-27T12:00:00Z">
        <w:r>
          <w:rPr>
            <w:i/>
            <w:iCs/>
            <w:color w:val="000000" w:themeColor="text1"/>
          </w:rPr>
          <w:t xml:space="preserve">. </w:t>
        </w:r>
      </w:ins>
      <w:ins w:id="202329" w:author="Claude" w:date="2026-09-27T12:00:00Z">
        <w:r>
          <w:rPr>
            <w:color w:val="000000" w:themeColor="text1"/>
          </w:rPr>
          <w:t>858 (2023).</w:t>
        </w:r>
      </w:ins>
    </w:p>
  </w:footnote>
  <w:footnote w:id="882">
    <w:p w14:paraId="1B7DD295" w14:textId="0DE11406" w:rsidR="00EB1107" w:rsidRPr="005B3E31" w:rsidRDefault="00EB1107" w:rsidP="003D74D8">
      <w:pPr>
        <w:pStyle w:val="FootnoteText"/>
        <w:spacing w:line="480" w:lineRule="auto"/>
        <w:rPr>
          <w:ins w:id="202337" w:author="Claude" w:date="2026-09-27T12:00:00Z"/>
        </w:rPr>
      </w:pPr>
      <w:ins w:id="202333" w:author="Claude" w:date="2026-09-27T12:00:00Z">
        <w:r>
          <w:rPr>
            <w:rStyle w:val="FootnoteReference"/>
          </w:rPr>
          <w:footnoteRef/>
        </w:r>
      </w:ins>
      <w:ins w:id="202334" w:author="Claude" w:date="2026-09-27T12:00:00Z">
        <w:r>
          <w:t xml:space="preserve"> </w:t>
        </w:r>
      </w:ins>
      <w:ins w:id="202335" w:author="Claude" w:date="2026-09-27T12:00:00Z">
        <w:r>
          <w:rPr>
            <w:i/>
            <w:iCs/>
          </w:rPr>
          <w:t>Id.</w:t>
        </w:r>
      </w:ins>
      <w:ins w:id="202336" w:author="Claude" w:date="2026-09-27T12:00:00Z">
        <w:r>
          <w:t xml:space="preserve"> at 106–07. </w:t>
        </w:r>
      </w:ins>
    </w:p>
  </w:footnote>
  <w:footnote w:id="883">
    <w:p w14:paraId="232711C9" w14:textId="2D832E05" w:rsidR="00EB1107" w:rsidRPr="005B3E31" w:rsidRDefault="00EB1107" w:rsidP="003D74D8">
      <w:pPr>
        <w:pStyle w:val="FootnoteText"/>
        <w:spacing w:line="480" w:lineRule="auto"/>
        <w:rPr>
          <w:ins w:id="202344" w:author="Claude" w:date="2026-09-27T12:00:00Z"/>
        </w:rPr>
      </w:pPr>
      <w:ins w:id="202338" w:author="Claude" w:date="2026-09-27T12:00:00Z">
        <w:r>
          <w:rPr>
            <w:rStyle w:val="FootnoteReference"/>
          </w:rPr>
          <w:footnoteRef/>
        </w:r>
      </w:ins>
      <w:ins w:id="202339" w:author="Claude" w:date="2026-09-27T12:00:00Z">
        <w:r>
          <w:t xml:space="preserve"> </w:t>
        </w:r>
      </w:ins>
      <w:ins w:id="202340" w:author="Claude" w:date="2026-09-27T12:00:00Z">
        <w:r>
          <w:rPr>
            <w:i/>
            <w:iCs/>
          </w:rPr>
          <w:t>Id.</w:t>
        </w:r>
      </w:ins>
      <w:ins w:id="202341" w:author="Claude" w:date="2026-09-27T12:00:00Z">
        <w:r>
          <w:t xml:space="preserve"> at 94, 108; </w:t>
        </w:r>
      </w:ins>
      <w:ins w:id="202342" w:author="Claude" w:date="2026-09-27T12:00:00Z">
        <w:r>
          <w:rPr>
            <w:smallCaps/>
          </w:rPr>
          <w:t>William G. Ross, The Honest Hour</w:t>
        </w:r>
      </w:ins>
      <w:ins w:id="202343" w:author="Claude" w:date="2026-09-27T12:00:00Z">
        <w:r>
          <w:t xml:space="preserve"> 4 (1996)</w:t>
        </w:r>
      </w:ins>
    </w:p>
  </w:footnote>
  <w:footnote w:id="884">
    <w:p w14:paraId="27AB62DF" w14:textId="77777777" w:rsidR="00667707" w:rsidRPr="005B3E31" w:rsidRDefault="00667707" w:rsidP="003D74D8">
      <w:pPr>
        <w:pStyle w:val="FootnoteText"/>
        <w:spacing w:line="480" w:lineRule="auto"/>
        <w:rPr>
          <w:ins w:id="202353" w:author="Claude" w:date="2026-09-27T12:00:00Z"/>
          <w:color w:val="000000" w:themeColor="text1"/>
        </w:rPr>
      </w:pPr>
      <w:ins w:id="202347" w:author="Claude" w:date="2026-09-27T12:00:00Z">
        <w:r>
          <w:rPr>
            <w:rStyle w:val="FootnoteReference"/>
            <w:color w:val="000000" w:themeColor="text1"/>
          </w:rPr>
          <w:footnoteRef/>
        </w:r>
      </w:ins>
      <w:ins w:id="202348" w:author="Claude" w:date="2026-09-27T12:00:00Z">
        <w:r>
          <w:rPr>
            <w:color w:val="000000" w:themeColor="text1"/>
          </w:rPr>
          <w:t xml:space="preserve"> Jane Goodman-Delahunty et al., </w:t>
        </w:r>
      </w:ins>
      <w:ins w:id="202349" w:author="Claude" w:date="2026-09-27T12:00:00Z">
        <w:r>
          <w:rPr>
            <w:i/>
            <w:iCs/>
            <w:color w:val="000000" w:themeColor="text1"/>
          </w:rPr>
          <w:t>Insightful or Wishful: Lawyers’ Ability to Predict Case Outcomes</w:t>
        </w:r>
      </w:ins>
      <w:ins w:id="202350" w:author="Claude" w:date="2026-09-27T12:00:00Z">
        <w:r>
          <w:rPr>
            <w:color w:val="000000" w:themeColor="text1"/>
          </w:rPr>
          <w:t xml:space="preserve">, 16 </w:t>
        </w:r>
      </w:ins>
      <w:ins w:id="202351" w:author="Claude" w:date="2026-09-27T12:00:00Z">
        <w:r>
          <w:rPr>
            <w:smallCaps/>
            <w:color w:val="000000" w:themeColor="text1"/>
          </w:rPr>
          <w:t>Psych. Pub. Pol’y &amp; L</w:t>
        </w:r>
      </w:ins>
      <w:ins w:id="202352" w:author="Claude" w:date="2026-09-27T12:00:00Z">
        <w:r>
          <w:rPr>
            <w:color w:val="000000" w:themeColor="text1"/>
          </w:rPr>
          <w:t>. 133, 136 (2010) (quoting Loftus &amp; Wagenaar, 1988, p. 450).</w:t>
        </w:r>
      </w:ins>
    </w:p>
  </w:footnote>
  <w:footnote w:id="885">
    <w:p w14:paraId="2DF7CF39" w14:textId="01168014" w:rsidR="00667707" w:rsidRPr="005B3E31" w:rsidRDefault="00667707" w:rsidP="003D74D8">
      <w:pPr>
        <w:pStyle w:val="FootnoteText"/>
        <w:spacing w:line="480" w:lineRule="auto"/>
        <w:rPr>
          <w:ins w:id="202361" w:author="Claude" w:date="2026-09-27T12:00:00Z"/>
        </w:rPr>
      </w:pPr>
      <w:ins w:id="202357" w:author="Claude" w:date="2026-09-27T12:00:00Z">
        <w:r>
          <w:rPr>
            <w:rStyle w:val="FootnoteReference"/>
          </w:rPr>
          <w:footnoteRef/>
        </w:r>
      </w:ins>
      <w:ins w:id="202358" w:author="Claude" w:date="2026-09-27T12:00:00Z">
        <w:r>
          <w:t xml:space="preserve"> Ian Weinstein, </w:t>
        </w:r>
      </w:ins>
      <w:ins w:id="202359" w:author="Claude" w:date="2026-09-27T12:00:00Z">
        <w:r>
          <w:rPr>
            <w:i/>
            <w:iCs/>
          </w:rPr>
          <w:t>Don't Believe Everything You Think: Cognitive Bias in Legal Decision Making</w:t>
        </w:r>
      </w:ins>
      <w:ins w:id="202360" w:author="Claude" w:date="2026-09-27T12:00:00Z">
        <w:r>
          <w:t>, 9 Clinical L. Rev. 783, 829 (2002–2003), http://ir.lawnet.fordham.edu/faculty_scholarship/422.</w:t>
        </w:r>
      </w:ins>
    </w:p>
  </w:footnote>
  <w:footnote w:id="886">
    <w:p w14:paraId="6C5DC46D" w14:textId="573C2DF2" w:rsidR="00667707" w:rsidRPr="005B3E31" w:rsidRDefault="00667707" w:rsidP="003D74D8">
      <w:pPr>
        <w:pStyle w:val="FootnoteText"/>
        <w:spacing w:line="480" w:lineRule="auto"/>
        <w:rPr>
          <w:ins w:id="202374" w:author="Claude" w:date="2026-09-27T12:00:00Z"/>
        </w:rPr>
      </w:pPr>
      <w:ins w:id="202362" w:author="Claude" w:date="2026-09-27T12:00:00Z">
        <w:r>
          <w:rPr>
            <w:rStyle w:val="FootnoteReference"/>
          </w:rPr>
          <w:footnoteRef/>
        </w:r>
      </w:ins>
      <w:ins w:id="202363" w:author="Claude" w:date="2026-09-27T12:00:00Z">
        <w:r>
          <w:rPr>
            <w:color w:val="000000" w:themeColor="text1"/>
          </w:rPr>
          <w:t xml:space="preserve">Alafair S. Burke, </w:t>
        </w:r>
      </w:ins>
      <w:ins w:id="202364" w:author="Claude" w:date="2026-09-27T12:00:00Z">
        <w:r>
          <w:rPr>
            <w:i/>
            <w:iCs/>
            <w:color w:val="000000" w:themeColor="text1"/>
          </w:rPr>
          <w:t>Improving Prosecutorial Decision Making: Some Lessons of Cognitive Science</w:t>
        </w:r>
      </w:ins>
      <w:ins w:id="202365" w:author="Claude" w:date="2026-09-27T12:00:00Z">
        <w:r>
          <w:rPr>
            <w:color w:val="000000" w:themeColor="text1"/>
          </w:rPr>
          <w:t xml:space="preserve">, 47 </w:t>
        </w:r>
      </w:ins>
      <w:ins w:id="202366" w:author="Claude" w:date="2026-09-27T12:00:00Z">
        <w:r>
          <w:rPr>
            <w:smallCaps/>
            <w:color w:val="000000" w:themeColor="text1"/>
          </w:rPr>
          <w:t>Wm. &amp; Mary L. Rev.</w:t>
        </w:r>
      </w:ins>
      <w:ins w:id="202367" w:author="Claude" w:date="2026-09-27T12:00:00Z">
        <w:r>
          <w:rPr>
            <w:color w:val="000000" w:themeColor="text1"/>
          </w:rPr>
          <w:t xml:space="preserve"> 1587, 1606 (2006); Keith A. Findley, </w:t>
        </w:r>
      </w:ins>
      <w:ins w:id="202368" w:author="Claude" w:date="2026-09-27T12:00:00Z">
        <w:r>
          <w:rPr>
            <w:i/>
            <w:iCs/>
            <w:color w:val="000000" w:themeColor="text1"/>
          </w:rPr>
          <w:t>Tunnel Vision</w:t>
        </w:r>
      </w:ins>
      <w:ins w:id="202369" w:author="Claude" w:date="2026-09-27T12:00:00Z">
        <w:r>
          <w:t xml:space="preserve">, </w:t>
        </w:r>
      </w:ins>
      <w:ins w:id="202370" w:author="Claude" w:date="2026-09-27T12:00:00Z">
        <w:r>
          <w:rPr>
            <w:i/>
            <w:iCs/>
          </w:rPr>
          <w:t>in</w:t>
        </w:r>
      </w:ins>
      <w:ins w:id="202371" w:author="Claude" w:date="2026-09-27T12:00:00Z">
        <w:r>
          <w:rPr>
            <w:color w:val="000000" w:themeColor="text1"/>
          </w:rPr>
          <w:t xml:space="preserve"> </w:t>
        </w:r>
      </w:ins>
      <w:ins w:id="202372" w:author="Claude" w:date="2026-09-27T12:00:00Z">
        <w:r>
          <w:rPr>
            <w:smallCaps/>
            <w:color w:val="000000" w:themeColor="text1"/>
          </w:rPr>
          <w:t>Conviction of the Innocent: Lessons from Psychological Research</w:t>
        </w:r>
      </w:ins>
      <w:ins w:id="202373" w:author="Claude" w:date="2026-09-27T12:00:00Z">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ins>
    </w:p>
  </w:footnote>
  <w:footnote w:id="887">
    <w:p w14:paraId="6F283C31" w14:textId="7B3C688B" w:rsidR="008076F7" w:rsidRPr="005B3E31" w:rsidRDefault="008076F7" w:rsidP="003D74D8">
      <w:pPr>
        <w:pStyle w:val="FootnoteText"/>
        <w:spacing w:line="480" w:lineRule="auto"/>
        <w:rPr>
          <w:ins w:id="202387" w:author="Claude" w:date="2026-09-27T12:00:00Z"/>
          <w:color w:val="000000" w:themeColor="text1"/>
        </w:rPr>
      </w:pPr>
      <w:ins w:id="202375" w:author="Claude" w:date="2026-09-27T12:00:00Z">
        <w:r>
          <w:rPr>
            <w:rStyle w:val="FootnoteReference"/>
            <w:color w:val="000000" w:themeColor="text1"/>
          </w:rPr>
          <w:footnoteRef/>
        </w:r>
      </w:ins>
      <w:ins w:id="202376" w:author="Claude" w:date="2026-09-27T12:00:00Z">
        <w:r>
          <w:rPr>
            <w:color w:val="000000" w:themeColor="text1"/>
          </w:rPr>
          <w:t xml:space="preserve"> Goodman-Delahunty, supra note 86, at 15</w:t>
        </w:r>
      </w:ins>
      <w:ins w:id="202377" w:author="Claude" w:date="2026-09-27T12:00:00Z">
        <w:r>
          <w:rPr>
            <w:color w:val="000000" w:themeColor="text1"/>
          </w:rPr>
          <w:fldChar w:fldCharType="begin"/>
        </w:r>
      </w:ins>
      <w:ins w:id="202378" w:author="Claude" w:date="2026-09-27T12:00:00Z">
        <w:r>
          <w:rPr>
            <w:color w:val="000000" w:themeColor="text1"/>
          </w:rPr>
          <w:instrText xml:space="preserve"> NOTEREF _Ref222081948 \h  \* MERGEFORMAT </w:instrText>
        </w:r>
      </w:ins>
      <w:ins w:id="202379" w:author="Claude" w:date="2026-09-27T12:00:00Z">
        <w:r>
          <w:rPr>
            <w:color w:val="000000" w:themeColor="text1"/>
          </w:rPr>
        </w:r>
      </w:ins>
      <w:ins w:id="202380" w:author="Claude" w:date="2026-09-27T12:00:00Z">
        <w:r>
          <w:rPr>
            <w:color w:val="000000" w:themeColor="text1"/>
          </w:rPr>
          <w:fldChar w:fldCharType="separate"/>
        </w:r>
      </w:ins>
      <w:ins w:id="202381" w:author="Claude" w:date="2026-09-27T12:00:00Z">
        <w:r>
          <w:rPr>
            <w:color w:val="000000" w:themeColor="text1"/>
          </w:rPr>
          <w:fldChar w:fldCharType="end"/>
        </w:r>
      </w:ins>
      <w:ins w:id="202382" w:author="Claude" w:date="2026-09-27T12:00:00Z">
        <w:r>
          <w:rPr>
            <w:color w:val="000000" w:themeColor="text1"/>
          </w:rPr>
          <w:t xml:space="preserve">3; Richard F. Elmore, </w:t>
        </w:r>
      </w:ins>
      <w:ins w:id="202383" w:author="Claude" w:date="2026-09-27T12:00:00Z">
        <w:r>
          <w:rPr>
            <w:i/>
            <w:iCs/>
            <w:color w:val="000000" w:themeColor="text1"/>
          </w:rPr>
          <w:t>Backward Mapping: Implementation Research and Policy Decisions</w:t>
        </w:r>
      </w:ins>
      <w:ins w:id="202384" w:author="Claude" w:date="2026-09-27T12:00:00Z">
        <w:r>
          <w:rPr>
            <w:color w:val="000000" w:themeColor="text1"/>
          </w:rPr>
          <w:t xml:space="preserve">, 94 </w:t>
        </w:r>
      </w:ins>
      <w:ins w:id="202385" w:author="Claude" w:date="2026-09-27T12:00:00Z">
        <w:r>
          <w:rPr>
            <w:smallCaps/>
            <w:color w:val="000000" w:themeColor="text1"/>
          </w:rPr>
          <w:t>Pol. Sci. Q</w:t>
        </w:r>
      </w:ins>
      <w:ins w:id="202386" w:author="Claude" w:date="2026-09-27T12:00:00Z">
        <w:r>
          <w:rPr>
            <w:color w:val="000000" w:themeColor="text1"/>
          </w:rPr>
          <w:t>. 601, 604 (1979).</w:t>
        </w:r>
      </w:ins>
    </w:p>
  </w:footnote>
  <w:footnote w:id="888">
    <w:p w14:paraId="30D50FA8" w14:textId="77777777" w:rsidR="00667707" w:rsidRPr="005B3E31" w:rsidRDefault="00667707" w:rsidP="003D74D8">
      <w:pPr>
        <w:pStyle w:val="FootnoteText"/>
        <w:spacing w:line="480" w:lineRule="auto"/>
        <w:rPr>
          <w:ins w:id="202401" w:author="Claude" w:date="2026-09-27T12:00:00Z"/>
          <w:color w:val="000000" w:themeColor="text1"/>
        </w:rPr>
      </w:pPr>
      <w:ins w:id="202388" w:author="Claude" w:date="2026-09-27T12:00:00Z">
        <w:r>
          <w:rPr>
            <w:rStyle w:val="FootnoteReference"/>
            <w:color w:val="000000" w:themeColor="text1"/>
          </w:rPr>
          <w:footnoteRef/>
        </w:r>
      </w:ins>
      <w:ins w:id="202389" w:author="Claude" w:date="2026-09-27T12:00:00Z">
        <w:r>
          <w:rPr>
            <w:color w:val="000000" w:themeColor="text1"/>
          </w:rPr>
          <w:t xml:space="preserve"> </w:t>
        </w:r>
      </w:ins>
      <w:ins w:id="202390" w:author="Claude" w:date="2026-09-27T12:00:00Z">
        <w:r>
          <w:rPr>
            <w:smallCaps/>
            <w:color w:val="000000" w:themeColor="text1"/>
          </w:rPr>
          <w:t>Schlag</w:t>
        </w:r>
      </w:ins>
      <w:ins w:id="202391" w:author="Claude" w:date="2026-09-27T12:00:00Z">
        <w:r>
          <w:rPr>
            <w:color w:val="000000" w:themeColor="text1"/>
          </w:rPr>
          <w:t xml:space="preserve">, </w:t>
        </w:r>
      </w:ins>
      <w:ins w:id="202392" w:author="Claude" w:date="2026-09-27T12:00:00Z">
        <w:r>
          <w:rPr>
            <w:i/>
            <w:iCs/>
            <w:color w:val="000000" w:themeColor="text1"/>
          </w:rPr>
          <w:t>supra</w:t>
        </w:r>
      </w:ins>
      <w:ins w:id="202393" w:author="Claude" w:date="2026-09-27T12:00:00Z">
        <w:r>
          <w:rPr>
            <w:color w:val="000000" w:themeColor="text1"/>
          </w:rPr>
          <w:t xml:space="preserve"> note </w:t>
        </w:r>
      </w:ins>
      <w:ins w:id="202394" w:author="Claude" w:date="2026-09-27T12:00:00Z">
        <w:r>
          <w:rPr>
            <w:color w:val="000000" w:themeColor="text1"/>
          </w:rPr>
          <w:fldChar w:fldCharType="begin"/>
        </w:r>
      </w:ins>
      <w:ins w:id="202395" w:author="Claude" w:date="2026-09-27T12:00:00Z">
        <w:r>
          <w:rPr>
            <w:color w:val="000000" w:themeColor="text1"/>
          </w:rPr>
          <w:instrText xml:space="preserve"> NOTEREF _Ref217223724 \h  \* MERGEFORMAT </w:instrText>
        </w:r>
      </w:ins>
      <w:ins w:id="202396" w:author="Claude" w:date="2026-09-27T12:00:00Z">
        <w:r>
          <w:rPr>
            <w:color w:val="000000" w:themeColor="text1"/>
          </w:rPr>
        </w:r>
      </w:ins>
      <w:ins w:id="202397" w:author="Claude" w:date="2026-09-27T12:00:00Z">
        <w:r>
          <w:rPr>
            <w:color w:val="000000" w:themeColor="text1"/>
          </w:rPr>
          <w:fldChar w:fldCharType="separate"/>
        </w:r>
      </w:ins>
      <w:ins w:id="202398" w:author="Claude" w:date="2026-09-27T12:00:00Z">
        <w:r>
          <w:rPr>
            <w:color w:val="000000" w:themeColor="text1"/>
          </w:rPr>
          <w:t>56</w:t>
        </w:r>
      </w:ins>
      <w:ins w:id="202399" w:author="Claude" w:date="2026-09-27T12:00:00Z">
        <w:r>
          <w:rPr>
            <w:color w:val="000000" w:themeColor="text1"/>
          </w:rPr>
          <w:fldChar w:fldCharType="end"/>
        </w:r>
      </w:ins>
      <w:ins w:id="202400" w:author="Claude" w:date="2026-09-27T12:00:00Z">
        <w:r>
          <w:rPr>
            <w:color w:val="000000" w:themeColor="text1"/>
          </w:rPr>
          <w:t>, at 140.</w:t>
        </w:r>
      </w:ins>
    </w:p>
  </w:footnote>
  <w:footnote w:id="889">
    <w:p w14:paraId="5674B249" w14:textId="57839F78" w:rsidR="003E39A2" w:rsidRPr="005B3E31" w:rsidRDefault="003E39A2" w:rsidP="003D74D8">
      <w:pPr>
        <w:pStyle w:val="FootnoteText"/>
        <w:spacing w:line="480" w:lineRule="auto"/>
        <w:rPr>
          <w:ins w:id="202406" w:author="Claude" w:date="2026-09-27T12:00:00Z"/>
        </w:rPr>
      </w:pPr>
      <w:ins w:id="202402" w:author="Claude" w:date="2026-09-27T12:00:00Z">
        <w:r>
          <w:rPr>
            <w:rStyle w:val="FootnoteReference"/>
          </w:rPr>
          <w:footnoteRef/>
        </w:r>
      </w:ins>
      <w:ins w:id="202403" w:author="Claude" w:date="2026-09-27T12:00:00Z">
        <w:r>
          <w:t xml:space="preserve"> </w:t>
        </w:r>
      </w:ins>
      <w:ins w:id="202404" w:author="Claude" w:date="2026-09-27T12:00:00Z">
        <w:r>
          <w:rPr>
            <w:smallCaps/>
          </w:rPr>
          <w:t xml:space="preserve">Steven J. Harper, The Lawyer Bubble: A Profession in Crisis </w:t>
        </w:r>
      </w:ins>
      <w:ins w:id="202405" w:author="Claude" w:date="2026-09-27T12:00:00Z">
        <w:r>
          <w:t>117 (2013).</w:t>
        </w:r>
      </w:ins>
    </w:p>
  </w:footnote>
  <w:footnote w:id="890">
    <w:p w14:paraId="70EB2FE9" w14:textId="6D19ACD7" w:rsidR="00625345" w:rsidRPr="005B3E31" w:rsidRDefault="00625345" w:rsidP="003D74D8">
      <w:pPr>
        <w:pStyle w:val="FootnoteText"/>
        <w:spacing w:line="480" w:lineRule="auto"/>
        <w:rPr>
          <w:ins w:id="202432" w:author="Claude" w:date="2026-09-27T12:00:00Z"/>
        </w:rPr>
      </w:pPr>
      <w:ins w:id="202419" w:author="Claude" w:date="2026-09-27T12:00:00Z">
        <w:r>
          <w:rPr>
            <w:rStyle w:val="FootnoteReference"/>
          </w:rPr>
          <w:footnoteRef/>
        </w:r>
      </w:ins>
      <w:ins w:id="202420" w:author="Claude" w:date="2026-09-27T12:00:00Z">
        <w:r>
          <w:t xml:space="preserve"> </w:t>
        </w:r>
      </w:ins>
      <w:ins w:id="202421" w:author="Claude" w:date="2026-09-27T12:00:00Z">
        <w:r>
          <w:rPr>
            <w:color w:val="000000" w:themeColor="text1"/>
          </w:rPr>
          <w:t xml:space="preserve">Amy Edmondson, </w:t>
        </w:r>
      </w:ins>
      <w:ins w:id="202422" w:author="Claude" w:date="2026-09-27T12:00:00Z">
        <w:r>
          <w:rPr>
            <w:i/>
            <w:iCs/>
            <w:color w:val="000000" w:themeColor="text1"/>
          </w:rPr>
          <w:t>Psychological Safety and Learning Behavior in Work Teams</w:t>
        </w:r>
      </w:ins>
      <w:ins w:id="202423" w:author="Claude" w:date="2026-09-27T12:00:00Z">
        <w:r>
          <w:rPr>
            <w:color w:val="000000" w:themeColor="text1"/>
          </w:rPr>
          <w:t xml:space="preserve">, 44 </w:t>
        </w:r>
      </w:ins>
      <w:ins w:id="202424" w:author="Claude" w:date="2026-09-27T12:00:00Z">
        <w:r>
          <w:rPr>
            <w:smallCaps/>
            <w:color w:val="000000" w:themeColor="text1"/>
          </w:rPr>
          <w:t>Admin. Sci. Q</w:t>
        </w:r>
      </w:ins>
      <w:ins w:id="202425" w:author="Claude" w:date="2026-09-27T12:00:00Z">
        <w:r>
          <w:rPr>
            <w:color w:val="000000" w:themeColor="text1"/>
          </w:rPr>
          <w:t>. 350, 354 (1999); James R. Detert &amp; Ethan R. Burris</w:t>
        </w:r>
      </w:ins>
      <w:ins w:id="202426" w:author="Claude" w:date="2026-09-27T12:00:00Z">
        <w:r>
          <w:rPr>
            <w:i/>
            <w:iCs/>
            <w:color w:val="000000" w:themeColor="text1"/>
          </w:rPr>
          <w:t>, Leadership Behavior and Employee Voice: Is the Door Really Open?</w:t>
        </w:r>
      </w:ins>
      <w:ins w:id="202427" w:author="Claude" w:date="2026-09-27T12:00:00Z">
        <w:r>
          <w:rPr>
            <w:color w:val="000000" w:themeColor="text1"/>
          </w:rPr>
          <w:t xml:space="preserve">, 50 </w:t>
        </w:r>
      </w:ins>
      <w:ins w:id="202428" w:author="Claude" w:date="2026-09-27T12:00:00Z">
        <w:r>
          <w:rPr>
            <w:smallCaps/>
            <w:color w:val="000000" w:themeColor="text1"/>
          </w:rPr>
          <w:t>Acad. Mgmt. J</w:t>
        </w:r>
      </w:ins>
      <w:ins w:id="202429" w:author="Claude" w:date="2026-09-27T12:00:00Z">
        <w:r>
          <w:rPr>
            <w:color w:val="000000" w:themeColor="text1"/>
          </w:rPr>
          <w:t xml:space="preserve">. 869, 872 (2007); </w:t>
        </w:r>
      </w:ins>
      <w:ins w:id="202430" w:author="Claude" w:date="2026-09-27T12:00:00Z">
        <w:r>
          <w:rPr>
            <w:i/>
            <w:iCs/>
            <w:color w:val="000000" w:themeColor="text1"/>
          </w:rPr>
          <w:t>see infra</w:t>
        </w:r>
      </w:ins>
      <w:ins w:id="202431" w:author="Claude" w:date="2026-09-27T12:00:00Z">
        <w:r>
          <w:rPr>
            <w:color w:val="000000" w:themeColor="text1"/>
          </w:rPr>
          <w:t xml:space="preserve"> Section II.</w:t>
        </w:r>
      </w:ins>
    </w:p>
  </w:footnote>
  <w:footnote w:id="891">
    <w:p w14:paraId="54D8A173" w14:textId="0171D958" w:rsidR="00625345" w:rsidRPr="005B3E31" w:rsidRDefault="00625345" w:rsidP="003D74D8">
      <w:pPr>
        <w:pStyle w:val="FootnoteText"/>
        <w:spacing w:line="480" w:lineRule="auto"/>
        <w:rPr>
          <w:ins w:id="202437" w:author="Claude" w:date="2026-09-27T12:00:00Z"/>
        </w:rPr>
      </w:pPr>
      <w:ins w:id="202433" w:author="Claude" w:date="2026-09-27T12:00:00Z">
        <w:r>
          <w:rPr>
            <w:rStyle w:val="FootnoteReference"/>
          </w:rPr>
          <w:footnoteRef/>
        </w:r>
      </w:ins>
      <w:ins w:id="202434" w:author="Claude" w:date="2026-09-27T12:00:00Z">
        <w:r>
          <w:t xml:space="preserve"> Anna Rappaport, </w:t>
        </w:r>
      </w:ins>
      <w:ins w:id="202435" w:author="Claude" w:date="2026-09-27T12:00:00Z">
        <w:r>
          <w:rPr>
            <w:i/>
            <w:iCs/>
          </w:rPr>
          <w:t>The Business Case for Psychological Safety in Law Firms and How to Achieve It</w:t>
        </w:r>
      </w:ins>
      <w:ins w:id="202436" w:author="Claude" w:date="2026-09-27T12:00:00Z">
        <w:r>
          <w:t>, ABA (Sep. 13, 2024).</w:t>
        </w:r>
      </w:ins>
    </w:p>
  </w:footnote>
  <w:footnote w:id="892">
    <w:p w14:paraId="00010008" w14:textId="0290C7D6" w:rsidR="007219E6" w:rsidRPr="005B3E31" w:rsidRDefault="00000000" w:rsidP="003D74D8">
      <w:pPr>
        <w:pStyle w:val="FootnoteText"/>
        <w:spacing w:line="480" w:lineRule="auto"/>
        <w:rPr>
          <w:ins w:id="202442" w:author="Claude" w:date="2026-09-27T12:00:00Z"/>
          <w:color w:val="000000" w:themeColor="text1"/>
        </w:rPr>
      </w:pPr>
      <w:ins w:id="202438" w:author="Claude" w:date="2026-09-27T12:00:00Z">
        <w:r>
          <w:rPr>
            <w:rStyle w:val="FootnoteReference"/>
            <w:color w:val="000000" w:themeColor="text1"/>
          </w:rPr>
          <w:footnoteRef/>
        </w:r>
      </w:ins>
      <w:ins w:id="202439" w:author="Claude" w:date="2026-09-27T12:00:00Z">
        <w:r>
          <w:rPr>
            <w:color w:val="000000" w:themeColor="text1"/>
          </w:rPr>
          <w:t xml:space="preserve"> </w:t>
        </w:r>
      </w:ins>
      <w:ins w:id="202440" w:author="Claude" w:date="2026-09-27T12:00:00Z">
        <w:r>
          <w:rPr>
            <w:i/>
            <w:iCs/>
            <w:color w:val="000000" w:themeColor="text1"/>
          </w:rPr>
          <w:t>See infra</w:t>
        </w:r>
      </w:ins>
      <w:ins w:id="202441" w:author="Claude" w:date="2026-09-27T12:00:00Z">
        <w:r>
          <w:rPr>
            <w:color w:val="000000" w:themeColor="text1"/>
          </w:rPr>
          <w:t xml:space="preserve"> Section VI.A–C.</w:t>
        </w:r>
      </w:ins>
    </w:p>
  </w:footnote>
  <w:footnote w:id="893">
    <w:p w14:paraId="6F31D175" w14:textId="60938D50" w:rsidR="00EA0B0F" w:rsidRPr="005B3E31" w:rsidRDefault="00C615BB" w:rsidP="003D74D8">
      <w:pPr>
        <w:pStyle w:val="FootnoteText"/>
        <w:spacing w:line="480" w:lineRule="auto"/>
        <w:rPr>
          <w:ins w:id="202447" w:author="Claude" w:date="2026-09-27T12:00:00Z"/>
        </w:rPr>
      </w:pPr>
      <w:ins w:id="202443" w:author="Claude" w:date="2026-09-27T12:00:00Z">
        <w:r>
          <w:rPr>
            <w:rStyle w:val="FootnoteReference"/>
          </w:rPr>
          <w:footnoteRef/>
        </w:r>
      </w:ins>
      <w:ins w:id="202444" w:author="Claude" w:date="2026-09-27T12:00:00Z">
        <w:r>
          <w:t xml:space="preserve"> </w:t>
        </w:r>
      </w:ins>
      <w:ins w:id="202445" w:author="Claude" w:date="2026-09-27T12:00:00Z">
        <w:r>
          <w:rPr>
            <w:smallCaps/>
          </w:rPr>
          <w:t>Richards J. Heuer Jr. &amp; Randolph H. Pherson, Structured Analytic Techniques for Intelligence Analysis</w:t>
        </w:r>
      </w:ins>
      <w:ins w:id="202446" w:author="Claude" w:date="2026-09-27T12:00:00Z">
        <w:r>
          <w:t xml:space="preserve"> (3d ed. 2020) (“Laboratory experiments have shown that even a single dissenting opinion, all by</w:t>
        </w:r>
      </w:ins>
    </w:p>
    <w:p w14:paraId="5808AB33" w14:textId="0F950A60" w:rsidR="00C615BB" w:rsidRPr="005B3E31" w:rsidRDefault="00EA0B0F" w:rsidP="003D74D8">
      <w:pPr>
        <w:pStyle w:val="FootnoteText"/>
        <w:spacing w:line="480" w:lineRule="auto"/>
        <w:rPr>
          <w:ins w:id="202455" w:author="Claude" w:date="2026-09-27T12:00:00Z"/>
        </w:rPr>
      </w:pPr>
      <w:ins w:id="202448" w:author="Claude" w:date="2026-09-27T12:00:00Z">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ins>
      <w:ins w:id="202449" w:author="Claude" w:date="2026-09-27T12:00:00Z">
        <w:r>
          <w:rPr>
            <w:smallCaps/>
          </w:rPr>
          <w:t>Randall Kiser, How Leading Lawyers Think: Expert Insights Into Judgment and</w:t>
        </w:r>
      </w:ins>
      <w:ins w:id="202450" w:author="Claude" w:date="2026-09-27T12:00:00Z">
        <w:r>
          <w:t xml:space="preserve"> </w:t>
        </w:r>
      </w:ins>
      <w:ins w:id="202451" w:author="Claude" w:date="2026-09-27T12:00:00Z">
        <w:r>
          <w:rPr>
            <w:smallCaps/>
          </w:rPr>
          <w:t>Advocacy</w:t>
        </w:r>
      </w:ins>
      <w:ins w:id="202452" w:author="Claude" w:date="2026-09-27T12:00:00Z">
        <w:r>
          <w:t xml:space="preserve"> 100 (2011); </w:t>
        </w:r>
      </w:ins>
      <w:ins w:id="202453" w:author="Claude" w:date="2026-09-27T12:00:00Z">
        <w:r>
          <w:rPr>
            <w:smallCaps/>
          </w:rPr>
          <w:t>Micah Zenko, Red Team: How to Succeed by Thinking Like the Enemy</w:t>
        </w:r>
      </w:ins>
      <w:ins w:id="202454" w:author="Claude" w:date="2026-09-27T12:00:00Z">
        <w:r>
          <w:t xml:space="preserve"> ch. 6 n.17 (2015) (quoting Michael Walzer) (“[T]he absence of dissent means that there wasn’t an adequate deliberation.”).</w:t>
        </w:r>
      </w:ins>
    </w:p>
  </w:footnote>
  <w:footnote w:id="894">
    <w:p>
      <w:pPr>
        <w:pStyle w:val="FootnoteText"/>
        <w:spacing w:line="480" w:lineRule="auto"/>
        <w:rPr>
          <w:ins w:id="202460" w:author="Claude" w:date="2026-09-27T12:00:00Z"/>
        </w:rPr>
      </w:pPr>
      <w:ins w:id="202461" w:author="Claude" w:date="2026-09-27T12:00:00Z">
        <w:r>
          <w:rPr>
            <w:rStyle w:val="FootnoteReference"/>
          </w:rPr>
          <w:footnoteRef/>
        </w:r>
        <w:r>
          <w:t xml:space="preserve"> </w:t>
        </w:r>
        <w:r>
          <w:t>Interview with Carter G. Phillips, Partner, Sidley Austin LLP ([date]) (notes on file with author).</w:t>
        </w:r>
      </w:ins>
    </w:p>
  </w:footnote>
  <w:footnote w:id="895">
    <w:p>
      <w:pPr>
        <w:pStyle w:val="FootnoteText"/>
        <w:spacing w:line="480" w:lineRule="auto"/>
        <w:rPr>
          <w:ins w:id="202464" w:author="Claude" w:date="2026-09-27T12:00:00Z"/>
        </w:rPr>
      </w:pPr>
      <w:ins w:id="202465" w:author="Claude" w:date="2026-09-27T12:00:00Z">
        <w:r>
          <w:rPr>
            <w:rStyle w:val="FootnoteReference"/>
          </w:rPr>
          <w:footnoteRef/>
        </w:r>
        <w:r>
          <w:t xml:space="preserve"> </w:t>
        </w:r>
        <w:r>
          <w:t xml:space="preserve">Interview with Carter G. Phillips, </w:t>
        </w:r>
        <w:r>
          <w:rPr>
            <w:i/>
          </w:rPr>
          <w:t>supra</w:t>
        </w:r>
        <w:r>
          <w:t>.</w:t>
        </w:r>
      </w:ins>
    </w:p>
  </w:footnote>
  <w:footnote w:id="896">
    <w:p>
      <w:pPr>
        <w:pStyle w:val="FootnoteText"/>
        <w:spacing w:line="480" w:lineRule="auto"/>
        <w:rPr>
          <w:ins w:id="202468" w:author="Claude" w:date="2026-09-27T12:00:00Z"/>
        </w:rPr>
      </w:pPr>
      <w:ins w:id="202469" w:author="Claude" w:date="2026-09-27T12:00:00Z">
        <w:r>
          <w:rPr>
            <w:rStyle w:val="FootnoteReference"/>
          </w:rPr>
          <w:footnoteRef/>
        </w:r>
        <w:r>
          <w:t xml:space="preserve"> </w:t>
        </w:r>
        <w:r>
          <w:rPr>
            <w:smallCaps/>
          </w:rPr>
          <w:t>McGuire</w:t>
        </w:r>
        <w:r>
          <w:t xml:space="preserve">, </w:t>
        </w:r>
        <w:r>
          <w:rPr>
            <w:i/>
          </w:rPr>
          <w:t>supra</w:t>
        </w:r>
        <w:r>
          <w:t xml:space="preserve">, at 112 (quoting </w:t>
        </w:r>
        <w:r>
          <w:rPr>
            <w:smallCaps/>
          </w:rPr>
          <w:t>Stephen L. Wasby, The Supreme Court in the Federal Judicial System</w:t>
        </w:r>
        <w:r>
          <w:t xml:space="preserve"> 147 (1988)).</w:t>
        </w:r>
      </w:ins>
    </w:p>
  </w:footnote>
  <w:footnote w:id="897">
    <w:p>
      <w:pPr>
        <w:pStyle w:val="FootnoteText"/>
        <w:spacing w:line="480" w:lineRule="auto"/>
        <w:rPr>
          <w:ins w:id="202470" w:author="Claude" w:date="2026-09-27T12:00:00Z"/>
        </w:rPr>
      </w:pPr>
      <w:ins w:id="202471" w:author="Claude" w:date="2026-09-27T12:00:00Z">
        <w:r>
          <w:rPr>
            <w:rStyle w:val="FootnoteReference"/>
          </w:rPr>
          <w:footnoteRef/>
        </w:r>
        <w:r>
          <w:t xml:space="preserve"> </w:t>
        </w:r>
        <w:r>
          <w:rPr>
            <w:smallCaps/>
          </w:rPr>
          <w:t>McGuire</w:t>
        </w:r>
        <w:r>
          <w:t xml:space="preserve">, </w:t>
        </w:r>
        <w:r>
          <w:rPr>
            <w:i/>
          </w:rPr>
          <w:t>supra</w:t>
        </w:r>
        <w:r>
          <w:t xml:space="preserve">, at 158 (quoting Tony Mauro, </w:t>
        </w:r>
        <w:r>
          <w:rPr>
            <w:i/>
          </w:rPr>
          <w:t>Damaging the Anti-Punitive Crusade</w:t>
        </w:r>
        <w:r>
          <w:t xml:space="preserve">, </w:t>
        </w:r>
        <w:r>
          <w:rPr>
            <w:smallCaps/>
          </w:rPr>
          <w:t>Legal Times of Wash.</w:t>
        </w:r>
        <w:r>
          <w:t>, Oct. 8, 1990, at 10).</w:t>
        </w:r>
      </w:ins>
    </w:p>
  </w:footnote>
  <w:footnote w:id="898">
    <w:p>
      <w:pPr>
        <w:pStyle w:val="FootnoteText"/>
        <w:spacing w:line="480" w:lineRule="auto"/>
        <w:rPr>
          <w:ins w:id="202472" w:author="Claude" w:date="2026-09-27T12:00:00Z"/>
        </w:rPr>
      </w:pPr>
      <w:ins w:id="202473" w:author="Claude" w:date="2026-09-27T12:00:00Z">
        <w:r>
          <w:rPr>
            <w:rStyle w:val="FootnoteReference"/>
          </w:rPr>
          <w:footnoteRef/>
        </w:r>
        <w:r>
          <w:t xml:space="preserve"> </w:t>
        </w:r>
        <w:r>
          <w:t xml:space="preserve">Interview with Carter G. Phillips, </w:t>
        </w:r>
        <w:r>
          <w:rPr>
            <w:i/>
          </w:rPr>
          <w:t>supra</w:t>
        </w:r>
        <w:r>
          <w:t>.</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