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sz w:val="96"/>
          <w:szCs w:val="96"/>
        </w:rPr>
        <w:t xml:space="preserve">🪶</w:t>
      </w:r>
    </w:p>
    <w:p>
      <w:pPr>
        <w:spacing w:before="200"/>
        <w:jc w:val="center"/>
      </w:pPr>
      <w:r>
        <w:rPr>
          <w:rFonts w:ascii="Georgia" w:cs="Georgia" w:eastAsia="Georgia" w:hAnsi="Georgia"/>
          <w:b/>
          <w:bCs/>
          <w:color w:val="1D3557"/>
          <w:sz w:val="72"/>
          <w:szCs w:val="72"/>
        </w:rPr>
        <w:t xml:space="preserve">Nestful</w:t>
      </w:r>
    </w:p>
    <w:p>
      <w:pPr>
        <w:spacing w:after="60" w:before="80"/>
        <w:jc w:val="center"/>
      </w:pPr>
      <w:r>
        <w:rPr>
          <w:i/>
          <w:iCs/>
          <w:color w:val="00707D"/>
          <w:sz w:val="26"/>
          <w:szCs w:val="26"/>
        </w:rPr>
        <w:t xml:space="preserve">Where openness comes first.</w:t>
      </w:r>
    </w:p>
    <w:p>
      <w:pPr>
        <w:spacing w:before="400"/>
        <w:jc w:val="center"/>
      </w:pPr>
      <w:r>
        <w:rPr>
          <w:b/>
          <w:bCs/>
          <w:color w:val="1D3557"/>
          <w:spacing w:val="40"/>
          <w:sz w:val="30"/>
          <w:szCs w:val="30"/>
        </w:rPr>
        <w:t xml:space="preserve">PROJECT PLAN</w:t>
      </w:r>
    </w:p>
    <w:p>
      <w:pPr>
        <w:spacing w:before="120"/>
        <w:jc w:val="center"/>
      </w:pPr>
      <w:r>
        <w:rPr>
          <w:color w:val="5876A3"/>
          <w:sz w:val="20"/>
          <w:szCs w:val="20"/>
        </w:rPr>
        <w:t xml:space="preserve">Business Scope · Technical Architecture · Deployed Services · Current Status · Roadmap</w:t>
      </w:r>
    </w:p>
    <w:p>
      <w:pPr>
        <w:spacing w:before="800"/>
        <w:jc w:val="center"/>
      </w:pPr>
      <w:r>
        <w:rPr>
          <w:color w:val="5876A3"/>
          <w:sz w:val="18"/>
          <w:szCs w:val="18"/>
        </w:rPr>
        <w:t xml:space="preserve">Living document — last updated July 21, 2026</w:t>
      </w:r>
    </w:p>
    <w:p>
      <w:pPr>
        <w:spacing w:before="60"/>
        <w:jc w:val="center"/>
      </w:pPr>
      <w:r>
        <w:rPr>
          <w:color w:val="5876A3"/>
          <w:sz w:val="18"/>
          <w:szCs w:val="18"/>
        </w:rPr>
        <w:t xml:space="preserve">Nestful, LLC (formation pending) · nestfulapp.com</w:t>
      </w:r>
    </w:p>
    <w:p>
      <w:r>
        <w:br w:type="page"/>
      </w:r>
    </w:p>
    <w:p>
      <w:pPr>
        <w:pStyle w:val="Heading1"/>
        <w:spacing w:after="200" w:before="400"/>
      </w:pPr>
      <w:r>
        <w:rPr>
          <w:b/>
          <w:bCs/>
          <w:color w:val="1D3557"/>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1D3557"/>
        </w:rPr>
        <w:t xml:space="preserve">1. Executive Summary</w:t>
      </w:r>
    </w:p>
    <w:p>
      <w:pPr>
        <w:spacing w:after="160" w:line="300"/>
      </w:pPr>
      <w:r>
        <w:rPr>
          <w:color w:val="222222"/>
          <w:sz w:val="21"/>
          <w:szCs w:val="21"/>
        </w:rPr>
        <w:t xml:space="preserve">Nestful is a dating platform built on one core principle: mutual, pre-screened openness to partners with children or dependents, settled before the first message — not on date three. Members declare upfront whether they have kids or dependents and what they are open to in a partner; the app only ever surfaces mutually compatible matches, so the awkward, relationship-derailing conversation that usually surfaces after emotional investment has already been built never has to happen.</w:t>
      </w:r>
    </w:p>
    <w:p>
      <w:pPr>
        <w:spacing w:after="160" w:line="300"/>
      </w:pPr>
      <w:r>
        <w:rPr>
          <w:color w:val="222222"/>
          <w:sz w:val="21"/>
          <w:szCs w:val="21"/>
        </w:rPr>
        <w:t xml:space="preserve">As of this writing, Nestful is a live, working application at nestfulapp.com, backed by a real database, real authentication, real transactional email, and a fully isolated staging environment for safely testing changes before they reach real users. The business is in a freemium BETA phase: the core product experience is entirely free, with a paid “Nestful+” tier fully built in code but deliberately disabled until payment infrastructure and legal formation are in place.</w:t>
      </w:r>
    </w:p>
    <w:p>
      <w:pPr>
        <w:spacing w:after="160" w:line="300"/>
      </w:pPr>
      <w:r>
        <w:rPr>
          <w:color w:val="222222"/>
          <w:sz w:val="21"/>
          <w:szCs w:val="21"/>
        </w:rPr>
        <w:t xml:space="preserve">This document is the durable reference for the project — what it is, how it is built, what is deployed where, what is verified working, and what remains to be done. It is intended to be updated as the project evolves, not a one-time snapshot.</w:t>
      </w:r>
    </w:p>
    <w:p>
      <w:pPr>
        <w:pStyle w:val="Heading1"/>
        <w:spacing w:after="200" w:before="400"/>
      </w:pPr>
      <w:r>
        <w:rPr>
          <w:b/>
          <w:bCs/>
          <w:color w:val="1D3557"/>
        </w:rPr>
        <w:t xml:space="preserve">2. Business Concept &amp; Brand</w:t>
      </w:r>
    </w:p>
    <w:p>
      <w:pPr>
        <w:pStyle w:val="Heading2"/>
        <w:spacing w:after="140" w:before="280"/>
      </w:pPr>
      <w:r>
        <w:rPr>
          <w:b/>
          <w:bCs/>
          <w:color w:val="00707D"/>
        </w:rPr>
        <w:t xml:space="preserve">2.1 The Core Idea</w:t>
      </w:r>
    </w:p>
    <w:p>
      <w:pPr>
        <w:spacing w:after="160" w:line="300"/>
      </w:pPr>
      <w:r>
        <w:rPr>
          <w:color w:val="222222"/>
          <w:sz w:val="21"/>
          <w:szCs w:val="21"/>
        </w:rPr>
        <w:t xml:space="preserve">Mainstream dating apps treat “do you have kids” as a skippable profile field. It carries stigma, so many parents delay disclosing it — and the conversation often lands after chemistry and attachment have already formed, causing real hurt on both sides. Nestful makes openness the entry ticket rather than a filter people hope was used honestly: members only ever see people whose stated openness is mutually compatible with their own.</w:t>
      </w:r>
    </w:p>
    <w:p>
      <w:pPr>
        <w:pStyle w:val="Heading2"/>
        <w:spacing w:after="140" w:before="280"/>
      </w:pPr>
      <w:r>
        <w:rPr>
          <w:b/>
          <w:bCs/>
          <w:color w:val="00707D"/>
        </w:rPr>
        <w:t xml:space="preserve">2.2 Community Language</w:t>
      </w:r>
    </w:p>
    <w:p>
      <w:pPr>
        <w:pStyle w:val="ListParagraph"/>
        <w:numPr>
          <w:ilvl w:val="0"/>
          <w:numId w:val="2"/>
        </w:numPr>
        <w:spacing w:after="80" w:line="280"/>
      </w:pPr>
      <w:r>
        <w:rPr>
          <w:b/>
          <w:bCs/>
          <w:sz w:val="21"/>
          <w:szCs w:val="21"/>
        </w:rPr>
        <w:t xml:space="preserve">Full Nest 🪶 — </w:t>
      </w:r>
      <w:r>
        <w:rPr>
          <w:sz w:val="21"/>
          <w:szCs w:val="21"/>
        </w:rPr>
        <w:t xml:space="preserve">members who have kids or dependents. “My nest has company.”</w:t>
      </w:r>
    </w:p>
    <w:p>
      <w:pPr>
        <w:pStyle w:val="ListParagraph"/>
        <w:numPr>
          <w:ilvl w:val="0"/>
          <w:numId w:val="2"/>
        </w:numPr>
        <w:spacing w:after="80" w:line="280"/>
      </w:pPr>
      <w:r>
        <w:rPr>
          <w:b/>
          <w:bCs/>
          <w:sz w:val="21"/>
          <w:szCs w:val="21"/>
        </w:rPr>
        <w:t xml:space="preserve">Nest-Ready 🌿 — </w:t>
      </w:r>
      <w:r>
        <w:rPr>
          <w:sz w:val="21"/>
          <w:szCs w:val="21"/>
        </w:rPr>
        <w:t xml:space="preserve">members without dependents who are open to joining a family. “My nest has room.”</w:t>
      </w:r>
    </w:p>
    <w:p>
      <w:pPr>
        <w:spacing w:after="160" w:line="300"/>
      </w:pPr>
      <w:r>
        <w:rPr>
          <w:color w:val="222222"/>
          <w:sz w:val="21"/>
          <w:szCs w:val="21"/>
        </w:rPr>
        <w:t xml:space="preserve">Full Nest members get an exclusive, opt-in option to be shown Nest-Ready partners; Nest-Ready members cannot select this for themselves, so a Nest-Ready ↔ Nest-Ready pairing is structurally impossible — by design, since that pairing would defeat the purpose of the app.</w:t>
      </w:r>
    </w:p>
    <w:p>
      <w:pPr>
        <w:pStyle w:val="Heading2"/>
        <w:spacing w:after="140" w:before="280"/>
      </w:pPr>
      <w:r>
        <w:rPr>
          <w:b/>
          <w:bCs/>
          <w:color w:val="00707D"/>
        </w:rPr>
        <w:t xml:space="preserve">2.3 Target Market</w:t>
      </w:r>
    </w:p>
    <w:p>
      <w:pPr>
        <w:pStyle w:val="ListParagraph"/>
        <w:numPr>
          <w:ilvl w:val="0"/>
          <w:numId w:val="2"/>
        </w:numPr>
        <w:spacing w:after="80" w:line="280"/>
      </w:pPr>
      <w:r>
        <w:rPr>
          <w:sz w:val="21"/>
          <w:szCs w:val="21"/>
        </w:rPr>
        <w:t xml:space="preserve">Single parents seeking partners without the disclosure dance common on mainstream apps.</w:t>
      </w:r>
    </w:p>
    <w:p>
      <w:pPr>
        <w:pStyle w:val="ListParagraph"/>
        <w:numPr>
          <w:ilvl w:val="0"/>
          <w:numId w:val="2"/>
        </w:numPr>
        <w:spacing w:after="80" w:line="280"/>
      </w:pPr>
      <w:r>
        <w:rPr>
          <w:sz w:val="21"/>
          <w:szCs w:val="21"/>
        </w:rPr>
        <w:t xml:space="preserve">Non-parents genuinely open to (or seeking) a partner with a family — currently invisible to parents on other platforms.</w:t>
      </w:r>
    </w:p>
    <w:p>
      <w:pPr>
        <w:pStyle w:val="ListParagraph"/>
        <w:numPr>
          <w:ilvl w:val="0"/>
          <w:numId w:val="2"/>
        </w:numPr>
        <w:spacing w:after="80" w:line="280"/>
      </w:pPr>
      <w:r>
        <w:rPr>
          <w:sz w:val="21"/>
          <w:szCs w:val="21"/>
        </w:rPr>
        <w:t xml:space="preserve">Caregivers of extended dependents (an aging parent, a disabled sibling) — an underserved segment no direct competitor addresses.</w:t>
      </w:r>
    </w:p>
    <w:p>
      <w:pPr>
        <w:pStyle w:val="Heading2"/>
        <w:spacing w:after="140" w:before="280"/>
      </w:pPr>
      <w:r>
        <w:rPr>
          <w:b/>
          <w:bCs/>
          <w:color w:val="00707D"/>
        </w:rPr>
        <w:t xml:space="preserve">2.4 Competitive Landscape</w:t>
      </w:r>
    </w:p>
    <w:p>
      <w:pPr>
        <w:spacing w:after="160" w:line="300"/>
      </w:pPr>
      <w:r>
        <w:rPr>
          <w:color w:val="222222"/>
          <w:sz w:val="21"/>
          <w:szCs w:val="21"/>
        </w:rPr>
        <w:t xml:space="preserve">Stir (Match Group) and Heybaby both address parent-focused dating but skew toward parent-to-parent matching and do not address extended-dependent caregivers or depth-of-openness matching (ages, time rhythm, caregiving type) the way Nestful does. Mutual pre-screening as an architectural gate — not an optional filter — is a first in the category.</w:t>
      </w:r>
    </w:p>
    <w:p>
      <w:pPr>
        <w:pStyle w:val="Heading2"/>
        <w:spacing w:after="140" w:before="280"/>
      </w:pPr>
      <w:r>
        <w:rPr>
          <w:b/>
          <w:bCs/>
          <w:color w:val="00707D"/>
        </w:rPr>
        <w:t xml:space="preserve">2.5 Brand &amp; Domain</w:t>
      </w:r>
    </w:p>
    <w:p>
      <w:pPr>
        <w:pStyle w:val="ListParagraph"/>
        <w:numPr>
          <w:ilvl w:val="0"/>
          <w:numId w:val="2"/>
        </w:numPr>
        <w:spacing w:after="80" w:line="280"/>
      </w:pPr>
      <w:r>
        <w:rPr>
          <w:sz w:val="21"/>
          <w:szCs w:val="21"/>
        </w:rPr>
        <w:t xml:space="preserve">Domain: nestfulapp.com (registered and live).</w:t>
      </w:r>
    </w:p>
    <w:p>
      <w:pPr>
        <w:pStyle w:val="ListParagraph"/>
        <w:numPr>
          <w:ilvl w:val="0"/>
          <w:numId w:val="2"/>
        </w:numPr>
        <w:spacing w:after="80" w:line="280"/>
      </w:pPr>
      <w:r>
        <w:rPr>
          <w:sz w:val="21"/>
          <w:szCs w:val="21"/>
        </w:rPr>
        <w:t xml:space="preserve">Tagline: “Where openness comes first.”</w:t>
      </w:r>
    </w:p>
    <w:p>
      <w:pPr>
        <w:pStyle w:val="ListParagraph"/>
        <w:numPr>
          <w:ilvl w:val="0"/>
          <w:numId w:val="2"/>
        </w:numPr>
        <w:spacing w:after="80" w:line="280"/>
      </w:pPr>
      <w:r>
        <w:rPr>
          <w:sz w:val="21"/>
          <w:szCs w:val="21"/>
        </w:rPr>
        <w:t xml:space="preserve">Palette: robin’s-egg blues — #00C2CF, #F3FBFF, #FFE66D, #A8DADC, #1D3557.</w:t>
      </w:r>
    </w:p>
    <w:p>
      <w:pPr>
        <w:pStyle w:val="ListParagraph"/>
        <w:numPr>
          <w:ilvl w:val="0"/>
          <w:numId w:val="2"/>
        </w:numPr>
        <w:spacing w:after="80" w:line="280"/>
      </w:pPr>
      <w:r>
        <w:rPr>
          <w:sz w:val="21"/>
          <w:szCs w:val="21"/>
        </w:rPr>
        <w:t xml:space="preserve">Trademark note: a naming collision was found with Nestfully LLC (USPTO marks NESTFULLY and NESTAVA, real estate software). A trademark clearance search is recommended before wider public launch — see the Roadmap.</w:t>
      </w:r>
    </w:p>
    <w:p>
      <w:pPr>
        <w:pStyle w:val="ListParagraph"/>
        <w:numPr>
          <w:ilvl w:val="0"/>
          <w:numId w:val="2"/>
        </w:numPr>
        <w:spacing w:after="80" w:line="280"/>
      </w:pPr>
      <w:r>
        <w:rPr>
          <w:sz w:val="21"/>
          <w:szCs w:val="21"/>
        </w:rPr>
        <w:t xml:space="preserve">Entity: Nestful, LLC — planned, not yet formed.</w:t>
      </w:r>
    </w:p>
    <w:p>
      <w:pPr>
        <w:pStyle w:val="Heading1"/>
        <w:spacing w:after="200" w:before="400"/>
      </w:pPr>
      <w:r>
        <w:rPr>
          <w:b/>
          <w:bCs/>
          <w:color w:val="1D3557"/>
        </w:rPr>
        <w:t xml:space="preserve">3. Product Scope — Freemium BETA</w:t>
      </w:r>
    </w:p>
    <w:p>
      <w:pPr>
        <w:spacing w:after="160" w:line="300"/>
      </w:pPr>
      <w:r>
        <w:rPr>
          <w:color w:val="222222"/>
          <w:sz w:val="21"/>
          <w:szCs w:val="21"/>
        </w:rPr>
        <w:t xml:space="preserve">Everyone with room in their nest can use the core product for free. Daily caps (8 likes, 2 notes per day) keep the app feeling purposeful and exclusive rather than an endless-swipe experience — they are a product choice, not a paywall. Nothing safety-related or core to the pre-screening promise is ever paywalled.</w:t>
      </w:r>
    </w:p>
    <w:p>
      <w:pPr>
        <w:pStyle w:val="Heading2"/>
        <w:spacing w:after="140" w:before="280"/>
      </w:pPr>
      <w:r>
        <w:rPr>
          <w:b/>
          <w:bCs/>
          <w:color w:val="00707D"/>
        </w:rPr>
        <w:t xml:space="preserve">3.1 Onboarding (the pre-screen)</w:t>
      </w:r>
    </w:p>
    <w:p>
      <w:pPr>
        <w:pStyle w:val="ListParagraph"/>
        <w:numPr>
          <w:ilvl w:val="0"/>
          <w:numId w:val="2"/>
        </w:numPr>
        <w:spacing w:after="80" w:line="280"/>
      </w:pPr>
      <w:r>
        <w:rPr>
          <w:sz w:val="21"/>
          <w:szCs w:val="21"/>
        </w:rPr>
        <w:t xml:space="preserve">Gender identity: Woman / Man / Nonbinary, plus an optional free-text “in my own words” field — never an “Other” bucket.</w:t>
      </w:r>
    </w:p>
    <w:p>
      <w:pPr>
        <w:pStyle w:val="ListParagraph"/>
        <w:numPr>
          <w:ilvl w:val="0"/>
          <w:numId w:val="2"/>
        </w:numPr>
        <w:spacing w:after="80" w:line="280"/>
      </w:pPr>
      <w:r>
        <w:rPr>
          <w:sz w:val="21"/>
          <w:szCs w:val="21"/>
        </w:rPr>
        <w:t xml:space="preserve">Pronouns: common presets or a custom entry.</w:t>
      </w:r>
    </w:p>
    <w:p>
      <w:pPr>
        <w:pStyle w:val="ListParagraph"/>
        <w:numPr>
          <w:ilvl w:val="0"/>
          <w:numId w:val="2"/>
        </w:numPr>
        <w:spacing w:after="80" w:line="280"/>
      </w:pPr>
      <w:r>
        <w:rPr>
          <w:sz w:val="21"/>
          <w:szCs w:val="21"/>
        </w:rPr>
        <w:t xml:space="preserve">“Show me…” as a true multi-select (never a binary “both”) — a mutual-preference match, not one-directional.</w:t>
      </w:r>
    </w:p>
    <w:p>
      <w:pPr>
        <w:pStyle w:val="ListParagraph"/>
        <w:numPr>
          <w:ilvl w:val="0"/>
          <w:numId w:val="2"/>
        </w:numPr>
        <w:spacing w:after="80" w:line="280"/>
      </w:pPr>
      <w:r>
        <w:rPr>
          <w:sz w:val="21"/>
          <w:szCs w:val="21"/>
        </w:rPr>
        <w:t xml:space="preserve">Full Nest / Nest-Ready choice, with the exclusive Nest-Ready openness option described in Section 2.2.</w:t>
      </w:r>
    </w:p>
    <w:p>
      <w:pPr>
        <w:pStyle w:val="ListParagraph"/>
        <w:numPr>
          <w:ilvl w:val="0"/>
          <w:numId w:val="2"/>
        </w:numPr>
        <w:spacing w:after="80" w:line="280"/>
      </w:pPr>
      <w:r>
        <w:rPr>
          <w:sz w:val="21"/>
          <w:szCs w:val="21"/>
        </w:rPr>
        <w:t xml:space="preserve">Nest contents (young kids, teens, adult dependents) with optional household-size ranges (1 / 2 / 3+) — ranges rather than exact counts, to avoid over-identifying real children.</w:t>
      </w:r>
    </w:p>
    <w:p>
      <w:pPr>
        <w:pStyle w:val="ListParagraph"/>
        <w:numPr>
          <w:ilvl w:val="0"/>
          <w:numId w:val="2"/>
        </w:numPr>
        <w:spacing w:after="80" w:line="280"/>
      </w:pPr>
      <w:r>
        <w:rPr>
          <w:sz w:val="21"/>
          <w:szCs w:val="21"/>
        </w:rPr>
        <w:t xml:space="preserve">Time rhythm (full-time, alternating weeks, weekends, varies) and a private “how many kids am I open to” preference filter that silently shapes the deck without ever being shown to other members.</w:t>
      </w:r>
    </w:p>
    <w:p>
      <w:pPr>
        <w:pStyle w:val="ListParagraph"/>
        <w:numPr>
          <w:ilvl w:val="0"/>
          <w:numId w:val="2"/>
        </w:numPr>
        <w:spacing w:after="80" w:line="280"/>
      </w:pPr>
      <w:r>
        <w:rPr>
          <w:sz w:val="21"/>
          <w:szCs w:val="21"/>
        </w:rPr>
        <w:t xml:space="preserve">City, bio, and an optional photo — gated behind a binding child-safety policy (no minors in any photo, ever) with an explicit confirmation checkbox.</w:t>
      </w:r>
    </w:p>
    <w:p>
      <w:pPr>
        <w:pStyle w:val="Heading2"/>
        <w:spacing w:after="140" w:before="280"/>
      </w:pPr>
      <w:r>
        <w:rPr>
          <w:b/>
          <w:bCs/>
          <w:color w:val="00707D"/>
        </w:rPr>
        <w:t xml:space="preserve">3.2 Matching &amp; the Deck</w:t>
      </w:r>
    </w:p>
    <w:p>
      <w:pPr>
        <w:pStyle w:val="ListParagraph"/>
        <w:numPr>
          <w:ilvl w:val="0"/>
          <w:numId w:val="2"/>
        </w:numPr>
        <w:spacing w:after="80" w:line="280"/>
      </w:pPr>
      <w:r>
        <w:rPr>
          <w:sz w:val="21"/>
          <w:szCs w:val="21"/>
        </w:rPr>
        <w:t xml:space="preserve">List view and a Stack (swipe-style) view, toggleable.</w:t>
      </w:r>
    </w:p>
    <w:p>
      <w:pPr>
        <w:pStyle w:val="ListParagraph"/>
        <w:numPr>
          <w:ilvl w:val="0"/>
          <w:numId w:val="2"/>
        </w:numPr>
        <w:spacing w:after="80" w:line="280"/>
      </w:pPr>
      <w:r>
        <w:rPr>
          <w:sz w:val="21"/>
          <w:szCs w:val="21"/>
        </w:rPr>
        <w:t xml:space="preserve">Full profile detail view on click, including bio, nest details, and openness tags.</w:t>
      </w:r>
    </w:p>
    <w:p>
      <w:pPr>
        <w:pStyle w:val="ListParagraph"/>
        <w:numPr>
          <w:ilvl w:val="0"/>
          <w:numId w:val="2"/>
        </w:numPr>
        <w:spacing w:after="80" w:line="280"/>
      </w:pPr>
      <w:r>
        <w:rPr>
          <w:sz w:val="21"/>
          <w:szCs w:val="21"/>
        </w:rPr>
        <w:t xml:space="preserve">Like, and Like-with-a-note (personalized, capped to keep it meaningful).</w:t>
      </w:r>
    </w:p>
    <w:p>
      <w:pPr>
        <w:pStyle w:val="ListParagraph"/>
        <w:numPr>
          <w:ilvl w:val="0"/>
          <w:numId w:val="2"/>
        </w:numPr>
        <w:spacing w:after="80" w:line="280"/>
      </w:pPr>
      <w:r>
        <w:rPr>
          <w:sz w:val="21"/>
          <w:szCs w:val="21"/>
        </w:rPr>
        <w:t xml:space="preserve">Nest filters (age categories, household size, time rhythm) — free in the BETA.</w:t>
      </w:r>
    </w:p>
    <w:p>
      <w:pPr>
        <w:pStyle w:val="ListParagraph"/>
        <w:numPr>
          <w:ilvl w:val="0"/>
          <w:numId w:val="2"/>
        </w:numPr>
        <w:spacing w:after="80" w:line="280"/>
      </w:pPr>
      <w:r>
        <w:rPr>
          <w:sz w:val="21"/>
          <w:szCs w:val="21"/>
        </w:rPr>
        <w:t xml:space="preserve">Rhythm Match — surfaces members whose kid-free time aligns with yours — free in the BETA.</w:t>
      </w:r>
    </w:p>
    <w:p>
      <w:pPr>
        <w:pStyle w:val="ListParagraph"/>
        <w:numPr>
          <w:ilvl w:val="0"/>
          <w:numId w:val="2"/>
        </w:numPr>
        <w:spacing w:after="80" w:line="280"/>
      </w:pPr>
      <w:r>
        <w:rPr>
          <w:sz w:val="21"/>
          <w:szCs w:val="21"/>
        </w:rPr>
        <w:t xml:space="preserve">“Who liked you” — free and fully revealed in the BETA (a paid-tier feature on most competing apps).</w:t>
      </w:r>
    </w:p>
    <w:p>
      <w:pPr>
        <w:pStyle w:val="Heading2"/>
        <w:spacing w:after="140" w:before="280"/>
      </w:pPr>
      <w:r>
        <w:rPr>
          <w:b/>
          <w:bCs/>
          <w:color w:val="00707D"/>
        </w:rPr>
        <w:t xml:space="preserve">3.3 Account &amp; Trust</w:t>
      </w:r>
    </w:p>
    <w:p>
      <w:pPr>
        <w:pStyle w:val="ListParagraph"/>
        <w:numPr>
          <w:ilvl w:val="0"/>
          <w:numId w:val="2"/>
        </w:numPr>
        <w:spacing w:after="80" w:line="280"/>
      </w:pPr>
      <w:r>
        <w:rPr>
          <w:sz w:val="21"/>
          <w:szCs w:val="21"/>
        </w:rPr>
        <w:t xml:space="preserve">Real signup/sign-in, self-service password change, and a real forgotten-password recovery flow.</w:t>
      </w:r>
    </w:p>
    <w:p>
      <w:pPr>
        <w:pStyle w:val="ListParagraph"/>
        <w:numPr>
          <w:ilvl w:val="0"/>
          <w:numId w:val="2"/>
        </w:numPr>
        <w:spacing w:after="80" w:line="280"/>
      </w:pPr>
      <w:r>
        <w:rPr>
          <w:sz w:val="21"/>
          <w:szCs w:val="21"/>
        </w:rPr>
        <w:t xml:space="preserve">Permanent, type-to-confirm account deletion that genuinely removes the login (see Section 6.5).</w:t>
      </w:r>
    </w:p>
    <w:p>
      <w:pPr>
        <w:pStyle w:val="ListParagraph"/>
        <w:numPr>
          <w:ilvl w:val="0"/>
          <w:numId w:val="2"/>
        </w:numPr>
        <w:spacing w:after="80" w:line="280"/>
      </w:pPr>
      <w:r>
        <w:rPr>
          <w:sz w:val="21"/>
          <w:szCs w:val="21"/>
        </w:rPr>
        <w:t xml:space="preserve">Required Terms &amp; Privacy consent at signup, with an acceptance timestamp stored on the account.</w:t>
      </w:r>
    </w:p>
    <w:p>
      <w:pPr>
        <w:pStyle w:val="Heading2"/>
        <w:spacing w:after="140" w:before="280"/>
      </w:pPr>
      <w:r>
        <w:rPr>
          <w:b/>
          <w:bCs/>
          <w:color w:val="00707D"/>
        </w:rPr>
        <w:t xml:space="preserve">3.4 Nestful+ (built, currently disabled)</w:t>
      </w:r>
    </w:p>
    <w:p>
      <w:pPr>
        <w:spacing w:after="160" w:line="300"/>
      </w:pPr>
      <w:r>
        <w:rPr>
          <w:color w:val="222222"/>
          <w:sz w:val="21"/>
          <w:szCs w:val="21"/>
        </w:rPr>
        <w:t xml:space="preserve">The full upgrade funnel exists in code — plan selection, perk list, mock checkout — gated behind a single feature flag (FEATURES.upgradeEnabled in brand.js). Members who hit a daily cap see a warm “coming soon” screen and can join a waitlist instead of a paywall. Planned Nestful+ perks: unlimited likes, Private Nest mode (visible only to people you’ve liked), a weekly profile Boost, 10 notes/week (still capped, deliberately, so notes stay meaningful), and date-night partner perks.</w:t>
      </w:r>
    </w:p>
    <w:p>
      <w:pPr>
        <w:pStyle w:val="Heading1"/>
        <w:spacing w:after="200" w:before="400"/>
      </w:pPr>
      <w:r>
        <w:rPr>
          <w:b/>
          <w:bCs/>
          <w:color w:val="1D3557"/>
        </w:rPr>
        <w:t xml:space="preserve">4. Technical Architecture</w:t>
      </w:r>
    </w:p>
    <w:p>
      <w:pPr>
        <w:pStyle w:val="Heading2"/>
        <w:spacing w:after="140" w:before="280"/>
      </w:pPr>
      <w:r>
        <w:rPr>
          <w:b/>
          <w:bCs/>
          <w:color w:val="00707D"/>
        </w:rPr>
        <w:t xml:space="preserve">4.1 Frontend</w:t>
      </w:r>
    </w:p>
    <w:p>
      <w:pPr>
        <w:spacing w:after="160" w:line="300"/>
      </w:pPr>
      <w:r>
        <w:rPr>
          <w:color w:val="222222"/>
          <w:sz w:val="21"/>
          <w:szCs w:val="21"/>
        </w:rPr>
        <w:t xml:space="preserve">A dependency-free, build-step-free static application: plain HTML, CSS, and JavaScript. This was a deliberate choice to keep the project free to run and easy to deploy anywhere — there is no bundler, framework, or compile step.</w:t>
      </w:r>
    </w:p>
    <w:p>
      <w:pPr>
        <w:pStyle w:val="ListParagraph"/>
        <w:numPr>
          <w:ilvl w:val="0"/>
          <w:numId w:val="2"/>
        </w:numPr>
        <w:spacing w:after="80" w:line="280"/>
      </w:pPr>
      <w:r>
        <w:rPr>
          <w:sz w:val="21"/>
          <w:szCs w:val="21"/>
        </w:rPr>
        <w:t xml:space="preserve">index.html — the single page shell.</w:t>
      </w:r>
    </w:p>
    <w:p>
      <w:pPr>
        <w:pStyle w:val="ListParagraph"/>
        <w:numPr>
          <w:ilvl w:val="0"/>
          <w:numId w:val="2"/>
        </w:numPr>
        <w:spacing w:after="80" w:line="280"/>
      </w:pPr>
      <w:r>
        <w:rPr>
          <w:sz w:val="21"/>
          <w:szCs w:val="21"/>
        </w:rPr>
        <w:t xml:space="preserve">app.js — the entire application: a client-side view router, all screens, and all business logic.</w:t>
      </w:r>
    </w:p>
    <w:p>
      <w:pPr>
        <w:pStyle w:val="ListParagraph"/>
        <w:numPr>
          <w:ilvl w:val="0"/>
          <w:numId w:val="2"/>
        </w:numPr>
        <w:spacing w:after="80" w:line="280"/>
      </w:pPr>
      <w:r>
        <w:rPr>
          <w:sz w:val="21"/>
          <w:szCs w:val="21"/>
        </w:rPr>
        <w:t xml:space="preserve">brand.js / brand.css — every brand-specific value (name, tagline, badge language, colors, fonts) isolated into two files, so rebranding never touches application logic.</w:t>
      </w:r>
    </w:p>
    <w:p>
      <w:pPr>
        <w:pStyle w:val="ListParagraph"/>
        <w:numPr>
          <w:ilvl w:val="0"/>
          <w:numId w:val="2"/>
        </w:numPr>
        <w:spacing w:after="80" w:line="280"/>
      </w:pPr>
      <w:r>
        <w:rPr>
          <w:sz w:val="21"/>
          <w:szCs w:val="21"/>
        </w:rPr>
        <w:t xml:space="preserve">supabase-config.js / supabase-client.js — the backend connection layer (see 4.5).</w:t>
      </w:r>
    </w:p>
    <w:p>
      <w:pPr>
        <w:pStyle w:val="ListParagraph"/>
        <w:numPr>
          <w:ilvl w:val="0"/>
          <w:numId w:val="2"/>
        </w:numPr>
        <w:spacing w:after="80" w:line="280"/>
      </w:pPr>
      <w:r>
        <w:rPr>
          <w:sz w:val="21"/>
          <w:szCs w:val="21"/>
        </w:rPr>
        <w:t xml:space="preserve">terms.html / privacy.html — the in-app legal pages linked from the signup consent checkbox.</w:t>
      </w:r>
    </w:p>
    <w:p>
      <w:pPr>
        <w:pStyle w:val="Heading2"/>
        <w:spacing w:after="140" w:before="280"/>
      </w:pPr>
      <w:r>
        <w:rPr>
          <w:b/>
          <w:bCs/>
          <w:color w:val="00707D"/>
        </w:rPr>
        <w:t xml:space="preserve">4.2 Backend — Supabase</w:t>
      </w:r>
    </w:p>
    <w:p>
      <w:pPr>
        <w:spacing w:after="160" w:line="300"/>
      </w:pPr>
      <w:r>
        <w:rPr>
          <w:color w:val="222222"/>
          <w:sz w:val="21"/>
          <w:szCs w:val="21"/>
        </w:rPr>
        <w:t xml:space="preserve">Postgres database, authentication, Row Level Security, file storage, and serverless Edge Functions, running as two entirely separate projects (production and staging — see Section 5).</w:t>
      </w:r>
    </w:p>
    <w:p>
      <w:pPr>
        <w:pStyle w:val="ListParagraph"/>
        <w:numPr>
          <w:ilvl w:val="0"/>
          <w:numId w:val="2"/>
        </w:numPr>
        <w:spacing w:after="80" w:line="280"/>
      </w:pPr>
      <w:r>
        <w:rPr>
          <w:sz w:val="21"/>
          <w:szCs w:val="21"/>
        </w:rPr>
        <w:t xml:space="preserve">profiles table — one row per account, keyed to Supabase’s own auth.users; holds every onboarding field. A database trigger auto-creates a blank row the moment someone signs up.</w:t>
      </w:r>
    </w:p>
    <w:p>
      <w:pPr>
        <w:pStyle w:val="ListParagraph"/>
        <w:numPr>
          <w:ilvl w:val="0"/>
          <w:numId w:val="2"/>
        </w:numPr>
        <w:spacing w:after="80" w:line="280"/>
      </w:pPr>
      <w:r>
        <w:rPr>
          <w:sz w:val="21"/>
          <w:szCs w:val="21"/>
        </w:rPr>
        <w:t xml:space="preserve">likes table — real member-to-member likes with an optional note; readable by both the sender and recipient.</w:t>
      </w:r>
    </w:p>
    <w:p>
      <w:pPr>
        <w:pStyle w:val="ListParagraph"/>
        <w:numPr>
          <w:ilvl w:val="0"/>
          <w:numId w:val="2"/>
        </w:numPr>
        <w:spacing w:after="80" w:line="280"/>
      </w:pPr>
      <w:r>
        <w:rPr>
          <w:sz w:val="21"/>
          <w:szCs w:val="21"/>
        </w:rPr>
        <w:t xml:space="preserve">usage_events table — powers the daily like/note caps without trusting the client.</w:t>
      </w:r>
    </w:p>
    <w:p>
      <w:pPr>
        <w:pStyle w:val="ListParagraph"/>
        <w:numPr>
          <w:ilvl w:val="0"/>
          <w:numId w:val="2"/>
        </w:numPr>
        <w:spacing w:after="80" w:line="280"/>
      </w:pPr>
      <w:r>
        <w:rPr>
          <w:sz w:val="21"/>
          <w:szCs w:val="21"/>
        </w:rPr>
        <w:t xml:space="preserve">Row Level Security — every table’s access rules are enforced at the database layer: members can read any profile (as any dating app requires) but can only write their own; likes are readable only by the two people involved.</w:t>
      </w:r>
    </w:p>
    <w:p>
      <w:pPr>
        <w:pStyle w:val="ListParagraph"/>
        <w:numPr>
          <w:ilvl w:val="0"/>
          <w:numId w:val="2"/>
        </w:numPr>
        <w:spacing w:after="80" w:line="280"/>
      </w:pPr>
      <w:r>
        <w:rPr>
          <w:sz w:val="21"/>
          <w:szCs w:val="21"/>
        </w:rPr>
        <w:t xml:space="preserve">Storage — an “avatars” bucket exists and is public-read, created for future use; photos are currently stored as base64 directly in the profiles table (see Roadmap).</w:t>
      </w:r>
    </w:p>
    <w:p>
      <w:pPr>
        <w:pStyle w:val="Heading2"/>
        <w:spacing w:after="140" w:before="280"/>
      </w:pPr>
      <w:r>
        <w:rPr>
          <w:b/>
          <w:bCs/>
          <w:color w:val="00707D"/>
        </w:rPr>
        <w:t xml:space="preserve">4.3 Email — Brevo</w:t>
      </w:r>
    </w:p>
    <w:p>
      <w:pPr>
        <w:pStyle w:val="ListParagraph"/>
        <w:numPr>
          <w:ilvl w:val="0"/>
          <w:numId w:val="2"/>
        </w:numPr>
        <w:spacing w:after="80" w:line="280"/>
      </w:pPr>
      <w:r>
        <w:rPr>
          <w:sz w:val="21"/>
          <w:szCs w:val="21"/>
        </w:rPr>
        <w:t xml:space="preserve">Domain nestfulapp.com is fully verified for sending (SPF, DKIM, DMARC, and branded-link records at GoDaddy).</w:t>
      </w:r>
    </w:p>
    <w:p>
      <w:pPr>
        <w:pStyle w:val="ListParagraph"/>
        <w:numPr>
          <w:ilvl w:val="0"/>
          <w:numId w:val="2"/>
        </w:numPr>
        <w:spacing w:after="80" w:line="280"/>
      </w:pPr>
      <w:r>
        <w:rPr>
          <w:sz w:val="21"/>
          <w:szCs w:val="21"/>
        </w:rPr>
        <w:t xml:space="preserve">Supabase Auth’s password-reset emails route through Brevo’s SMTP relay, sent from support@nestfulapp.com.</w:t>
      </w:r>
    </w:p>
    <w:p>
      <w:pPr>
        <w:pStyle w:val="ListParagraph"/>
        <w:numPr>
          <w:ilvl w:val="0"/>
          <w:numId w:val="2"/>
        </w:numPr>
        <w:spacing w:after="80" w:line="280"/>
      </w:pPr>
      <w:r>
        <w:rPr>
          <w:sz w:val="21"/>
          <w:szCs w:val="21"/>
        </w:rPr>
        <w:t xml:space="preserve">Four real transactional notifications — welcome, password-changed, Nestful+ waitlist, and account-deleted — are sent via Brevo’s transactional API, called from a secure server-side function (Section 4.4).</w:t>
      </w:r>
    </w:p>
    <w:p>
      <w:pPr>
        <w:pStyle w:val="Heading2"/>
        <w:spacing w:after="140" w:before="280"/>
      </w:pPr>
      <w:r>
        <w:rPr>
          <w:b/>
          <w:bCs/>
          <w:color w:val="00707D"/>
        </w:rPr>
        <w:t xml:space="preserve">4.4 Serverless Functions</w:t>
      </w:r>
    </w:p>
    <w:p>
      <w:pPr>
        <w:spacing w:after="160" w:line="300"/>
      </w:pPr>
      <w:r>
        <w:rPr>
          <w:color w:val="222222"/>
          <w:sz w:val="21"/>
          <w:szCs w:val="21"/>
        </w:rPr>
        <w:t xml:space="preserve">Two functions handle everything that requires a real secret key — keys that must never exist in browser-shipped code:</w:t>
      </w:r>
    </w:p>
    <w:p>
      <w:pPr>
        <w:pStyle w:val="ListParagraph"/>
        <w:numPr>
          <w:ilvl w:val="0"/>
          <w:numId w:val="2"/>
        </w:numPr>
        <w:spacing w:after="80" w:line="280"/>
      </w:pPr>
      <w:r>
        <w:rPr>
          <w:b/>
          <w:bCs/>
          <w:sz w:val="21"/>
          <w:szCs w:val="21"/>
        </w:rPr>
        <w:t xml:space="preserve">netlify/functions/send-email.js (Netlify Function) — </w:t>
      </w:r>
      <w:r>
        <w:rPr>
          <w:sz w:val="21"/>
          <w:szCs w:val="21"/>
        </w:rPr>
        <w:t xml:space="preserve">holds the real Brevo API key. Template-locked: the app can only choose which of four pre-written, on-brand HTML emails to send, never arbitrary content, which prevents the public endpoint from being usable as a spam relay.</w:t>
      </w:r>
    </w:p>
    <w:p>
      <w:pPr>
        <w:pStyle w:val="ListParagraph"/>
        <w:numPr>
          <w:ilvl w:val="0"/>
          <w:numId w:val="2"/>
        </w:numPr>
        <w:spacing w:after="80" w:line="280"/>
      </w:pPr>
      <w:r>
        <w:rPr>
          <w:b/>
          <w:bCs/>
          <w:sz w:val="21"/>
          <w:szCs w:val="21"/>
        </w:rPr>
        <w:t xml:space="preserve">backend/edge-functions/delete-account (Supabase Edge Function) — </w:t>
      </w:r>
      <w:r>
        <w:rPr>
          <w:sz w:val="21"/>
          <w:szCs w:val="21"/>
        </w:rPr>
        <w:t xml:space="preserve">holds the Supabase service_role key. Verifies the caller from their own session token (never a client-supplied ID) and performs a real account deletion that Row Level Security structurally cannot allow a user to do to themselves from the browser.</w:t>
      </w:r>
    </w:p>
    <w:p>
      <w:pPr>
        <w:pStyle w:val="Heading2"/>
        <w:spacing w:after="140" w:before="280"/>
      </w:pPr>
      <w:r>
        <w:rPr>
          <w:b/>
          <w:bCs/>
          <w:color w:val="00707D"/>
        </w:rPr>
        <w:t xml:space="preserve">4.5 Hosting &amp; Deployment</w:t>
      </w:r>
    </w:p>
    <w:p>
      <w:pPr>
        <w:pStyle w:val="ListParagraph"/>
        <w:numPr>
          <w:ilvl w:val="0"/>
          <w:numId w:val="2"/>
        </w:numPr>
        <w:spacing w:after="80" w:line="280"/>
      </w:pPr>
      <w:r>
        <w:rPr>
          <w:sz w:val="21"/>
          <w:szCs w:val="21"/>
        </w:rPr>
        <w:t xml:space="preserve">Netlify hosts two entirely separate sites from the same GitHub repository — one deploying the main branch to nestfulapp.com, one deploying the staging branch to its own URL.</w:t>
      </w:r>
    </w:p>
    <w:p>
      <w:pPr>
        <w:pStyle w:val="ListParagraph"/>
        <w:numPr>
          <w:ilvl w:val="0"/>
          <w:numId w:val="2"/>
        </w:numPr>
        <w:spacing w:after="80" w:line="280"/>
      </w:pPr>
      <w:r>
        <w:rPr>
          <w:sz w:val="21"/>
          <w:szCs w:val="21"/>
        </w:rPr>
        <w:t xml:space="preserve">GitHub (github.com/jdrobi01/-nestful, private) is the single source of truth; both branches auto-deploy on push.</w:t>
      </w:r>
    </w:p>
    <w:p>
      <w:pPr>
        <w:pStyle w:val="ListParagraph"/>
        <w:numPr>
          <w:ilvl w:val="0"/>
          <w:numId w:val="2"/>
        </w:numPr>
        <w:spacing w:after="80" w:line="280"/>
      </w:pPr>
      <w:r>
        <w:rPr>
          <w:sz w:val="21"/>
          <w:szCs w:val="21"/>
        </w:rPr>
        <w:t xml:space="preserve">GoDaddy remains the domain registrar and DNS host; Netlify’s hosting is connected via A/CNAME records rather than a nameserver handoff, keeping DNS control with the founder rather than the host.</w:t>
      </w:r>
    </w:p>
    <w:p>
      <w:pPr>
        <w:pStyle w:val="Heading2"/>
        <w:spacing w:after="140" w:before="280"/>
      </w:pPr>
      <w:r>
        <w:rPr>
          <w:b/>
          <w:bCs/>
          <w:color w:val="00707D"/>
        </w:rPr>
        <w:t xml:space="preserve">4.6 Environment-Switching Architecture</w:t>
      </w:r>
    </w:p>
    <w:p>
      <w:pPr>
        <w:spacing w:after="160" w:line="300"/>
      </w:pPr>
      <w:r>
        <w:rPr>
          <w:color w:val="222222"/>
          <w:sz w:val="21"/>
          <w:szCs w:val="21"/>
        </w:rPr>
        <w:t xml:space="preserve">A single config file (app/supabase-config.js) holds credentials for both the production and staging Supabase projects and automatically selects between them based on which domain is actually serving the page. The safety default is deliberate: only the exact production hostname uses production data — localhost, Netlify preview URLs, and the staging deploy all default to staging, so a mistake can never accidentally touch real user data.</w:t>
      </w:r>
    </w:p>
    <w:p>
      <w:pPr>
        <w:pStyle w:val="Heading1"/>
        <w:spacing w:after="200" w:before="400"/>
      </w:pPr>
      <w:r>
        <w:rPr>
          <w:b/>
          <w:bCs/>
          <w:color w:val="1D3557"/>
        </w:rPr>
        <w:t xml:space="preserve">5. Deployed Services &amp; Vendor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680"/>
        <w:gridCol w:w="1500"/>
      </w:tblGrid>
      <w:tr>
        <w:trPr>
          <w:tblHeader/>
        </w:trPr>
        <w:tc>
          <w:tcPr>
            <w:tcW w:type="dxa" w:w="1400"/>
            <w:shd w:fill="1D3557" w:val="clear"/>
            <w:tcMar>
              <w:top w:type="dxa" w:w="80"/>
              <w:left w:type="dxa" w:w="100"/>
              <w:bottom w:type="dxa" w:w="80"/>
              <w:right w:type="dxa" w:w="100"/>
            </w:tcMar>
          </w:tcPr>
          <w:p>
            <w:pPr>
              <w:jc w:val="left"/>
            </w:pPr>
            <w:r>
              <w:rPr>
                <w:b/>
                <w:bCs/>
                <w:color w:val="FFFFFF"/>
                <w:sz w:val="18"/>
                <w:szCs w:val="18"/>
              </w:rPr>
              <w:t xml:space="preserve">Service</w:t>
            </w:r>
          </w:p>
        </w:tc>
        <w:tc>
          <w:tcPr>
            <w:tcW w:type="dxa" w:w="1500"/>
            <w:shd w:fill="1D3557" w:val="clear"/>
            <w:tcMar>
              <w:top w:type="dxa" w:w="80"/>
              <w:left w:type="dxa" w:w="100"/>
              <w:bottom w:type="dxa" w:w="80"/>
              <w:right w:type="dxa" w:w="100"/>
            </w:tcMar>
          </w:tcPr>
          <w:p>
            <w:pPr>
              <w:jc w:val="left"/>
            </w:pPr>
            <w:r>
              <w:rPr>
                <w:b/>
                <w:bCs/>
                <w:color w:val="FFFFFF"/>
                <w:sz w:val="18"/>
                <w:szCs w:val="18"/>
              </w:rPr>
              <w:t xml:space="preserve">Role</w:t>
            </w:r>
          </w:p>
        </w:tc>
        <w:tc>
          <w:tcPr>
            <w:tcW w:type="dxa" w:w="5680"/>
            <w:shd w:fill="1D3557" w:val="clear"/>
            <w:tcMar>
              <w:top w:type="dxa" w:w="80"/>
              <w:left w:type="dxa" w:w="100"/>
              <w:bottom w:type="dxa" w:w="80"/>
              <w:right w:type="dxa" w:w="100"/>
            </w:tcMar>
          </w:tcPr>
          <w:p>
            <w:pPr>
              <w:jc w:val="left"/>
            </w:pPr>
            <w:r>
              <w:rPr>
                <w:b/>
                <w:bCs/>
                <w:color w:val="FFFFFF"/>
                <w:sz w:val="18"/>
                <w:szCs w:val="18"/>
              </w:rPr>
              <w:t xml:space="preserve">What it does here</w:t>
            </w:r>
          </w:p>
        </w:tc>
        <w:tc>
          <w:tcPr>
            <w:tcW w:type="dxa" w:w="1500"/>
            <w:shd w:fill="1D3557" w:val="clear"/>
            <w:tcMar>
              <w:top w:type="dxa" w:w="80"/>
              <w:left w:type="dxa" w:w="100"/>
              <w:bottom w:type="dxa" w:w="80"/>
              <w:right w:type="dxa" w:w="100"/>
            </w:tcMar>
          </w:tcPr>
          <w:p>
            <w:pPr>
              <w:jc w:val="left"/>
            </w:pPr>
            <w:r>
              <w:rPr>
                <w:b/>
                <w:bCs/>
                <w:color w:val="FFFFFF"/>
                <w:sz w:val="18"/>
                <w:szCs w:val="18"/>
              </w:rPr>
              <w:t xml:space="preserve">Tier / Cost</w:t>
            </w:r>
          </w:p>
        </w:tc>
      </w:tr>
      <w:tr>
        <w:tc>
          <w:tcPr>
            <w:tcW w:type="dxa" w:w="1400"/>
            <w:tcMar>
              <w:top w:type="dxa" w:w="80"/>
              <w:left w:type="dxa" w:w="100"/>
              <w:bottom w:type="dxa" w:w="80"/>
              <w:right w:type="dxa" w:w="100"/>
            </w:tcMar>
          </w:tcPr>
          <w:p>
            <w:pPr>
              <w:jc w:val="left"/>
            </w:pPr>
            <w:r>
              <w:rPr>
                <w:b/>
                <w:bCs/>
                <w:color w:val="1D3557"/>
                <w:sz w:val="19"/>
                <w:szCs w:val="19"/>
              </w:rPr>
              <w:t xml:space="preserve">GoDaddy</w:t>
            </w:r>
          </w:p>
        </w:tc>
        <w:tc>
          <w:tcPr>
            <w:tcW w:type="dxa" w:w="1500"/>
            <w:tcMar>
              <w:top w:type="dxa" w:w="80"/>
              <w:left w:type="dxa" w:w="100"/>
              <w:bottom w:type="dxa" w:w="80"/>
              <w:right w:type="dxa" w:w="100"/>
            </w:tcMar>
          </w:tcPr>
          <w:p>
            <w:pPr>
              <w:jc w:val="left"/>
            </w:pPr>
            <w:r>
              <w:rPr>
                <w:b w:val="false"/>
                <w:bCs w:val="false"/>
                <w:color w:val="222222"/>
                <w:sz w:val="19"/>
                <w:szCs w:val="19"/>
              </w:rPr>
              <w:t xml:space="preserve">Domain &amp; DNS</w:t>
            </w:r>
          </w:p>
        </w:tc>
        <w:tc>
          <w:tcPr>
            <w:tcW w:type="dxa" w:w="5680"/>
            <w:tcMar>
              <w:top w:type="dxa" w:w="80"/>
              <w:left w:type="dxa" w:w="100"/>
              <w:bottom w:type="dxa" w:w="80"/>
              <w:right w:type="dxa" w:w="100"/>
            </w:tcMar>
          </w:tcPr>
          <w:p>
            <w:pPr>
              <w:jc w:val="left"/>
            </w:pPr>
            <w:r>
              <w:rPr>
                <w:b w:val="false"/>
                <w:bCs w:val="false"/>
                <w:color w:val="222222"/>
                <w:sz w:val="19"/>
                <w:szCs w:val="19"/>
              </w:rPr>
              <w:t xml:space="preserve">Registrar for nestfulapp.com; DNS records for Netlify, Brevo (SPF/DKIM/DMARC), and Microsoft 365 email; hosts support@nestfulapp.com inbox.</w:t>
            </w:r>
          </w:p>
        </w:tc>
        <w:tc>
          <w:tcPr>
            <w:tcW w:type="dxa" w:w="1500"/>
            <w:tcMar>
              <w:top w:type="dxa" w:w="80"/>
              <w:left w:type="dxa" w:w="100"/>
              <w:bottom w:type="dxa" w:w="80"/>
              <w:right w:type="dxa" w:w="100"/>
            </w:tcMar>
          </w:tcPr>
          <w:p>
            <w:pPr>
              <w:jc w:val="left"/>
            </w:pPr>
            <w:r>
              <w:rPr>
                <w:b w:val="false"/>
                <w:bCs w:val="false"/>
                <w:color w:val="222222"/>
                <w:sz w:val="19"/>
                <w:szCs w:val="19"/>
              </w:rPr>
              <w:t xml:space="preserve">Paid (domain + M365)</w:t>
            </w:r>
          </w:p>
        </w:tc>
      </w:tr>
      <w:tr>
        <w:tc>
          <w:tcPr>
            <w:tcW w:type="dxa" w:w="1400"/>
            <w:tcMar>
              <w:top w:type="dxa" w:w="80"/>
              <w:left w:type="dxa" w:w="100"/>
              <w:bottom w:type="dxa" w:w="80"/>
              <w:right w:type="dxa" w:w="100"/>
            </w:tcMar>
          </w:tcPr>
          <w:p>
            <w:pPr>
              <w:jc w:val="left"/>
            </w:pPr>
            <w:r>
              <w:rPr>
                <w:b/>
                <w:bCs/>
                <w:color w:val="1D3557"/>
                <w:sz w:val="19"/>
                <w:szCs w:val="19"/>
              </w:rPr>
              <w:t xml:space="preserve">Supabase</w:t>
            </w:r>
          </w:p>
        </w:tc>
        <w:tc>
          <w:tcPr>
            <w:tcW w:type="dxa" w:w="1500"/>
            <w:tcMar>
              <w:top w:type="dxa" w:w="80"/>
              <w:left w:type="dxa" w:w="100"/>
              <w:bottom w:type="dxa" w:w="80"/>
              <w:right w:type="dxa" w:w="100"/>
            </w:tcMar>
          </w:tcPr>
          <w:p>
            <w:pPr>
              <w:jc w:val="left"/>
            </w:pPr>
            <w:r>
              <w:rPr>
                <w:b w:val="false"/>
                <w:bCs w:val="false"/>
                <w:color w:val="222222"/>
                <w:sz w:val="19"/>
                <w:szCs w:val="19"/>
              </w:rPr>
              <w:t xml:space="preserve">Backend (2 projects)</w:t>
            </w:r>
          </w:p>
        </w:tc>
        <w:tc>
          <w:tcPr>
            <w:tcW w:type="dxa" w:w="5680"/>
            <w:tcMar>
              <w:top w:type="dxa" w:w="80"/>
              <w:left w:type="dxa" w:w="100"/>
              <w:bottom w:type="dxa" w:w="80"/>
              <w:right w:type="dxa" w:w="100"/>
            </w:tcMar>
          </w:tcPr>
          <w:p>
            <w:pPr>
              <w:jc w:val="left"/>
            </w:pPr>
            <w:r>
              <w:rPr>
                <w:b w:val="false"/>
                <w:bCs w:val="false"/>
                <w:color w:val="222222"/>
                <w:sz w:val="19"/>
                <w:szCs w:val="19"/>
              </w:rPr>
              <w:t xml:space="preserve">Postgres database, authentication, Row Level Security, Storage, and the delete-account Edge Function. Production project cxeibgrrrdvxadaxmxrw (us-east-2); staging project kkgcjridxbjncvkcazdf (us-west-2) — fully separate database.</w:t>
            </w:r>
          </w:p>
        </w:tc>
        <w:tc>
          <w:tcPr>
            <w:tcW w:type="dxa" w:w="1500"/>
            <w:tcMar>
              <w:top w:type="dxa" w:w="80"/>
              <w:left w:type="dxa" w:w="100"/>
              <w:bottom w:type="dxa" w:w="80"/>
              <w:right w:type="dxa" w:w="100"/>
            </w:tcMar>
          </w:tcPr>
          <w:p>
            <w:pPr>
              <w:jc w:val="left"/>
            </w:pPr>
            <w:r>
              <w:rPr>
                <w:b w:val="false"/>
                <w:bCs w:val="false"/>
                <w:color w:val="222222"/>
                <w:sz w:val="19"/>
                <w:szCs w:val="19"/>
              </w:rPr>
              <w:t xml:space="preserve">Free tier</w:t>
            </w:r>
          </w:p>
        </w:tc>
      </w:tr>
      <w:tr>
        <w:tc>
          <w:tcPr>
            <w:tcW w:type="dxa" w:w="1400"/>
            <w:tcMar>
              <w:top w:type="dxa" w:w="80"/>
              <w:left w:type="dxa" w:w="100"/>
              <w:bottom w:type="dxa" w:w="80"/>
              <w:right w:type="dxa" w:w="100"/>
            </w:tcMar>
          </w:tcPr>
          <w:p>
            <w:pPr>
              <w:jc w:val="left"/>
            </w:pPr>
            <w:r>
              <w:rPr>
                <w:b/>
                <w:bCs/>
                <w:color w:val="1D3557"/>
                <w:sz w:val="19"/>
                <w:szCs w:val="19"/>
              </w:rPr>
              <w:t xml:space="preserve">Brevo</w:t>
            </w:r>
          </w:p>
        </w:tc>
        <w:tc>
          <w:tcPr>
            <w:tcW w:type="dxa" w:w="1500"/>
            <w:tcMar>
              <w:top w:type="dxa" w:w="80"/>
              <w:left w:type="dxa" w:w="100"/>
              <w:bottom w:type="dxa" w:w="80"/>
              <w:right w:type="dxa" w:w="100"/>
            </w:tcMar>
          </w:tcPr>
          <w:p>
            <w:pPr>
              <w:jc w:val="left"/>
            </w:pPr>
            <w:r>
              <w:rPr>
                <w:b w:val="false"/>
                <w:bCs w:val="false"/>
                <w:color w:val="222222"/>
                <w:sz w:val="19"/>
                <w:szCs w:val="19"/>
              </w:rPr>
              <w:t xml:space="preserve">Transactional email</w:t>
            </w:r>
          </w:p>
        </w:tc>
        <w:tc>
          <w:tcPr>
            <w:tcW w:type="dxa" w:w="5680"/>
            <w:tcMar>
              <w:top w:type="dxa" w:w="80"/>
              <w:left w:type="dxa" w:w="100"/>
              <w:bottom w:type="dxa" w:w="80"/>
              <w:right w:type="dxa" w:w="100"/>
            </w:tcMar>
          </w:tcPr>
          <w:p>
            <w:pPr>
              <w:jc w:val="left"/>
            </w:pPr>
            <w:r>
              <w:rPr>
                <w:b w:val="false"/>
                <w:bCs w:val="false"/>
                <w:color w:val="222222"/>
                <w:sz w:val="19"/>
                <w:szCs w:val="19"/>
              </w:rPr>
              <w:t xml:space="preserve">Sends all real email: Supabase Auth password-reset emails (via SMTP relay) and 4 app notifications (welcome, password-changed, waitlist, account-deleted) via transactional API. Verified sender domain nestfulapp.com.</w:t>
            </w:r>
          </w:p>
        </w:tc>
        <w:tc>
          <w:tcPr>
            <w:tcW w:type="dxa" w:w="1500"/>
            <w:tcMar>
              <w:top w:type="dxa" w:w="80"/>
              <w:left w:type="dxa" w:w="100"/>
              <w:bottom w:type="dxa" w:w="80"/>
              <w:right w:type="dxa" w:w="100"/>
            </w:tcMar>
          </w:tcPr>
          <w:p>
            <w:pPr>
              <w:jc w:val="left"/>
            </w:pPr>
            <w:r>
              <w:rPr>
                <w:b w:val="false"/>
                <w:bCs w:val="false"/>
                <w:color w:val="222222"/>
                <w:sz w:val="19"/>
                <w:szCs w:val="19"/>
              </w:rPr>
              <w:t xml:space="preserve">Free tier (9,000/mo)</w:t>
            </w:r>
          </w:p>
        </w:tc>
      </w:tr>
      <w:tr>
        <w:tc>
          <w:tcPr>
            <w:tcW w:type="dxa" w:w="1400"/>
            <w:tcMar>
              <w:top w:type="dxa" w:w="80"/>
              <w:left w:type="dxa" w:w="100"/>
              <w:bottom w:type="dxa" w:w="80"/>
              <w:right w:type="dxa" w:w="100"/>
            </w:tcMar>
          </w:tcPr>
          <w:p>
            <w:pPr>
              <w:jc w:val="left"/>
            </w:pPr>
            <w:r>
              <w:rPr>
                <w:b/>
                <w:bCs/>
                <w:color w:val="1D3557"/>
                <w:sz w:val="19"/>
                <w:szCs w:val="19"/>
              </w:rPr>
              <w:t xml:space="preserve">Netlify</w:t>
            </w:r>
          </w:p>
        </w:tc>
        <w:tc>
          <w:tcPr>
            <w:tcW w:type="dxa" w:w="1500"/>
            <w:tcMar>
              <w:top w:type="dxa" w:w="80"/>
              <w:left w:type="dxa" w:w="100"/>
              <w:bottom w:type="dxa" w:w="80"/>
              <w:right w:type="dxa" w:w="100"/>
            </w:tcMar>
          </w:tcPr>
          <w:p>
            <w:pPr>
              <w:jc w:val="left"/>
            </w:pPr>
            <w:r>
              <w:rPr>
                <w:b w:val="false"/>
                <w:bCs w:val="false"/>
                <w:color w:val="222222"/>
                <w:sz w:val="19"/>
                <w:szCs w:val="19"/>
              </w:rPr>
              <w:t xml:space="preserve">Hosting + serverless (2 sites)</w:t>
            </w:r>
          </w:p>
        </w:tc>
        <w:tc>
          <w:tcPr>
            <w:tcW w:type="dxa" w:w="5680"/>
            <w:tcMar>
              <w:top w:type="dxa" w:w="80"/>
              <w:left w:type="dxa" w:w="100"/>
              <w:bottom w:type="dxa" w:w="80"/>
              <w:right w:type="dxa" w:w="100"/>
            </w:tcMar>
          </w:tcPr>
          <w:p>
            <w:pPr>
              <w:jc w:val="left"/>
            </w:pPr>
            <w:r>
              <w:rPr>
                <w:b w:val="false"/>
                <w:bCs w:val="false"/>
                <w:color w:val="222222"/>
                <w:sz w:val="19"/>
                <w:szCs w:val="19"/>
              </w:rPr>
              <w:t xml:space="preserve">Static hosting for the app plus a serverless Function (send-email.js). Production site “endearing-taffy-e905fb” → nestfulapp.com; staging site “loquacious-fudge-257e28” → its own URL.</w:t>
            </w:r>
          </w:p>
        </w:tc>
        <w:tc>
          <w:tcPr>
            <w:tcW w:type="dxa" w:w="1500"/>
            <w:tcMar>
              <w:top w:type="dxa" w:w="80"/>
              <w:left w:type="dxa" w:w="100"/>
              <w:bottom w:type="dxa" w:w="80"/>
              <w:right w:type="dxa" w:w="100"/>
            </w:tcMar>
          </w:tcPr>
          <w:p>
            <w:pPr>
              <w:jc w:val="left"/>
            </w:pPr>
            <w:r>
              <w:rPr>
                <w:b w:val="false"/>
                <w:bCs w:val="false"/>
                <w:color w:val="222222"/>
                <w:sz w:val="19"/>
                <w:szCs w:val="19"/>
              </w:rPr>
              <w:t xml:space="preserve">Free tier</w:t>
            </w:r>
          </w:p>
        </w:tc>
      </w:tr>
      <w:tr>
        <w:tc>
          <w:tcPr>
            <w:tcW w:type="dxa" w:w="1400"/>
            <w:tcMar>
              <w:top w:type="dxa" w:w="80"/>
              <w:left w:type="dxa" w:w="100"/>
              <w:bottom w:type="dxa" w:w="80"/>
              <w:right w:type="dxa" w:w="100"/>
            </w:tcMar>
          </w:tcPr>
          <w:p>
            <w:pPr>
              <w:jc w:val="left"/>
            </w:pPr>
            <w:r>
              <w:rPr>
                <w:b/>
                <w:bCs/>
                <w:color w:val="1D3557"/>
                <w:sz w:val="19"/>
                <w:szCs w:val="19"/>
              </w:rPr>
              <w:t xml:space="preserve">GitHub</w:t>
            </w:r>
          </w:p>
        </w:tc>
        <w:tc>
          <w:tcPr>
            <w:tcW w:type="dxa" w:w="1500"/>
            <w:tcMar>
              <w:top w:type="dxa" w:w="80"/>
              <w:left w:type="dxa" w:w="100"/>
              <w:bottom w:type="dxa" w:w="80"/>
              <w:right w:type="dxa" w:w="100"/>
            </w:tcMar>
          </w:tcPr>
          <w:p>
            <w:pPr>
              <w:jc w:val="left"/>
            </w:pPr>
            <w:r>
              <w:rPr>
                <w:b w:val="false"/>
                <w:bCs w:val="false"/>
                <w:color w:val="222222"/>
                <w:sz w:val="19"/>
                <w:szCs w:val="19"/>
              </w:rPr>
              <w:t xml:space="preserve">Source control</w:t>
            </w:r>
          </w:p>
        </w:tc>
        <w:tc>
          <w:tcPr>
            <w:tcW w:type="dxa" w:w="5680"/>
            <w:tcMar>
              <w:top w:type="dxa" w:w="80"/>
              <w:left w:type="dxa" w:w="100"/>
              <w:bottom w:type="dxa" w:w="80"/>
              <w:right w:type="dxa" w:w="100"/>
            </w:tcMar>
          </w:tcPr>
          <w:p>
            <w:pPr>
              <w:jc w:val="left"/>
            </w:pPr>
            <w:r>
              <w:rPr>
                <w:b w:val="false"/>
                <w:bCs w:val="false"/>
                <w:color w:val="222222"/>
                <w:sz w:val="19"/>
                <w:szCs w:val="19"/>
              </w:rPr>
              <w:t xml:space="preserve">Private repository github.com/jdrobi01/-nestful. main branch deploys to production; staging branch deploys to staging — both auto-deploy on push.</w:t>
            </w:r>
          </w:p>
        </w:tc>
        <w:tc>
          <w:tcPr>
            <w:tcW w:type="dxa" w:w="1500"/>
            <w:tcMar>
              <w:top w:type="dxa" w:w="80"/>
              <w:left w:type="dxa" w:w="100"/>
              <w:bottom w:type="dxa" w:w="80"/>
              <w:right w:type="dxa" w:w="100"/>
            </w:tcMar>
          </w:tcPr>
          <w:p>
            <w:pPr>
              <w:jc w:val="left"/>
            </w:pPr>
            <w:r>
              <w:rPr>
                <w:b w:val="false"/>
                <w:bCs w:val="false"/>
                <w:color w:val="222222"/>
                <w:sz w:val="19"/>
                <w:szCs w:val="19"/>
              </w:rPr>
              <w:t xml:space="preserve">Free (private repo)</w:t>
            </w:r>
          </w:p>
        </w:tc>
      </w:tr>
    </w:tbl>
    <w:p>
      <w:pPr>
        <w:spacing w:before="300"/>
      </w:pPr>
    </w:p>
    <w:p>
      <w:pPr>
        <w:pStyle w:val="Heading2"/>
        <w:spacing w:after="140" w:before="280"/>
      </w:pPr>
      <w:r>
        <w:rPr>
          <w:b/>
          <w:bCs/>
          <w:color w:val="00707D"/>
        </w:rPr>
        <w:t xml:space="preserve">5.1 Environments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080"/>
        <w:gridCol w:w="3840"/>
      </w:tblGrid>
      <w:tr>
        <w:trPr>
          <w:tblHeader/>
        </w:trPr>
        <w:tc>
          <w:tcPr>
            <w:tcW w:type="dxa" w:w="2160"/>
            <w:shd w:fill="1D3557" w:val="clear"/>
            <w:tcMar>
              <w:top w:type="dxa" w:w="80"/>
              <w:left w:type="dxa" w:w="100"/>
              <w:bottom w:type="dxa" w:w="80"/>
              <w:right w:type="dxa" w:w="100"/>
            </w:tcMar>
          </w:tcPr>
          <w:p>
            <w:pPr>
              <w:jc w:val="left"/>
            </w:pPr>
            <w:r>
              <w:rPr>
                <w:b/>
                <w:bCs/>
                <w:color w:val="FFFFFF"/>
                <w:sz w:val="18"/>
                <w:szCs w:val="18"/>
              </w:rPr>
              <w:t xml:space="preserve"/>
            </w:r>
          </w:p>
        </w:tc>
        <w:tc>
          <w:tcPr>
            <w:tcW w:type="dxa" w:w="4080"/>
            <w:shd w:fill="1D3557" w:val="clear"/>
            <w:tcMar>
              <w:top w:type="dxa" w:w="80"/>
              <w:left w:type="dxa" w:w="100"/>
              <w:bottom w:type="dxa" w:w="80"/>
              <w:right w:type="dxa" w:w="100"/>
            </w:tcMar>
          </w:tcPr>
          <w:p>
            <w:pPr>
              <w:jc w:val="left"/>
            </w:pPr>
            <w:r>
              <w:rPr>
                <w:b/>
                <w:bCs/>
                <w:color w:val="FFFFFF"/>
                <w:sz w:val="18"/>
                <w:szCs w:val="18"/>
              </w:rPr>
              <w:t xml:space="preserve">Production</w:t>
            </w:r>
          </w:p>
        </w:tc>
        <w:tc>
          <w:tcPr>
            <w:tcW w:type="dxa" w:w="3840"/>
            <w:shd w:fill="1D3557" w:val="clear"/>
            <w:tcMar>
              <w:top w:type="dxa" w:w="80"/>
              <w:left w:type="dxa" w:w="100"/>
              <w:bottom w:type="dxa" w:w="80"/>
              <w:right w:type="dxa" w:w="100"/>
            </w:tcMar>
          </w:tcPr>
          <w:p>
            <w:pPr>
              <w:jc w:val="left"/>
            </w:pPr>
            <w:r>
              <w:rPr>
                <w:b/>
                <w:bCs/>
                <w:color w:val="FFFFFF"/>
                <w:sz w:val="18"/>
                <w:szCs w:val="18"/>
              </w:rPr>
              <w:t xml:space="preserve">Staging</w:t>
            </w:r>
          </w:p>
        </w:tc>
      </w:tr>
      <w:tr>
        <w:tc>
          <w:tcPr>
            <w:tcW w:type="dxa" w:w="2160"/>
            <w:shd w:fill="F3FBFF" w:val="clear"/>
            <w:tcMar>
              <w:top w:type="dxa" w:w="80"/>
              <w:left w:type="dxa" w:w="100"/>
              <w:bottom w:type="dxa" w:w="80"/>
              <w:right w:type="dxa" w:w="100"/>
            </w:tcMar>
          </w:tcPr>
          <w:p>
            <w:pPr>
              <w:jc w:val="left"/>
            </w:pPr>
            <w:r>
              <w:rPr>
                <w:b/>
                <w:bCs/>
                <w:color w:val="1D3557"/>
                <w:sz w:val="19"/>
                <w:szCs w:val="19"/>
              </w:rPr>
              <w:t xml:space="preserve">Domain</w:t>
            </w:r>
          </w:p>
        </w:tc>
        <w:tc>
          <w:tcPr>
            <w:tcW w:type="dxa" w:w="4080"/>
            <w:tcMar>
              <w:top w:type="dxa" w:w="80"/>
              <w:left w:type="dxa" w:w="100"/>
              <w:bottom w:type="dxa" w:w="80"/>
              <w:right w:type="dxa" w:w="100"/>
            </w:tcMar>
          </w:tcPr>
          <w:p>
            <w:pPr>
              <w:jc w:val="left"/>
            </w:pPr>
            <w:r>
              <w:rPr>
                <w:b w:val="false"/>
                <w:bCs w:val="false"/>
                <w:color w:val="222222"/>
                <w:sz w:val="19"/>
                <w:szCs w:val="19"/>
              </w:rPr>
              <w:t xml:space="preserve">nestfulapp.com</w:t>
            </w:r>
          </w:p>
        </w:tc>
        <w:tc>
          <w:tcPr>
            <w:tcW w:type="dxa" w:w="3840"/>
            <w:tcMar>
              <w:top w:type="dxa" w:w="80"/>
              <w:left w:type="dxa" w:w="100"/>
              <w:bottom w:type="dxa" w:w="80"/>
              <w:right w:type="dxa" w:w="100"/>
            </w:tcMar>
          </w:tcPr>
          <w:p>
            <w:pPr>
              <w:jc w:val="left"/>
            </w:pPr>
            <w:r>
              <w:rPr>
                <w:b w:val="false"/>
                <w:bCs w:val="false"/>
                <w:color w:val="222222"/>
                <w:sz w:val="19"/>
                <w:szCs w:val="19"/>
              </w:rPr>
              <w:t xml:space="preserve">loquacious-fudge-257e28.netlify.app</w:t>
            </w:r>
          </w:p>
        </w:tc>
      </w:tr>
      <w:tr>
        <w:tc>
          <w:tcPr>
            <w:tcW w:type="dxa" w:w="2160"/>
            <w:shd w:fill="F3FBFF" w:val="clear"/>
            <w:tcMar>
              <w:top w:type="dxa" w:w="80"/>
              <w:left w:type="dxa" w:w="100"/>
              <w:bottom w:type="dxa" w:w="80"/>
              <w:right w:type="dxa" w:w="100"/>
            </w:tcMar>
          </w:tcPr>
          <w:p>
            <w:pPr>
              <w:jc w:val="left"/>
            </w:pPr>
            <w:r>
              <w:rPr>
                <w:b/>
                <w:bCs/>
                <w:color w:val="1D3557"/>
                <w:sz w:val="19"/>
                <w:szCs w:val="19"/>
              </w:rPr>
              <w:t xml:space="preserve">Netlify site</w:t>
            </w:r>
          </w:p>
        </w:tc>
        <w:tc>
          <w:tcPr>
            <w:tcW w:type="dxa" w:w="4080"/>
            <w:tcMar>
              <w:top w:type="dxa" w:w="80"/>
              <w:left w:type="dxa" w:w="100"/>
              <w:bottom w:type="dxa" w:w="80"/>
              <w:right w:type="dxa" w:w="100"/>
            </w:tcMar>
          </w:tcPr>
          <w:p>
            <w:pPr>
              <w:jc w:val="left"/>
            </w:pPr>
            <w:r>
              <w:rPr>
                <w:b w:val="false"/>
                <w:bCs w:val="false"/>
                <w:color w:val="222222"/>
                <w:sz w:val="19"/>
                <w:szCs w:val="19"/>
              </w:rPr>
              <w:t xml:space="preserve">endearing-taffy-e905fb</w:t>
            </w:r>
          </w:p>
        </w:tc>
        <w:tc>
          <w:tcPr>
            <w:tcW w:type="dxa" w:w="3840"/>
            <w:tcMar>
              <w:top w:type="dxa" w:w="80"/>
              <w:left w:type="dxa" w:w="100"/>
              <w:bottom w:type="dxa" w:w="80"/>
              <w:right w:type="dxa" w:w="100"/>
            </w:tcMar>
          </w:tcPr>
          <w:p>
            <w:pPr>
              <w:jc w:val="left"/>
            </w:pPr>
            <w:r>
              <w:rPr>
                <w:b w:val="false"/>
                <w:bCs w:val="false"/>
                <w:color w:val="222222"/>
                <w:sz w:val="19"/>
                <w:szCs w:val="19"/>
              </w:rPr>
              <w:t xml:space="preserve">loquacious-fudge-257e28</w:t>
            </w:r>
          </w:p>
        </w:tc>
      </w:tr>
      <w:tr>
        <w:tc>
          <w:tcPr>
            <w:tcW w:type="dxa" w:w="2160"/>
            <w:shd w:fill="F3FBFF" w:val="clear"/>
            <w:tcMar>
              <w:top w:type="dxa" w:w="80"/>
              <w:left w:type="dxa" w:w="100"/>
              <w:bottom w:type="dxa" w:w="80"/>
              <w:right w:type="dxa" w:w="100"/>
            </w:tcMar>
          </w:tcPr>
          <w:p>
            <w:pPr>
              <w:jc w:val="left"/>
            </w:pPr>
            <w:r>
              <w:rPr>
                <w:b/>
                <w:bCs/>
                <w:color w:val="1D3557"/>
                <w:sz w:val="19"/>
                <w:szCs w:val="19"/>
              </w:rPr>
              <w:t xml:space="preserve">Git branch</w:t>
            </w:r>
          </w:p>
        </w:tc>
        <w:tc>
          <w:tcPr>
            <w:tcW w:type="dxa" w:w="4080"/>
            <w:tcMar>
              <w:top w:type="dxa" w:w="80"/>
              <w:left w:type="dxa" w:w="100"/>
              <w:bottom w:type="dxa" w:w="80"/>
              <w:right w:type="dxa" w:w="100"/>
            </w:tcMar>
          </w:tcPr>
          <w:p>
            <w:pPr>
              <w:jc w:val="left"/>
            </w:pPr>
            <w:r>
              <w:rPr>
                <w:b w:val="false"/>
                <w:bCs w:val="false"/>
                <w:color w:val="222222"/>
                <w:sz w:val="19"/>
                <w:szCs w:val="19"/>
              </w:rPr>
              <w:t xml:space="preserve">main</w:t>
            </w:r>
          </w:p>
        </w:tc>
        <w:tc>
          <w:tcPr>
            <w:tcW w:type="dxa" w:w="3840"/>
            <w:tcMar>
              <w:top w:type="dxa" w:w="80"/>
              <w:left w:type="dxa" w:w="100"/>
              <w:bottom w:type="dxa" w:w="80"/>
              <w:right w:type="dxa" w:w="100"/>
            </w:tcMar>
          </w:tcPr>
          <w:p>
            <w:pPr>
              <w:jc w:val="left"/>
            </w:pPr>
            <w:r>
              <w:rPr>
                <w:b w:val="false"/>
                <w:bCs w:val="false"/>
                <w:color w:val="222222"/>
                <w:sz w:val="19"/>
                <w:szCs w:val="19"/>
              </w:rPr>
              <w:t xml:space="preserve">staging</w:t>
            </w:r>
          </w:p>
        </w:tc>
      </w:tr>
      <w:tr>
        <w:tc>
          <w:tcPr>
            <w:tcW w:type="dxa" w:w="2160"/>
            <w:shd w:fill="F3FBFF" w:val="clear"/>
            <w:tcMar>
              <w:top w:type="dxa" w:w="80"/>
              <w:left w:type="dxa" w:w="100"/>
              <w:bottom w:type="dxa" w:w="80"/>
              <w:right w:type="dxa" w:w="100"/>
            </w:tcMar>
          </w:tcPr>
          <w:p>
            <w:pPr>
              <w:jc w:val="left"/>
            </w:pPr>
            <w:r>
              <w:rPr>
                <w:b/>
                <w:bCs/>
                <w:color w:val="1D3557"/>
                <w:sz w:val="19"/>
                <w:szCs w:val="19"/>
              </w:rPr>
              <w:t xml:space="preserve">Supabase project</w:t>
            </w:r>
          </w:p>
        </w:tc>
        <w:tc>
          <w:tcPr>
            <w:tcW w:type="dxa" w:w="4080"/>
            <w:tcMar>
              <w:top w:type="dxa" w:w="80"/>
              <w:left w:type="dxa" w:w="100"/>
              <w:bottom w:type="dxa" w:w="80"/>
              <w:right w:type="dxa" w:w="100"/>
            </w:tcMar>
          </w:tcPr>
          <w:p>
            <w:pPr>
              <w:jc w:val="left"/>
            </w:pPr>
            <w:r>
              <w:rPr>
                <w:b w:val="false"/>
                <w:bCs w:val="false"/>
                <w:color w:val="222222"/>
                <w:sz w:val="19"/>
                <w:szCs w:val="19"/>
              </w:rPr>
              <w:t xml:space="preserve">cxeibgrrrdvxadaxmxrw (us-east-2)</w:t>
            </w:r>
          </w:p>
        </w:tc>
        <w:tc>
          <w:tcPr>
            <w:tcW w:type="dxa" w:w="3840"/>
            <w:tcMar>
              <w:top w:type="dxa" w:w="80"/>
              <w:left w:type="dxa" w:w="100"/>
              <w:bottom w:type="dxa" w:w="80"/>
              <w:right w:type="dxa" w:w="100"/>
            </w:tcMar>
          </w:tcPr>
          <w:p>
            <w:pPr>
              <w:jc w:val="left"/>
            </w:pPr>
            <w:r>
              <w:rPr>
                <w:b w:val="false"/>
                <w:bCs w:val="false"/>
                <w:color w:val="222222"/>
                <w:sz w:val="19"/>
                <w:szCs w:val="19"/>
              </w:rPr>
              <w:t xml:space="preserve">kkgcjridxbjncvkcazdf (us-west-2)</w:t>
            </w:r>
          </w:p>
        </w:tc>
      </w:tr>
      <w:tr>
        <w:tc>
          <w:tcPr>
            <w:tcW w:type="dxa" w:w="2160"/>
            <w:shd w:fill="F3FBFF" w:val="clear"/>
            <w:tcMar>
              <w:top w:type="dxa" w:w="80"/>
              <w:left w:type="dxa" w:w="100"/>
              <w:bottom w:type="dxa" w:w="80"/>
              <w:right w:type="dxa" w:w="100"/>
            </w:tcMar>
          </w:tcPr>
          <w:p>
            <w:pPr>
              <w:jc w:val="left"/>
            </w:pPr>
            <w:r>
              <w:rPr>
                <w:b/>
                <w:bCs/>
                <w:color w:val="1D3557"/>
                <w:sz w:val="19"/>
                <w:szCs w:val="19"/>
              </w:rPr>
              <w:t xml:space="preserve">Demo/sample profiles</w:t>
            </w:r>
          </w:p>
        </w:tc>
        <w:tc>
          <w:tcPr>
            <w:tcW w:type="dxa" w:w="4080"/>
            <w:tcMar>
              <w:top w:type="dxa" w:w="80"/>
              <w:left w:type="dxa" w:w="100"/>
              <w:bottom w:type="dxa" w:w="80"/>
              <w:right w:type="dxa" w:w="100"/>
            </w:tcMar>
          </w:tcPr>
          <w:p>
            <w:pPr>
              <w:jc w:val="left"/>
            </w:pPr>
            <w:r>
              <w:rPr>
                <w:b w:val="false"/>
                <w:bCs w:val="false"/>
                <w:color w:val="222222"/>
                <w:sz w:val="19"/>
                <w:szCs w:val="19"/>
              </w:rPr>
              <w:t xml:space="preserve">Never shown (real users only)</w:t>
            </w:r>
          </w:p>
        </w:tc>
        <w:tc>
          <w:tcPr>
            <w:tcW w:type="dxa" w:w="3840"/>
            <w:tcMar>
              <w:top w:type="dxa" w:w="80"/>
              <w:left w:type="dxa" w:w="100"/>
              <w:bottom w:type="dxa" w:w="80"/>
              <w:right w:type="dxa" w:w="100"/>
            </w:tcMar>
          </w:tcPr>
          <w:p>
            <w:pPr>
              <w:jc w:val="left"/>
            </w:pPr>
            <w:r>
              <w:rPr>
                <w:b w:val="false"/>
                <w:bCs w:val="false"/>
                <w:color w:val="222222"/>
                <w:sz w:val="19"/>
                <w:szCs w:val="19"/>
              </w:rPr>
              <w:t xml:space="preserve">Shown, for testing the deck UI</w:t>
            </w:r>
          </w:p>
        </w:tc>
      </w:tr>
      <w:tr>
        <w:tc>
          <w:tcPr>
            <w:tcW w:type="dxa" w:w="2160"/>
            <w:shd w:fill="F3FBFF" w:val="clear"/>
            <w:tcMar>
              <w:top w:type="dxa" w:w="80"/>
              <w:left w:type="dxa" w:w="100"/>
              <w:bottom w:type="dxa" w:w="80"/>
              <w:right w:type="dxa" w:w="100"/>
            </w:tcMar>
          </w:tcPr>
          <w:p>
            <w:pPr>
              <w:jc w:val="left"/>
            </w:pPr>
            <w:r>
              <w:rPr>
                <w:b/>
                <w:bCs/>
                <w:color w:val="1D3557"/>
                <w:sz w:val="19"/>
                <w:szCs w:val="19"/>
              </w:rPr>
              <w:t xml:space="preserve">Selected by</w:t>
            </w:r>
          </w:p>
        </w:tc>
        <w:tc>
          <w:tcPr>
            <w:tcW w:type="dxa" w:w="4080"/>
            <w:tcMar>
              <w:top w:type="dxa" w:w="80"/>
              <w:left w:type="dxa" w:w="100"/>
              <w:bottom w:type="dxa" w:w="80"/>
              <w:right w:type="dxa" w:w="100"/>
            </w:tcMar>
          </w:tcPr>
          <w:p>
            <w:pPr>
              <w:jc w:val="left"/>
            </w:pPr>
            <w:r>
              <w:rPr>
                <w:b w:val="false"/>
                <w:bCs w:val="false"/>
                <w:color w:val="222222"/>
                <w:sz w:val="19"/>
                <w:szCs w:val="19"/>
              </w:rPr>
              <w:t xml:space="preserve">location.hostname === nestfulapp.com exactly</w:t>
            </w:r>
          </w:p>
        </w:tc>
        <w:tc>
          <w:tcPr>
            <w:tcW w:type="dxa" w:w="3840"/>
            <w:tcMar>
              <w:top w:type="dxa" w:w="80"/>
              <w:left w:type="dxa" w:w="100"/>
              <w:bottom w:type="dxa" w:w="80"/>
              <w:right w:type="dxa" w:w="100"/>
            </w:tcMar>
          </w:tcPr>
          <w:p>
            <w:pPr>
              <w:jc w:val="left"/>
            </w:pPr>
            <w:r>
              <w:rPr>
                <w:b w:val="false"/>
                <w:bCs w:val="false"/>
                <w:color w:val="222222"/>
                <w:sz w:val="19"/>
                <w:szCs w:val="19"/>
              </w:rPr>
              <w:t xml:space="preserve">Everything else — the safe default</w:t>
            </w:r>
          </w:p>
        </w:tc>
      </w:tr>
    </w:tbl>
    <w:p>
      <w:pPr>
        <w:pStyle w:val="Heading1"/>
        <w:spacing w:after="200" w:before="400"/>
      </w:pPr>
      <w:r>
        <w:rPr>
          <w:b/>
          <w:bCs/>
          <w:color w:val="1D3557"/>
        </w:rPr>
        <w:t xml:space="preserve">6. Security, Privacy &amp; Legal</w:t>
      </w:r>
    </w:p>
    <w:p>
      <w:pPr>
        <w:pStyle w:val="Heading2"/>
        <w:spacing w:after="140" w:before="280"/>
      </w:pPr>
      <w:r>
        <w:rPr>
          <w:b/>
          <w:bCs/>
          <w:color w:val="00707D"/>
        </w:rPr>
        <w:t xml:space="preserve">6.1 Key &amp; Secret Handling</w:t>
      </w:r>
    </w:p>
    <w:p>
      <w:pPr>
        <w:pStyle w:val="ListParagraph"/>
        <w:numPr>
          <w:ilvl w:val="0"/>
          <w:numId w:val="2"/>
        </w:numPr>
        <w:spacing w:after="80" w:line="280"/>
      </w:pPr>
      <w:r>
        <w:rPr>
          <w:sz w:val="21"/>
          <w:szCs w:val="21"/>
        </w:rPr>
        <w:t xml:space="preserve">Supabase’s publishable (anon) key is safe for client-side exposure by design — Row Level Security, not key secrecy, is what actually protects data.</w:t>
      </w:r>
    </w:p>
    <w:p>
      <w:pPr>
        <w:pStyle w:val="ListParagraph"/>
        <w:numPr>
          <w:ilvl w:val="0"/>
          <w:numId w:val="2"/>
        </w:numPr>
        <w:spacing w:after="80" w:line="280"/>
      </w:pPr>
      <w:r>
        <w:rPr>
          <w:sz w:val="21"/>
          <w:szCs w:val="21"/>
        </w:rPr>
        <w:t xml:space="preserve">The Supabase service_role key and the Brevo API key are genuine secrets. Neither has ever been placed in browser-shipped code; both live only inside their respective serverless functions (Section 4.4).</w:t>
      </w:r>
    </w:p>
    <w:p>
      <w:pPr>
        <w:pStyle w:val="ListParagraph"/>
        <w:numPr>
          <w:ilvl w:val="0"/>
          <w:numId w:val="2"/>
        </w:numPr>
        <w:spacing w:after="80" w:line="280"/>
      </w:pPr>
      <w:r>
        <w:rPr>
          <w:sz w:val="21"/>
          <w:szCs w:val="21"/>
        </w:rPr>
        <w:t xml:space="preserve">A local file containing real plaintext secrets (an email account password, the Supabase database password, and the full Brevo key) was found during setup and excluded from git via .gitignore before it could ever be committed. Moving it into a password manager is an open item — see Roadmap.</w:t>
      </w:r>
    </w:p>
    <w:p>
      <w:pPr>
        <w:pStyle w:val="Heading2"/>
        <w:spacing w:after="140" w:before="280"/>
      </w:pPr>
      <w:r>
        <w:rPr>
          <w:b/>
          <w:bCs/>
          <w:color w:val="00707D"/>
        </w:rPr>
        <w:t xml:space="preserve">6.2 Child Safety</w:t>
      </w:r>
    </w:p>
    <w:p>
      <w:pPr>
        <w:spacing w:after="160" w:line="300"/>
      </w:pPr>
      <w:r>
        <w:rPr>
          <w:color w:val="222222"/>
          <w:sz w:val="21"/>
          <w:szCs w:val="21"/>
        </w:rPr>
        <w:t xml:space="preserve">No minors may appear in any photo on the platform, under any circumstances — this is a binding conduct rule, not a suggestion, enforced through onboarding copy, a required confirmation checkbox on every photo upload, and the Terms of Service. No children’s names, schools, or schedules may appear anywhere on a profile.</w:t>
      </w:r>
    </w:p>
    <w:p>
      <w:pPr>
        <w:pStyle w:val="Heading2"/>
        <w:spacing w:after="140" w:before="280"/>
      </w:pPr>
      <w:r>
        <w:rPr>
          <w:b/>
          <w:bCs/>
          <w:color w:val="00707D"/>
        </w:rPr>
        <w:t xml:space="preserve">6.3 Legal Documents</w:t>
      </w:r>
    </w:p>
    <w:p>
      <w:pPr>
        <w:spacing w:after="160" w:line="300"/>
      </w:pPr>
      <w:r>
        <w:rPr>
          <w:color w:val="222222"/>
          <w:sz w:val="21"/>
          <w:szCs w:val="21"/>
        </w:rPr>
        <w:t xml:space="preserve">Full drafts of the Terms &amp; Conditions and Privacy Policy exist (nestful/legal/), covering user-generated-content ownership and licensing, Section 230 platform positioning, the child-safety policy as a binding rule, 18+ eligibility, a no-background-check disclaimer, liability limitations, indemnification, and a DMCA process. In-app versions are linked from a required consent checkbox at signup, and consent is timestamped on the account.</w:t>
      </w:r>
    </w:p>
    <w:p>
      <w:pPr>
        <w:spacing w:after="160" w:line="300"/>
      </w:pPr>
      <w:r>
        <w:rPr>
          <w:b/>
          <w:bCs/>
          <w:sz w:val="21"/>
          <w:szCs w:val="21"/>
        </w:rPr>
        <w:t xml:space="preserve">These documents are explicitly marked as drafts and are not legal advice. </w:t>
      </w:r>
      <w:r>
        <w:rPr>
          <w:sz w:val="21"/>
          <w:szCs w:val="21"/>
        </w:rPr>
        <w:t xml:space="preserve">Attorney review is required before any public, non-BETA launch — see Roadmap.</w:t>
      </w:r>
    </w:p>
    <w:p>
      <w:pPr>
        <w:pStyle w:val="Heading2"/>
        <w:spacing w:after="140" w:before="280"/>
      </w:pPr>
      <w:r>
        <w:rPr>
          <w:b/>
          <w:bCs/>
          <w:color w:val="00707D"/>
        </w:rPr>
        <w:t xml:space="preserve">6.4 Abuse Protections</w:t>
      </w:r>
    </w:p>
    <w:p>
      <w:pPr>
        <w:spacing w:after="160" w:line="300"/>
      </w:pPr>
      <w:r>
        <w:rPr>
          <w:color w:val="222222"/>
          <w:sz w:val="21"/>
          <w:szCs w:val="21"/>
        </w:rPr>
        <w:t xml:space="preserve">The public-facing send-email function is template-locked (cannot send arbitrary content) and checks the request’s origin against an allowlist. This is a casual-abuse deterrent, not a hard security boundary — the real backstop is Brevo’s own account-level sending limits. Stronger protection (rate-limiting, CAPTCHA) is recommended before a wide public launch.</w:t>
      </w:r>
    </w:p>
    <w:p>
      <w:pPr>
        <w:pStyle w:val="Heading2"/>
        <w:spacing w:after="140" w:before="280"/>
      </w:pPr>
      <w:r>
        <w:rPr>
          <w:b/>
          <w:bCs/>
          <w:color w:val="00707D"/>
        </w:rPr>
        <w:t xml:space="preserve">6.5 Account Deletion — Design Note</w:t>
      </w:r>
    </w:p>
    <w:p>
      <w:pPr>
        <w:spacing w:after="160" w:line="300"/>
      </w:pPr>
      <w:r>
        <w:rPr>
          <w:color w:val="222222"/>
          <w:sz w:val="21"/>
          <w:szCs w:val="21"/>
        </w:rPr>
        <w:t xml:space="preserve">Because Row Level Security intentionally prevents a user from deleting their own login record (only their profile data), a dedicated server-side Edge Function using the privileged service_role key was built to perform real deletions. This was found and fixed as a live issue on July 21, 2026: initial client-side-only deletion left the login intact, blocking re-registration with the same email. The Edge Function fix was verified with full real account lifecycle tests — signup, delete, and successful re-signup with the identical email — on both the production and staging environments.</w:t>
      </w:r>
    </w:p>
    <w:p>
      <w:pPr>
        <w:pStyle w:val="Heading1"/>
        <w:spacing w:after="200" w:before="400"/>
      </w:pPr>
      <w:r>
        <w:rPr>
          <w:b/>
          <w:bCs/>
          <w:color w:val="1D3557"/>
        </w:rPr>
        <w:t xml:space="preserve">7. Current Status</w:t>
      </w:r>
    </w:p>
    <w:p>
      <w:pPr>
        <w:spacing w:after="160" w:line="300"/>
      </w:pPr>
      <w:r>
        <w:rPr>
          <w:color w:val="222222"/>
          <w:sz w:val="21"/>
          <w:szCs w:val="21"/>
        </w:rPr>
        <w:t xml:space="preserve">As of July 21, 2026, the items below have been built and verified working through live, real-world testing — not just code review — on the actual deployed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1500"/>
        <w:gridCol w:w="4500"/>
      </w:tblGrid>
      <w:tr>
        <w:trPr>
          <w:tblHeader/>
        </w:trPr>
        <w:tc>
          <w:tcPr>
            <w:tcW w:type="dxa" w:w="4080"/>
            <w:shd w:fill="1D3557" w:val="clear"/>
            <w:tcMar>
              <w:top w:type="dxa" w:w="80"/>
              <w:left w:type="dxa" w:w="100"/>
              <w:bottom w:type="dxa" w:w="80"/>
              <w:right w:type="dxa" w:w="100"/>
            </w:tcMar>
          </w:tcPr>
          <w:p>
            <w:pPr>
              <w:jc w:val="left"/>
            </w:pPr>
            <w:r>
              <w:rPr>
                <w:b/>
                <w:bCs/>
                <w:color w:val="FFFFFF"/>
                <w:sz w:val="18"/>
                <w:szCs w:val="18"/>
              </w:rPr>
              <w:t xml:space="preserve">Capability</w:t>
            </w:r>
          </w:p>
        </w:tc>
        <w:tc>
          <w:tcPr>
            <w:tcW w:type="dxa" w:w="1500"/>
            <w:shd w:fill="1D3557" w:val="clear"/>
            <w:tcMar>
              <w:top w:type="dxa" w:w="80"/>
              <w:left w:type="dxa" w:w="100"/>
              <w:bottom w:type="dxa" w:w="80"/>
              <w:right w:type="dxa" w:w="100"/>
            </w:tcMar>
          </w:tcPr>
          <w:p>
            <w:pPr>
              <w:jc w:val="left"/>
            </w:pPr>
            <w:r>
              <w:rPr>
                <w:b/>
                <w:bCs/>
                <w:color w:val="FFFFFF"/>
                <w:sz w:val="18"/>
                <w:szCs w:val="18"/>
              </w:rPr>
              <w:t xml:space="preserve">Status</w:t>
            </w:r>
          </w:p>
        </w:tc>
        <w:tc>
          <w:tcPr>
            <w:tcW w:type="dxa" w:w="4500"/>
            <w:shd w:fill="1D3557" w:val="clear"/>
            <w:tcMar>
              <w:top w:type="dxa" w:w="80"/>
              <w:left w:type="dxa" w:w="100"/>
              <w:bottom w:type="dxa" w:w="80"/>
              <w:right w:type="dxa" w:w="100"/>
            </w:tcMar>
          </w:tcPr>
          <w:p>
            <w:pPr>
              <w:jc w:val="left"/>
            </w:pPr>
            <w:r>
              <w:rPr>
                <w:b/>
                <w:bCs/>
                <w:color w:val="FFFFFF"/>
                <w:sz w:val="18"/>
                <w:szCs w:val="18"/>
              </w:rPr>
              <w:t xml:space="preserve">Notes</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Real accounts (signup/signin)</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Verified on both environments with full lifecycle tests</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Password reset &amp; change</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Real Supabase recovery flow, sent via Brevo</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Account deletion</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Real deletion via Edge Function — fixed 2026-07-21</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Onboarding &amp; profile editing</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Writes to the real profiles table</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Mutual pre-screening logic</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Gender, nest-openness, and kid-count filters all working</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Nest filters &amp; Rhythm Match</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Free in the BETA, no paywall</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Transactional notification emails</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4 templates, verified via real inbox delivery</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Production data authenticity</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Fake demo profiles excluded from production — fixed 2026-07-21</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Staging environment</w:t>
            </w:r>
          </w:p>
        </w:tc>
        <w:tc>
          <w:tcPr>
            <w:tcW w:type="dxa" w:w="1500"/>
            <w:shd w:fill="E3F3E9" w:val="clear"/>
            <w:tcMar>
              <w:top w:type="dxa" w:w="80"/>
              <w:left w:type="dxa" w:w="100"/>
              <w:bottom w:type="dxa" w:w="80"/>
              <w:right w:type="dxa" w:w="100"/>
            </w:tcMar>
          </w:tcPr>
          <w:p>
            <w:pPr>
              <w:jc w:val="center"/>
            </w:pPr>
            <w:r>
              <w:rPr>
                <w:b/>
                <w:bCs/>
                <w:color w:val="1E6B3C"/>
                <w:sz w:val="19"/>
                <w:szCs w:val="19"/>
              </w:rPr>
              <w:t xml:space="preserve">LIVE</w:t>
            </w:r>
          </w:p>
        </w:tc>
        <w:tc>
          <w:tcPr>
            <w:tcW w:type="dxa" w:w="4500"/>
            <w:tcMar>
              <w:top w:type="dxa" w:w="80"/>
              <w:left w:type="dxa" w:w="100"/>
              <w:bottom w:type="dxa" w:w="80"/>
              <w:right w:type="dxa" w:w="100"/>
            </w:tcMar>
          </w:tcPr>
          <w:p>
            <w:pPr>
              <w:jc w:val="left"/>
            </w:pPr>
            <w:r>
              <w:rPr>
                <w:b w:val="false"/>
                <w:bCs w:val="false"/>
                <w:color w:val="222222"/>
                <w:sz w:val="19"/>
                <w:szCs w:val="19"/>
              </w:rPr>
              <w:t xml:space="preserve">Fully isolated database, own domain, own data</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Real member-to-member matching</w:t>
            </w:r>
          </w:p>
        </w:tc>
        <w:tc>
          <w:tcPr>
            <w:tcW w:type="dxa" w:w="1500"/>
            <w:shd w:fill="FDF1E0" w:val="clear"/>
            <w:tcMar>
              <w:top w:type="dxa" w:w="80"/>
              <w:left w:type="dxa" w:w="100"/>
              <w:bottom w:type="dxa" w:w="80"/>
              <w:right w:type="dxa" w:w="100"/>
            </w:tcMar>
          </w:tcPr>
          <w:p>
            <w:pPr>
              <w:jc w:val="center"/>
            </w:pPr>
            <w:r>
              <w:rPr>
                <w:b/>
                <w:bCs/>
                <w:color w:val="8A6D15"/>
                <w:sz w:val="19"/>
                <w:szCs w:val="19"/>
              </w:rPr>
              <w:t xml:space="preserve">OPEN</w:t>
            </w:r>
          </w:p>
        </w:tc>
        <w:tc>
          <w:tcPr>
            <w:tcW w:type="dxa" w:w="4500"/>
            <w:tcMar>
              <w:top w:type="dxa" w:w="80"/>
              <w:left w:type="dxa" w:w="100"/>
              <w:bottom w:type="dxa" w:w="80"/>
              <w:right w:type="dxa" w:w="100"/>
            </w:tcMar>
          </w:tcPr>
          <w:p>
            <w:pPr>
              <w:jc w:val="left"/>
            </w:pPr>
            <w:r>
              <w:rPr>
                <w:b w:val="false"/>
                <w:bCs w:val="false"/>
                <w:color w:val="222222"/>
                <w:sz w:val="19"/>
                <w:szCs w:val="19"/>
              </w:rPr>
              <w:t xml:space="preserve">Still shows curated demo profiles on staging only; production is empty until 2nd real member</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Founder admin dashboard (member list)</w:t>
            </w:r>
          </w:p>
        </w:tc>
        <w:tc>
          <w:tcPr>
            <w:tcW w:type="dxa" w:w="1500"/>
            <w:shd w:fill="FDF1E0" w:val="clear"/>
            <w:tcMar>
              <w:top w:type="dxa" w:w="80"/>
              <w:left w:type="dxa" w:w="100"/>
              <w:bottom w:type="dxa" w:w="80"/>
              <w:right w:type="dxa" w:w="100"/>
            </w:tcMar>
          </w:tcPr>
          <w:p>
            <w:pPr>
              <w:jc w:val="center"/>
            </w:pPr>
            <w:r>
              <w:rPr>
                <w:b/>
                <w:bCs/>
                <w:color w:val="8A6D15"/>
                <w:sz w:val="19"/>
                <w:szCs w:val="19"/>
              </w:rPr>
              <w:t xml:space="preserve">OPEN</w:t>
            </w:r>
          </w:p>
        </w:tc>
        <w:tc>
          <w:tcPr>
            <w:tcW w:type="dxa" w:w="4500"/>
            <w:tcMar>
              <w:top w:type="dxa" w:w="80"/>
              <w:left w:type="dxa" w:w="100"/>
              <w:bottom w:type="dxa" w:w="80"/>
              <w:right w:type="dxa" w:w="100"/>
            </w:tcMar>
          </w:tcPr>
          <w:p>
            <w:pPr>
              <w:jc w:val="left"/>
            </w:pPr>
            <w:r>
              <w:rPr>
                <w:b w:val="false"/>
                <w:bCs w:val="false"/>
                <w:color w:val="222222"/>
                <w:sz w:val="19"/>
                <w:szCs w:val="19"/>
              </w:rPr>
              <w:t xml:space="preserve">Needs a read-only Edge Function — auth.users isn’t client-queryable</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Nestful+ paid tier</w:t>
            </w:r>
          </w:p>
        </w:tc>
        <w:tc>
          <w:tcPr>
            <w:tcW w:type="dxa" w:w="1500"/>
            <w:shd w:fill="FDF1E0" w:val="clear"/>
            <w:tcMar>
              <w:top w:type="dxa" w:w="80"/>
              <w:left w:type="dxa" w:w="100"/>
              <w:bottom w:type="dxa" w:w="80"/>
              <w:right w:type="dxa" w:w="100"/>
            </w:tcMar>
          </w:tcPr>
          <w:p>
            <w:pPr>
              <w:jc w:val="center"/>
            </w:pPr>
            <w:r>
              <w:rPr>
                <w:b/>
                <w:bCs/>
                <w:color w:val="8A6D15"/>
                <w:sz w:val="19"/>
                <w:szCs w:val="19"/>
              </w:rPr>
              <w:t xml:space="preserve">OPEN</w:t>
            </w:r>
          </w:p>
        </w:tc>
        <w:tc>
          <w:tcPr>
            <w:tcW w:type="dxa" w:w="4500"/>
            <w:tcMar>
              <w:top w:type="dxa" w:w="80"/>
              <w:left w:type="dxa" w:w="100"/>
              <w:bottom w:type="dxa" w:w="80"/>
              <w:right w:type="dxa" w:w="100"/>
            </w:tcMar>
          </w:tcPr>
          <w:p>
            <w:pPr>
              <w:jc w:val="left"/>
            </w:pPr>
            <w:r>
              <w:rPr>
                <w:b w:val="false"/>
                <w:bCs w:val="false"/>
                <w:color w:val="222222"/>
                <w:sz w:val="19"/>
                <w:szCs w:val="19"/>
              </w:rPr>
              <w:t xml:space="preserve">Built but disabled — needs LLC, bank account, payment processor</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Photo storage via Supabase Storage</w:t>
            </w:r>
          </w:p>
        </w:tc>
        <w:tc>
          <w:tcPr>
            <w:tcW w:type="dxa" w:w="1500"/>
            <w:shd w:fill="FDF1E0" w:val="clear"/>
            <w:tcMar>
              <w:top w:type="dxa" w:w="80"/>
              <w:left w:type="dxa" w:w="100"/>
              <w:bottom w:type="dxa" w:w="80"/>
              <w:right w:type="dxa" w:w="100"/>
            </w:tcMar>
          </w:tcPr>
          <w:p>
            <w:pPr>
              <w:jc w:val="center"/>
            </w:pPr>
            <w:r>
              <w:rPr>
                <w:b/>
                <w:bCs/>
                <w:color w:val="8A6D15"/>
                <w:sz w:val="19"/>
                <w:szCs w:val="19"/>
              </w:rPr>
              <w:t xml:space="preserve">OPEN</w:t>
            </w:r>
          </w:p>
        </w:tc>
        <w:tc>
          <w:tcPr>
            <w:tcW w:type="dxa" w:w="4500"/>
            <w:tcMar>
              <w:top w:type="dxa" w:w="80"/>
              <w:left w:type="dxa" w:w="100"/>
              <w:bottom w:type="dxa" w:w="80"/>
              <w:right w:type="dxa" w:w="100"/>
            </w:tcMar>
          </w:tcPr>
          <w:p>
            <w:pPr>
              <w:jc w:val="left"/>
            </w:pPr>
            <w:r>
              <w:rPr>
                <w:b w:val="false"/>
                <w:bCs w:val="false"/>
                <w:color w:val="222222"/>
                <w:sz w:val="19"/>
                <w:szCs w:val="19"/>
              </w:rPr>
              <w:t xml:space="preserve">Bucket created; photos currently stored as base64 in the database</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Branded Supabase reset-password email</w:t>
            </w:r>
          </w:p>
        </w:tc>
        <w:tc>
          <w:tcPr>
            <w:tcW w:type="dxa" w:w="1500"/>
            <w:shd w:fill="FDF1E0" w:val="clear"/>
            <w:tcMar>
              <w:top w:type="dxa" w:w="80"/>
              <w:left w:type="dxa" w:w="100"/>
              <w:bottom w:type="dxa" w:w="80"/>
              <w:right w:type="dxa" w:w="100"/>
            </w:tcMar>
          </w:tcPr>
          <w:p>
            <w:pPr>
              <w:jc w:val="center"/>
            </w:pPr>
            <w:r>
              <w:rPr>
                <w:b/>
                <w:bCs/>
                <w:color w:val="8A6D15"/>
                <w:sz w:val="19"/>
                <w:szCs w:val="19"/>
              </w:rPr>
              <w:t xml:space="preserve">OPEN</w:t>
            </w:r>
          </w:p>
        </w:tc>
        <w:tc>
          <w:tcPr>
            <w:tcW w:type="dxa" w:w="4500"/>
            <w:tcMar>
              <w:top w:type="dxa" w:w="80"/>
              <w:left w:type="dxa" w:w="100"/>
              <w:bottom w:type="dxa" w:w="80"/>
              <w:right w:type="dxa" w:w="100"/>
            </w:tcMar>
          </w:tcPr>
          <w:p>
            <w:pPr>
              <w:jc w:val="left"/>
            </w:pPr>
            <w:r>
              <w:rPr>
                <w:b w:val="false"/>
                <w:bCs w:val="false"/>
                <w:color w:val="222222"/>
                <w:sz w:val="19"/>
                <w:szCs w:val="19"/>
              </w:rPr>
              <w:t xml:space="preserve">Copy drafted; not yet pasted into either project’s template</w:t>
            </w:r>
          </w:p>
        </w:tc>
      </w:tr>
      <w:tr>
        <w:tc>
          <w:tcPr>
            <w:tcW w:type="dxa" w:w="4080"/>
            <w:tcMar>
              <w:top w:type="dxa" w:w="80"/>
              <w:left w:type="dxa" w:w="100"/>
              <w:bottom w:type="dxa" w:w="80"/>
              <w:right w:type="dxa" w:w="100"/>
            </w:tcMar>
          </w:tcPr>
          <w:p>
            <w:pPr>
              <w:jc w:val="left"/>
            </w:pPr>
            <w:r>
              <w:rPr>
                <w:b w:val="false"/>
                <w:bCs w:val="false"/>
                <w:color w:val="222222"/>
                <w:sz w:val="19"/>
                <w:szCs w:val="19"/>
              </w:rPr>
              <w:t xml:space="preserve">Legal review</w:t>
            </w:r>
          </w:p>
        </w:tc>
        <w:tc>
          <w:tcPr>
            <w:tcW w:type="dxa" w:w="1500"/>
            <w:shd w:fill="FDF1E0" w:val="clear"/>
            <w:tcMar>
              <w:top w:type="dxa" w:w="80"/>
              <w:left w:type="dxa" w:w="100"/>
              <w:bottom w:type="dxa" w:w="80"/>
              <w:right w:type="dxa" w:w="100"/>
            </w:tcMar>
          </w:tcPr>
          <w:p>
            <w:pPr>
              <w:jc w:val="center"/>
            </w:pPr>
            <w:r>
              <w:rPr>
                <w:b/>
                <w:bCs/>
                <w:color w:val="8A6D15"/>
                <w:sz w:val="19"/>
                <w:szCs w:val="19"/>
              </w:rPr>
              <w:t xml:space="preserve">OPEN</w:t>
            </w:r>
          </w:p>
        </w:tc>
        <w:tc>
          <w:tcPr>
            <w:tcW w:type="dxa" w:w="4500"/>
            <w:tcMar>
              <w:top w:type="dxa" w:w="80"/>
              <w:left w:type="dxa" w:w="100"/>
              <w:bottom w:type="dxa" w:w="80"/>
              <w:right w:type="dxa" w:w="100"/>
            </w:tcMar>
          </w:tcPr>
          <w:p>
            <w:pPr>
              <w:jc w:val="left"/>
            </w:pPr>
            <w:r>
              <w:rPr>
                <w:b w:val="false"/>
                <w:bCs w:val="false"/>
                <w:color w:val="222222"/>
                <w:sz w:val="19"/>
                <w:szCs w:val="19"/>
              </w:rPr>
              <w:t xml:space="preserve">Drafts only — attorney review required before public launch</w:t>
            </w:r>
          </w:p>
        </w:tc>
      </w:tr>
    </w:tbl>
    <w:p>
      <w:pPr>
        <w:pStyle w:val="Heading1"/>
        <w:spacing w:after="200" w:before="400"/>
      </w:pPr>
      <w:r>
        <w:rPr>
          <w:b/>
          <w:bCs/>
          <w:color w:val="1D3557"/>
        </w:rPr>
        <w:t xml:space="preserve">8. Roadmap — Features &amp; Follow-Ups to Track</w:t>
      </w:r>
    </w:p>
    <w:p>
      <w:pPr>
        <w:spacing w:after="160" w:line="300"/>
      </w:pPr>
      <w:r>
        <w:rPr>
          <w:color w:val="222222"/>
          <w:sz w:val="21"/>
          <w:szCs w:val="21"/>
        </w:rPr>
        <w:t xml:space="preserve">Ordered by priority. “High” items are the most consequential to product completeness or legal risk; “Low” items are polish or hardening that can wait.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1600"/>
        <w:gridCol w:w="2600"/>
      </w:tblGrid>
      <w:tr>
        <w:trPr>
          <w:tblHeader/>
        </w:trPr>
        <w:tc>
          <w:tcPr>
            <w:tcW w:type="dxa" w:w="1200"/>
            <w:shd w:fill="1D3557" w:val="clear"/>
            <w:tcMar>
              <w:top w:type="dxa" w:w="80"/>
              <w:left w:type="dxa" w:w="100"/>
              <w:bottom w:type="dxa" w:w="80"/>
              <w:right w:type="dxa" w:w="100"/>
            </w:tcMar>
          </w:tcPr>
          <w:p>
            <w:pPr>
              <w:jc w:val="left"/>
            </w:pPr>
            <w:r>
              <w:rPr>
                <w:b/>
                <w:bCs/>
                <w:color w:val="FFFFFF"/>
                <w:sz w:val="18"/>
                <w:szCs w:val="18"/>
              </w:rPr>
              <w:t xml:space="preserve">Priority</w:t>
            </w:r>
          </w:p>
        </w:tc>
        <w:tc>
          <w:tcPr>
            <w:tcW w:type="dxa" w:w="4680"/>
            <w:shd w:fill="1D3557" w:val="clear"/>
            <w:tcMar>
              <w:top w:type="dxa" w:w="80"/>
              <w:left w:type="dxa" w:w="100"/>
              <w:bottom w:type="dxa" w:w="80"/>
              <w:right w:type="dxa" w:w="100"/>
            </w:tcMar>
          </w:tcPr>
          <w:p>
            <w:pPr>
              <w:jc w:val="left"/>
            </w:pPr>
            <w:r>
              <w:rPr>
                <w:b/>
                <w:bCs/>
                <w:color w:val="FFFFFF"/>
                <w:sz w:val="18"/>
                <w:szCs w:val="18"/>
              </w:rPr>
              <w:t xml:space="preserve">Item</w:t>
            </w:r>
          </w:p>
        </w:tc>
        <w:tc>
          <w:tcPr>
            <w:tcW w:type="dxa" w:w="1600"/>
            <w:shd w:fill="1D3557" w:val="clear"/>
            <w:tcMar>
              <w:top w:type="dxa" w:w="80"/>
              <w:left w:type="dxa" w:w="100"/>
              <w:bottom w:type="dxa" w:w="80"/>
              <w:right w:type="dxa" w:w="100"/>
            </w:tcMar>
          </w:tcPr>
          <w:p>
            <w:pPr>
              <w:jc w:val="left"/>
            </w:pPr>
            <w:r>
              <w:rPr>
                <w:b/>
                <w:bCs/>
                <w:color w:val="FFFFFF"/>
                <w:sz w:val="18"/>
                <w:szCs w:val="18"/>
              </w:rPr>
              <w:t xml:space="preserve">Category</w:t>
            </w:r>
          </w:p>
        </w:tc>
        <w:tc>
          <w:tcPr>
            <w:tcW w:type="dxa" w:w="2600"/>
            <w:shd w:fill="1D3557" w:val="clear"/>
            <w:tcMar>
              <w:top w:type="dxa" w:w="80"/>
              <w:left w:type="dxa" w:w="100"/>
              <w:bottom w:type="dxa" w:w="80"/>
              <w:right w:type="dxa" w:w="100"/>
            </w:tcMar>
          </w:tcPr>
          <w:p>
            <w:pPr>
              <w:jc w:val="left"/>
            </w:pPr>
            <w:r>
              <w:rPr>
                <w:b/>
                <w:bCs/>
                <w:color w:val="FFFFFF"/>
                <w:sz w:val="18"/>
                <w:szCs w:val="18"/>
              </w:rPr>
              <w:t xml:space="preserve">Why it matters</w:t>
            </w:r>
          </w:p>
        </w:tc>
      </w:tr>
      <w:tr>
        <w:tc>
          <w:tcPr>
            <w:tcW w:type="dxa" w:w="1200"/>
            <w:tcMar>
              <w:top w:type="dxa" w:w="80"/>
              <w:left w:type="dxa" w:w="100"/>
              <w:bottom w:type="dxa" w:w="80"/>
              <w:right w:type="dxa" w:w="100"/>
            </w:tcMar>
          </w:tcPr>
          <w:p>
            <w:pPr>
              <w:jc w:val="left"/>
            </w:pPr>
            <w:r>
              <w:rPr>
                <w:b/>
                <w:bCs/>
                <w:color w:val="8A2E2E"/>
                <w:sz w:val="19"/>
                <w:szCs w:val="19"/>
              </w:rPr>
              <w:t xml:space="preserve">High</w:t>
            </w:r>
          </w:p>
        </w:tc>
        <w:tc>
          <w:tcPr>
            <w:tcW w:type="dxa" w:w="4680"/>
            <w:tcMar>
              <w:top w:type="dxa" w:w="80"/>
              <w:left w:type="dxa" w:w="100"/>
              <w:bottom w:type="dxa" w:w="80"/>
              <w:right w:type="dxa" w:w="100"/>
            </w:tcMar>
          </w:tcPr>
          <w:p>
            <w:pPr>
              <w:jc w:val="left"/>
            </w:pPr>
            <w:r>
              <w:rPr>
                <w:b w:val="false"/>
                <w:bCs w:val="false"/>
                <w:color w:val="222222"/>
                <w:sz w:val="19"/>
                <w:szCs w:val="19"/>
              </w:rPr>
              <w:t xml:space="preserve">Real member-to-member matching (replace demo profiles with live queries against profiles)</w:t>
            </w:r>
          </w:p>
        </w:tc>
        <w:tc>
          <w:tcPr>
            <w:tcW w:type="dxa" w:w="1600"/>
            <w:tcMar>
              <w:top w:type="dxa" w:w="80"/>
              <w:left w:type="dxa" w:w="100"/>
              <w:bottom w:type="dxa" w:w="80"/>
              <w:right w:type="dxa" w:w="100"/>
            </w:tcMar>
          </w:tcPr>
          <w:p>
            <w:pPr>
              <w:jc w:val="left"/>
            </w:pPr>
            <w:r>
              <w:rPr>
                <w:b w:val="false"/>
                <w:bCs w:val="false"/>
                <w:color w:val="222222"/>
                <w:sz w:val="19"/>
                <w:szCs w:val="19"/>
              </w:rPr>
              <w:t xml:space="preserve">Product</w:t>
            </w:r>
          </w:p>
        </w:tc>
        <w:tc>
          <w:tcPr>
            <w:tcW w:type="dxa" w:w="2600"/>
            <w:tcMar>
              <w:top w:type="dxa" w:w="80"/>
              <w:left w:type="dxa" w:w="100"/>
              <w:bottom w:type="dxa" w:w="80"/>
              <w:right w:type="dxa" w:w="100"/>
            </w:tcMar>
          </w:tcPr>
          <w:p>
            <w:pPr>
              <w:jc w:val="left"/>
            </w:pPr>
            <w:r>
              <w:rPr>
                <w:b w:val="false"/>
                <w:bCs w:val="false"/>
                <w:color w:val="222222"/>
                <w:sz w:val="19"/>
                <w:szCs w:val="19"/>
              </w:rPr>
              <w:t xml:space="preserve">Core product promise; blocked mainly by needing a second real member</w:t>
            </w:r>
          </w:p>
        </w:tc>
      </w:tr>
      <w:tr>
        <w:tc>
          <w:tcPr>
            <w:tcW w:type="dxa" w:w="1200"/>
            <w:tcMar>
              <w:top w:type="dxa" w:w="80"/>
              <w:left w:type="dxa" w:w="100"/>
              <w:bottom w:type="dxa" w:w="80"/>
              <w:right w:type="dxa" w:w="100"/>
            </w:tcMar>
          </w:tcPr>
          <w:p>
            <w:pPr>
              <w:jc w:val="left"/>
            </w:pPr>
            <w:r>
              <w:rPr>
                <w:b/>
                <w:bCs/>
                <w:color w:val="8A2E2E"/>
                <w:sz w:val="19"/>
                <w:szCs w:val="19"/>
              </w:rPr>
              <w:t xml:space="preserve">High</w:t>
            </w:r>
          </w:p>
        </w:tc>
        <w:tc>
          <w:tcPr>
            <w:tcW w:type="dxa" w:w="4680"/>
            <w:tcMar>
              <w:top w:type="dxa" w:w="80"/>
              <w:left w:type="dxa" w:w="100"/>
              <w:bottom w:type="dxa" w:w="80"/>
              <w:right w:type="dxa" w:w="100"/>
            </w:tcMar>
          </w:tcPr>
          <w:p>
            <w:pPr>
              <w:jc w:val="left"/>
            </w:pPr>
            <w:r>
              <w:rPr>
                <w:b w:val="false"/>
                <w:bCs w:val="false"/>
                <w:color w:val="222222"/>
                <w:sz w:val="19"/>
                <w:szCs w:val="19"/>
              </w:rPr>
              <w:t xml:space="preserve">Legal review of Terms &amp; Privacy Policy by a licensed attorney</w:t>
            </w:r>
          </w:p>
        </w:tc>
        <w:tc>
          <w:tcPr>
            <w:tcW w:type="dxa" w:w="1600"/>
            <w:tcMar>
              <w:top w:type="dxa" w:w="80"/>
              <w:left w:type="dxa" w:w="100"/>
              <w:bottom w:type="dxa" w:w="80"/>
              <w:right w:type="dxa" w:w="100"/>
            </w:tcMar>
          </w:tcPr>
          <w:p>
            <w:pPr>
              <w:jc w:val="left"/>
            </w:pPr>
            <w:r>
              <w:rPr>
                <w:b w:val="false"/>
                <w:bCs w:val="false"/>
                <w:color w:val="222222"/>
                <w:sz w:val="19"/>
                <w:szCs w:val="19"/>
              </w:rPr>
              <w:t xml:space="preserve">Legal</w:t>
            </w:r>
          </w:p>
        </w:tc>
        <w:tc>
          <w:tcPr>
            <w:tcW w:type="dxa" w:w="2600"/>
            <w:tcMar>
              <w:top w:type="dxa" w:w="80"/>
              <w:left w:type="dxa" w:w="100"/>
              <w:bottom w:type="dxa" w:w="80"/>
              <w:right w:type="dxa" w:w="100"/>
            </w:tcMar>
          </w:tcPr>
          <w:p>
            <w:pPr>
              <w:jc w:val="left"/>
            </w:pPr>
            <w:r>
              <w:rPr>
                <w:b w:val="false"/>
                <w:bCs w:val="false"/>
                <w:color w:val="222222"/>
                <w:sz w:val="19"/>
                <w:szCs w:val="19"/>
              </w:rPr>
              <w:t xml:space="preserve">Drafts are explicitly not legal advice; needed before wider public launch</w:t>
            </w:r>
          </w:p>
        </w:tc>
      </w:tr>
      <w:tr>
        <w:tc>
          <w:tcPr>
            <w:tcW w:type="dxa" w:w="1200"/>
            <w:tcMar>
              <w:top w:type="dxa" w:w="80"/>
              <w:left w:type="dxa" w:w="100"/>
              <w:bottom w:type="dxa" w:w="80"/>
              <w:right w:type="dxa" w:w="100"/>
            </w:tcMar>
          </w:tcPr>
          <w:p>
            <w:pPr>
              <w:jc w:val="left"/>
            </w:pPr>
            <w:r>
              <w:rPr>
                <w:b/>
                <w:bCs/>
                <w:color w:val="8A2E2E"/>
                <w:sz w:val="19"/>
                <w:szCs w:val="19"/>
              </w:rPr>
              <w:t xml:space="preserve">High</w:t>
            </w:r>
          </w:p>
        </w:tc>
        <w:tc>
          <w:tcPr>
            <w:tcW w:type="dxa" w:w="4680"/>
            <w:tcMar>
              <w:top w:type="dxa" w:w="80"/>
              <w:left w:type="dxa" w:w="100"/>
              <w:bottom w:type="dxa" w:w="80"/>
              <w:right w:type="dxa" w:w="100"/>
            </w:tcMar>
          </w:tcPr>
          <w:p>
            <w:pPr>
              <w:jc w:val="left"/>
            </w:pPr>
            <w:r>
              <w:rPr>
                <w:b w:val="false"/>
                <w:bCs w:val="false"/>
                <w:color w:val="222222"/>
                <w:sz w:val="19"/>
                <w:szCs w:val="19"/>
              </w:rPr>
              <w:t xml:space="preserve">Form Nestful, LLC</w:t>
            </w:r>
          </w:p>
        </w:tc>
        <w:tc>
          <w:tcPr>
            <w:tcW w:type="dxa" w:w="1600"/>
            <w:tcMar>
              <w:top w:type="dxa" w:w="80"/>
              <w:left w:type="dxa" w:w="100"/>
              <w:bottom w:type="dxa" w:w="80"/>
              <w:right w:type="dxa" w:w="100"/>
            </w:tcMar>
          </w:tcPr>
          <w:p>
            <w:pPr>
              <w:jc w:val="left"/>
            </w:pPr>
            <w:r>
              <w:rPr>
                <w:b w:val="false"/>
                <w:bCs w:val="false"/>
                <w:color w:val="222222"/>
                <w:sz w:val="19"/>
                <w:szCs w:val="19"/>
              </w:rPr>
              <w:t xml:space="preserve">Legal</w:t>
            </w:r>
          </w:p>
        </w:tc>
        <w:tc>
          <w:tcPr>
            <w:tcW w:type="dxa" w:w="2600"/>
            <w:tcMar>
              <w:top w:type="dxa" w:w="80"/>
              <w:left w:type="dxa" w:w="100"/>
              <w:bottom w:type="dxa" w:w="80"/>
              <w:right w:type="dxa" w:w="100"/>
            </w:tcMar>
          </w:tcPr>
          <w:p>
            <w:pPr>
              <w:jc w:val="left"/>
            </w:pPr>
            <w:r>
              <w:rPr>
                <w:b w:val="false"/>
                <w:bCs w:val="false"/>
                <w:color w:val="222222"/>
                <w:sz w:val="19"/>
                <w:szCs w:val="19"/>
              </w:rPr>
              <w:t xml:space="preserve">Personal liability shield; needed before real payments or wide launch</w:t>
            </w:r>
          </w:p>
        </w:tc>
      </w:tr>
      <w:tr>
        <w:tc>
          <w:tcPr>
            <w:tcW w:type="dxa" w:w="1200"/>
            <w:tcMar>
              <w:top w:type="dxa" w:w="80"/>
              <w:left w:type="dxa" w:w="100"/>
              <w:bottom w:type="dxa" w:w="80"/>
              <w:right w:type="dxa" w:w="100"/>
            </w:tcMar>
          </w:tcPr>
          <w:p>
            <w:pPr>
              <w:jc w:val="left"/>
            </w:pPr>
            <w:r>
              <w:rPr>
                <w:b/>
                <w:bCs/>
                <w:color w:val="8A6D15"/>
                <w:sz w:val="19"/>
                <w:szCs w:val="19"/>
              </w:rPr>
              <w:t xml:space="preserve">Medium</w:t>
            </w:r>
          </w:p>
        </w:tc>
        <w:tc>
          <w:tcPr>
            <w:tcW w:type="dxa" w:w="4680"/>
            <w:tcMar>
              <w:top w:type="dxa" w:w="80"/>
              <w:left w:type="dxa" w:w="100"/>
              <w:bottom w:type="dxa" w:w="80"/>
              <w:right w:type="dxa" w:w="100"/>
            </w:tcMar>
          </w:tcPr>
          <w:p>
            <w:pPr>
              <w:jc w:val="left"/>
            </w:pPr>
            <w:r>
              <w:rPr>
                <w:b w:val="false"/>
                <w:bCs w:val="false"/>
                <w:color w:val="222222"/>
                <w:sz w:val="19"/>
                <w:szCs w:val="19"/>
              </w:rPr>
              <w:t xml:space="preserve">Trademark clearance search on “Nestful”</w:t>
            </w:r>
          </w:p>
        </w:tc>
        <w:tc>
          <w:tcPr>
            <w:tcW w:type="dxa" w:w="1600"/>
            <w:tcMar>
              <w:top w:type="dxa" w:w="80"/>
              <w:left w:type="dxa" w:w="100"/>
              <w:bottom w:type="dxa" w:w="80"/>
              <w:right w:type="dxa" w:w="100"/>
            </w:tcMar>
          </w:tcPr>
          <w:p>
            <w:pPr>
              <w:jc w:val="left"/>
            </w:pPr>
            <w:r>
              <w:rPr>
                <w:b w:val="false"/>
                <w:bCs w:val="false"/>
                <w:color w:val="222222"/>
                <w:sz w:val="19"/>
                <w:szCs w:val="19"/>
              </w:rPr>
              <w:t xml:space="preserve">Legal</w:t>
            </w:r>
          </w:p>
        </w:tc>
        <w:tc>
          <w:tcPr>
            <w:tcW w:type="dxa" w:w="2600"/>
            <w:tcMar>
              <w:top w:type="dxa" w:w="80"/>
              <w:left w:type="dxa" w:w="100"/>
              <w:bottom w:type="dxa" w:w="80"/>
              <w:right w:type="dxa" w:w="100"/>
            </w:tcMar>
          </w:tcPr>
          <w:p>
            <w:pPr>
              <w:jc w:val="left"/>
            </w:pPr>
            <w:r>
              <w:rPr>
                <w:b w:val="false"/>
                <w:bCs w:val="false"/>
                <w:color w:val="222222"/>
                <w:sz w:val="19"/>
                <w:szCs w:val="19"/>
              </w:rPr>
              <w:t xml:space="preserve">Existing USPTO marks (NESTFULLY, NESTAVA) found in adjacent use</w:t>
            </w:r>
          </w:p>
        </w:tc>
      </w:tr>
      <w:tr>
        <w:tc>
          <w:tcPr>
            <w:tcW w:type="dxa" w:w="1200"/>
            <w:tcMar>
              <w:top w:type="dxa" w:w="80"/>
              <w:left w:type="dxa" w:w="100"/>
              <w:bottom w:type="dxa" w:w="80"/>
              <w:right w:type="dxa" w:w="100"/>
            </w:tcMar>
          </w:tcPr>
          <w:p>
            <w:pPr>
              <w:jc w:val="left"/>
            </w:pPr>
            <w:r>
              <w:rPr>
                <w:b/>
                <w:bCs/>
                <w:color w:val="8A6D15"/>
                <w:sz w:val="19"/>
                <w:szCs w:val="19"/>
              </w:rPr>
              <w:t xml:space="preserve">Medium</w:t>
            </w:r>
          </w:p>
        </w:tc>
        <w:tc>
          <w:tcPr>
            <w:tcW w:type="dxa" w:w="4680"/>
            <w:tcMar>
              <w:top w:type="dxa" w:w="80"/>
              <w:left w:type="dxa" w:w="100"/>
              <w:bottom w:type="dxa" w:w="80"/>
              <w:right w:type="dxa" w:w="100"/>
            </w:tcMar>
          </w:tcPr>
          <w:p>
            <w:pPr>
              <w:jc w:val="left"/>
            </w:pPr>
            <w:r>
              <w:rPr>
                <w:b w:val="false"/>
                <w:bCs w:val="false"/>
                <w:color w:val="222222"/>
                <w:sz w:val="19"/>
                <w:szCs w:val="19"/>
              </w:rPr>
              <w:t xml:space="preserve">Nestful+ payment processing (Stripe / App Store / Play Billing)</w:t>
            </w:r>
          </w:p>
        </w:tc>
        <w:tc>
          <w:tcPr>
            <w:tcW w:type="dxa" w:w="1600"/>
            <w:tcMar>
              <w:top w:type="dxa" w:w="80"/>
              <w:left w:type="dxa" w:w="100"/>
              <w:bottom w:type="dxa" w:w="80"/>
              <w:right w:type="dxa" w:w="100"/>
            </w:tcMar>
          </w:tcPr>
          <w:p>
            <w:pPr>
              <w:jc w:val="left"/>
            </w:pPr>
            <w:r>
              <w:rPr>
                <w:b w:val="false"/>
                <w:bCs w:val="false"/>
                <w:color w:val="222222"/>
                <w:sz w:val="19"/>
                <w:szCs w:val="19"/>
              </w:rPr>
              <w:t xml:space="preserve">Monetization</w:t>
            </w:r>
          </w:p>
        </w:tc>
        <w:tc>
          <w:tcPr>
            <w:tcW w:type="dxa" w:w="2600"/>
            <w:tcMar>
              <w:top w:type="dxa" w:w="80"/>
              <w:left w:type="dxa" w:w="100"/>
              <w:bottom w:type="dxa" w:w="80"/>
              <w:right w:type="dxa" w:w="100"/>
            </w:tcMar>
          </w:tcPr>
          <w:p>
            <w:pPr>
              <w:jc w:val="left"/>
            </w:pPr>
            <w:r>
              <w:rPr>
                <w:b w:val="false"/>
                <w:bCs w:val="false"/>
                <w:color w:val="222222"/>
                <w:sz w:val="19"/>
                <w:szCs w:val="19"/>
              </w:rPr>
              <w:t xml:space="preserve">Unlocks the built-but-disabled upgrade funnel</w:t>
            </w:r>
          </w:p>
        </w:tc>
      </w:tr>
      <w:tr>
        <w:tc>
          <w:tcPr>
            <w:tcW w:type="dxa" w:w="1200"/>
            <w:tcMar>
              <w:top w:type="dxa" w:w="80"/>
              <w:left w:type="dxa" w:w="100"/>
              <w:bottom w:type="dxa" w:w="80"/>
              <w:right w:type="dxa" w:w="100"/>
            </w:tcMar>
          </w:tcPr>
          <w:p>
            <w:pPr>
              <w:jc w:val="left"/>
            </w:pPr>
            <w:r>
              <w:rPr>
                <w:b/>
                <w:bCs/>
                <w:color w:val="8A6D15"/>
                <w:sz w:val="19"/>
                <w:szCs w:val="19"/>
              </w:rPr>
              <w:t xml:space="preserve">Medium</w:t>
            </w:r>
          </w:p>
        </w:tc>
        <w:tc>
          <w:tcPr>
            <w:tcW w:type="dxa" w:w="4680"/>
            <w:tcMar>
              <w:top w:type="dxa" w:w="80"/>
              <w:left w:type="dxa" w:w="100"/>
              <w:bottom w:type="dxa" w:w="80"/>
              <w:right w:type="dxa" w:w="100"/>
            </w:tcMar>
          </w:tcPr>
          <w:p>
            <w:pPr>
              <w:jc w:val="left"/>
            </w:pPr>
            <w:r>
              <w:rPr>
                <w:b w:val="false"/>
                <w:bCs w:val="false"/>
                <w:color w:val="222222"/>
                <w:sz w:val="19"/>
                <w:szCs w:val="19"/>
              </w:rPr>
              <w:t xml:space="preserve">Founder admin dashboard rebuild (real member list)</w:t>
            </w:r>
          </w:p>
        </w:tc>
        <w:tc>
          <w:tcPr>
            <w:tcW w:type="dxa" w:w="1600"/>
            <w:tcMar>
              <w:top w:type="dxa" w:w="80"/>
              <w:left w:type="dxa" w:w="100"/>
              <w:bottom w:type="dxa" w:w="80"/>
              <w:right w:type="dxa" w:w="100"/>
            </w:tcMar>
          </w:tcPr>
          <w:p>
            <w:pPr>
              <w:jc w:val="left"/>
            </w:pPr>
            <w:r>
              <w:rPr>
                <w:b w:val="false"/>
                <w:bCs w:val="false"/>
                <w:color w:val="222222"/>
                <w:sz w:val="19"/>
                <w:szCs w:val="19"/>
              </w:rPr>
              <w:t xml:space="preserve">Ops</w:t>
            </w:r>
          </w:p>
        </w:tc>
        <w:tc>
          <w:tcPr>
            <w:tcW w:type="dxa" w:w="2600"/>
            <w:tcMar>
              <w:top w:type="dxa" w:w="80"/>
              <w:left w:type="dxa" w:w="100"/>
              <w:bottom w:type="dxa" w:w="80"/>
              <w:right w:type="dxa" w:w="100"/>
            </w:tcMar>
          </w:tcPr>
          <w:p>
            <w:pPr>
              <w:jc w:val="left"/>
            </w:pPr>
            <w:r>
              <w:rPr>
                <w:b w:val="false"/>
                <w:bCs w:val="false"/>
                <w:color w:val="222222"/>
                <w:sz w:val="19"/>
                <w:szCs w:val="19"/>
              </w:rPr>
              <w:t xml:space="preserve">Needs a read-only Edge Function using the service-role key</w:t>
            </w:r>
          </w:p>
        </w:tc>
      </w:tr>
      <w:tr>
        <w:tc>
          <w:tcPr>
            <w:tcW w:type="dxa" w:w="1200"/>
            <w:tcMar>
              <w:top w:type="dxa" w:w="80"/>
              <w:left w:type="dxa" w:w="100"/>
              <w:bottom w:type="dxa" w:w="80"/>
              <w:right w:type="dxa" w:w="100"/>
            </w:tcMar>
          </w:tcPr>
          <w:p>
            <w:pPr>
              <w:jc w:val="left"/>
            </w:pPr>
            <w:r>
              <w:rPr>
                <w:b/>
                <w:bCs/>
                <w:color w:val="8A6D15"/>
                <w:sz w:val="19"/>
                <w:szCs w:val="19"/>
              </w:rPr>
              <w:t xml:space="preserve">Medium</w:t>
            </w:r>
          </w:p>
        </w:tc>
        <w:tc>
          <w:tcPr>
            <w:tcW w:type="dxa" w:w="4680"/>
            <w:tcMar>
              <w:top w:type="dxa" w:w="80"/>
              <w:left w:type="dxa" w:w="100"/>
              <w:bottom w:type="dxa" w:w="80"/>
              <w:right w:type="dxa" w:w="100"/>
            </w:tcMar>
          </w:tcPr>
          <w:p>
            <w:pPr>
              <w:jc w:val="left"/>
            </w:pPr>
            <w:r>
              <w:rPr>
                <w:b w:val="false"/>
                <w:bCs w:val="false"/>
                <w:color w:val="222222"/>
                <w:sz w:val="19"/>
                <w:szCs w:val="19"/>
              </w:rPr>
              <w:t xml:space="preserve">Move photo storage to Supabase Storage bucket</w:t>
            </w:r>
          </w:p>
        </w:tc>
        <w:tc>
          <w:tcPr>
            <w:tcW w:type="dxa" w:w="1600"/>
            <w:tcMar>
              <w:top w:type="dxa" w:w="80"/>
              <w:left w:type="dxa" w:w="100"/>
              <w:bottom w:type="dxa" w:w="80"/>
              <w:right w:type="dxa" w:w="100"/>
            </w:tcMar>
          </w:tcPr>
          <w:p>
            <w:pPr>
              <w:jc w:val="left"/>
            </w:pPr>
            <w:r>
              <w:rPr>
                <w:b w:val="false"/>
                <w:bCs w:val="false"/>
                <w:color w:val="222222"/>
                <w:sz w:val="19"/>
                <w:szCs w:val="19"/>
              </w:rPr>
              <w:t xml:space="preserve">Technical</w:t>
            </w:r>
          </w:p>
        </w:tc>
        <w:tc>
          <w:tcPr>
            <w:tcW w:type="dxa" w:w="2600"/>
            <w:tcMar>
              <w:top w:type="dxa" w:w="80"/>
              <w:left w:type="dxa" w:w="100"/>
              <w:bottom w:type="dxa" w:w="80"/>
              <w:right w:type="dxa" w:w="100"/>
            </w:tcMar>
          </w:tcPr>
          <w:p>
            <w:pPr>
              <w:jc w:val="left"/>
            </w:pPr>
            <w:r>
              <w:rPr>
                <w:b w:val="false"/>
                <w:bCs w:val="false"/>
                <w:color w:val="222222"/>
                <w:sz w:val="19"/>
                <w:szCs w:val="19"/>
              </w:rPr>
              <w:t xml:space="preserve">Bucket already created; smaller payloads, faster loads than base64</w:t>
            </w:r>
          </w:p>
        </w:tc>
      </w:tr>
      <w:tr>
        <w:tc>
          <w:tcPr>
            <w:tcW w:type="dxa" w:w="1200"/>
            <w:tcMar>
              <w:top w:type="dxa" w:w="80"/>
              <w:left w:type="dxa" w:w="100"/>
              <w:bottom w:type="dxa" w:w="80"/>
              <w:right w:type="dxa" w:w="100"/>
            </w:tcMar>
          </w:tcPr>
          <w:p>
            <w:pPr>
              <w:jc w:val="left"/>
            </w:pPr>
            <w:r>
              <w:rPr>
                <w:b/>
                <w:bCs/>
                <w:color w:val="8A6D15"/>
                <w:sz w:val="19"/>
                <w:szCs w:val="19"/>
              </w:rPr>
              <w:t xml:space="preserve">Medium</w:t>
            </w:r>
          </w:p>
        </w:tc>
        <w:tc>
          <w:tcPr>
            <w:tcW w:type="dxa" w:w="4680"/>
            <w:tcMar>
              <w:top w:type="dxa" w:w="80"/>
              <w:left w:type="dxa" w:w="100"/>
              <w:bottom w:type="dxa" w:w="80"/>
              <w:right w:type="dxa" w:w="100"/>
            </w:tcMar>
          </w:tcPr>
          <w:p>
            <w:pPr>
              <w:jc w:val="left"/>
            </w:pPr>
            <w:r>
              <w:rPr>
                <w:b w:val="false"/>
                <w:bCs w:val="false"/>
                <w:color w:val="222222"/>
                <w:sz w:val="19"/>
                <w:szCs w:val="19"/>
              </w:rPr>
              <w:t xml:space="preserve">DMCA agent registration with the U.S. Copyright Office</w:t>
            </w:r>
          </w:p>
        </w:tc>
        <w:tc>
          <w:tcPr>
            <w:tcW w:type="dxa" w:w="1600"/>
            <w:tcMar>
              <w:top w:type="dxa" w:w="80"/>
              <w:left w:type="dxa" w:w="100"/>
              <w:bottom w:type="dxa" w:w="80"/>
              <w:right w:type="dxa" w:w="100"/>
            </w:tcMar>
          </w:tcPr>
          <w:p>
            <w:pPr>
              <w:jc w:val="left"/>
            </w:pPr>
            <w:r>
              <w:rPr>
                <w:b w:val="false"/>
                <w:bCs w:val="false"/>
                <w:color w:val="222222"/>
                <w:sz w:val="19"/>
                <w:szCs w:val="19"/>
              </w:rPr>
              <w:t xml:space="preserve">Legal</w:t>
            </w:r>
          </w:p>
        </w:tc>
        <w:tc>
          <w:tcPr>
            <w:tcW w:type="dxa" w:w="2600"/>
            <w:tcMar>
              <w:top w:type="dxa" w:w="80"/>
              <w:left w:type="dxa" w:w="100"/>
              <w:bottom w:type="dxa" w:w="80"/>
              <w:right w:type="dxa" w:w="100"/>
            </w:tcMar>
          </w:tcPr>
          <w:p>
            <w:pPr>
              <w:jc w:val="left"/>
            </w:pPr>
            <w:r>
              <w:rPr>
                <w:b w:val="false"/>
                <w:bCs w:val="false"/>
                <w:color w:val="222222"/>
                <w:sz w:val="19"/>
                <w:szCs w:val="19"/>
              </w:rPr>
              <w:t xml:space="preserve">Required before relying on Section 230/DMCA safe-harbor positioning</w:t>
            </w:r>
          </w:p>
        </w:tc>
      </w:tr>
      <w:tr>
        <w:tc>
          <w:tcPr>
            <w:tcW w:type="dxa" w:w="1200"/>
            <w:tcMar>
              <w:top w:type="dxa" w:w="80"/>
              <w:left w:type="dxa" w:w="100"/>
              <w:bottom w:type="dxa" w:w="80"/>
              <w:right w:type="dxa" w:w="100"/>
            </w:tcMar>
          </w:tcPr>
          <w:p>
            <w:pPr>
              <w:jc w:val="left"/>
            </w:pPr>
            <w:r>
              <w:rPr>
                <w:b/>
                <w:bCs/>
                <w:color w:val="5876A3"/>
                <w:sz w:val="19"/>
                <w:szCs w:val="19"/>
              </w:rPr>
              <w:t xml:space="preserve">Low</w:t>
            </w:r>
          </w:p>
        </w:tc>
        <w:tc>
          <w:tcPr>
            <w:tcW w:type="dxa" w:w="4680"/>
            <w:tcMar>
              <w:top w:type="dxa" w:w="80"/>
              <w:left w:type="dxa" w:w="100"/>
              <w:bottom w:type="dxa" w:w="80"/>
              <w:right w:type="dxa" w:w="100"/>
            </w:tcMar>
          </w:tcPr>
          <w:p>
            <w:pPr>
              <w:jc w:val="left"/>
            </w:pPr>
            <w:r>
              <w:rPr>
                <w:b w:val="false"/>
                <w:bCs w:val="false"/>
                <w:color w:val="222222"/>
                <w:sz w:val="19"/>
                <w:szCs w:val="19"/>
              </w:rPr>
              <w:t xml:space="preserve">Paste branded HTML into Supabase’s password-reset template</w:t>
            </w:r>
          </w:p>
        </w:tc>
        <w:tc>
          <w:tcPr>
            <w:tcW w:type="dxa" w:w="1600"/>
            <w:tcMar>
              <w:top w:type="dxa" w:w="80"/>
              <w:left w:type="dxa" w:w="100"/>
              <w:bottom w:type="dxa" w:w="80"/>
              <w:right w:type="dxa" w:w="100"/>
            </w:tcMar>
          </w:tcPr>
          <w:p>
            <w:pPr>
              <w:jc w:val="left"/>
            </w:pPr>
            <w:r>
              <w:rPr>
                <w:b w:val="false"/>
                <w:bCs w:val="false"/>
                <w:color w:val="222222"/>
                <w:sz w:val="19"/>
                <w:szCs w:val="19"/>
              </w:rPr>
              <w:t xml:space="preserve">Polish</w:t>
            </w:r>
          </w:p>
        </w:tc>
        <w:tc>
          <w:tcPr>
            <w:tcW w:type="dxa" w:w="2600"/>
            <w:tcMar>
              <w:top w:type="dxa" w:w="80"/>
              <w:left w:type="dxa" w:w="100"/>
              <w:bottom w:type="dxa" w:w="80"/>
              <w:right w:type="dxa" w:w="100"/>
            </w:tcMar>
          </w:tcPr>
          <w:p>
            <w:pPr>
              <w:jc w:val="left"/>
            </w:pPr>
            <w:r>
              <w:rPr>
                <w:b w:val="false"/>
                <w:bCs w:val="false"/>
                <w:color w:val="222222"/>
                <w:sz w:val="19"/>
                <w:szCs w:val="19"/>
              </w:rPr>
              <w:t xml:space="preserve">Email already works; just uses Supabase’s default styling today</w:t>
            </w:r>
          </w:p>
        </w:tc>
      </w:tr>
      <w:tr>
        <w:tc>
          <w:tcPr>
            <w:tcW w:type="dxa" w:w="1200"/>
            <w:tcMar>
              <w:top w:type="dxa" w:w="80"/>
              <w:left w:type="dxa" w:w="100"/>
              <w:bottom w:type="dxa" w:w="80"/>
              <w:right w:type="dxa" w:w="100"/>
            </w:tcMar>
          </w:tcPr>
          <w:p>
            <w:pPr>
              <w:jc w:val="left"/>
            </w:pPr>
            <w:r>
              <w:rPr>
                <w:b/>
                <w:bCs/>
                <w:color w:val="5876A3"/>
                <w:sz w:val="19"/>
                <w:szCs w:val="19"/>
              </w:rPr>
              <w:t xml:space="preserve">Low</w:t>
            </w:r>
          </w:p>
        </w:tc>
        <w:tc>
          <w:tcPr>
            <w:tcW w:type="dxa" w:w="4680"/>
            <w:tcMar>
              <w:top w:type="dxa" w:w="80"/>
              <w:left w:type="dxa" w:w="100"/>
              <w:bottom w:type="dxa" w:w="80"/>
              <w:right w:type="dxa" w:w="100"/>
            </w:tcMar>
          </w:tcPr>
          <w:p>
            <w:pPr>
              <w:jc w:val="left"/>
            </w:pPr>
            <w:r>
              <w:rPr>
                <w:b w:val="false"/>
                <w:bCs w:val="false"/>
                <w:color w:val="222222"/>
                <w:sz w:val="19"/>
                <w:szCs w:val="19"/>
              </w:rPr>
              <w:t xml:space="preserve">Move support@nestful-pw.txt secrets into a password manager</w:t>
            </w:r>
          </w:p>
        </w:tc>
        <w:tc>
          <w:tcPr>
            <w:tcW w:type="dxa" w:w="1600"/>
            <w:tcMar>
              <w:top w:type="dxa" w:w="80"/>
              <w:left w:type="dxa" w:w="100"/>
              <w:bottom w:type="dxa" w:w="80"/>
              <w:right w:type="dxa" w:w="100"/>
            </w:tcMar>
          </w:tcPr>
          <w:p>
            <w:pPr>
              <w:jc w:val="left"/>
            </w:pPr>
            <w:r>
              <w:rPr>
                <w:b w:val="false"/>
                <w:bCs w:val="false"/>
                <w:color w:val="222222"/>
                <w:sz w:val="19"/>
                <w:szCs w:val="19"/>
              </w:rPr>
              <w:t xml:space="preserve">Security</w:t>
            </w:r>
          </w:p>
        </w:tc>
        <w:tc>
          <w:tcPr>
            <w:tcW w:type="dxa" w:w="2600"/>
            <w:tcMar>
              <w:top w:type="dxa" w:w="80"/>
              <w:left w:type="dxa" w:w="100"/>
              <w:bottom w:type="dxa" w:w="80"/>
              <w:right w:type="dxa" w:w="100"/>
            </w:tcMar>
          </w:tcPr>
          <w:p>
            <w:pPr>
              <w:jc w:val="left"/>
            </w:pPr>
            <w:r>
              <w:rPr>
                <w:b w:val="false"/>
                <w:bCs w:val="false"/>
                <w:color w:val="222222"/>
                <w:sz w:val="19"/>
                <w:szCs w:val="19"/>
              </w:rPr>
              <w:t xml:space="preserve">Currently a local file excluded from git, but still plaintext on disk</w:t>
            </w:r>
          </w:p>
        </w:tc>
      </w:tr>
      <w:tr>
        <w:tc>
          <w:tcPr>
            <w:tcW w:type="dxa" w:w="1200"/>
            <w:tcMar>
              <w:top w:type="dxa" w:w="80"/>
              <w:left w:type="dxa" w:w="100"/>
              <w:bottom w:type="dxa" w:w="80"/>
              <w:right w:type="dxa" w:w="100"/>
            </w:tcMar>
          </w:tcPr>
          <w:p>
            <w:pPr>
              <w:jc w:val="left"/>
            </w:pPr>
            <w:r>
              <w:rPr>
                <w:b/>
                <w:bCs/>
                <w:color w:val="5876A3"/>
                <w:sz w:val="19"/>
                <w:szCs w:val="19"/>
              </w:rPr>
              <w:t xml:space="preserve">Low</w:t>
            </w:r>
          </w:p>
        </w:tc>
        <w:tc>
          <w:tcPr>
            <w:tcW w:type="dxa" w:w="4680"/>
            <w:tcMar>
              <w:top w:type="dxa" w:w="80"/>
              <w:left w:type="dxa" w:w="100"/>
              <w:bottom w:type="dxa" w:w="80"/>
              <w:right w:type="dxa" w:w="100"/>
            </w:tcMar>
          </w:tcPr>
          <w:p>
            <w:pPr>
              <w:jc w:val="left"/>
            </w:pPr>
            <w:r>
              <w:rPr>
                <w:b w:val="false"/>
                <w:bCs w:val="false"/>
                <w:color w:val="222222"/>
                <w:sz w:val="19"/>
                <w:szCs w:val="19"/>
              </w:rPr>
              <w:t xml:space="preserve">Rate-limiting / CAPTCHA on public-facing functions</w:t>
            </w:r>
          </w:p>
        </w:tc>
        <w:tc>
          <w:tcPr>
            <w:tcW w:type="dxa" w:w="1600"/>
            <w:tcMar>
              <w:top w:type="dxa" w:w="80"/>
              <w:left w:type="dxa" w:w="100"/>
              <w:bottom w:type="dxa" w:w="80"/>
              <w:right w:type="dxa" w:w="100"/>
            </w:tcMar>
          </w:tcPr>
          <w:p>
            <w:pPr>
              <w:jc w:val="left"/>
            </w:pPr>
            <w:r>
              <w:rPr>
                <w:b w:val="false"/>
                <w:bCs w:val="false"/>
                <w:color w:val="222222"/>
                <w:sz w:val="19"/>
                <w:szCs w:val="19"/>
              </w:rPr>
              <w:t xml:space="preserve">Security</w:t>
            </w:r>
          </w:p>
        </w:tc>
        <w:tc>
          <w:tcPr>
            <w:tcW w:type="dxa" w:w="2600"/>
            <w:tcMar>
              <w:top w:type="dxa" w:w="80"/>
              <w:left w:type="dxa" w:w="100"/>
              <w:bottom w:type="dxa" w:w="80"/>
              <w:right w:type="dxa" w:w="100"/>
            </w:tcMar>
          </w:tcPr>
          <w:p>
            <w:pPr>
              <w:jc w:val="left"/>
            </w:pPr>
            <w:r>
              <w:rPr>
                <w:b w:val="false"/>
                <w:bCs w:val="false"/>
                <w:color w:val="222222"/>
                <w:sz w:val="19"/>
                <w:szCs w:val="19"/>
              </w:rPr>
              <w:t xml:space="preserve">Current abuse guards are casual deterrents, not hard boundaries</w:t>
            </w:r>
          </w:p>
        </w:tc>
      </w:tr>
      <w:tr>
        <w:tc>
          <w:tcPr>
            <w:tcW w:type="dxa" w:w="1200"/>
            <w:tcMar>
              <w:top w:type="dxa" w:w="80"/>
              <w:left w:type="dxa" w:w="100"/>
              <w:bottom w:type="dxa" w:w="80"/>
              <w:right w:type="dxa" w:w="100"/>
            </w:tcMar>
          </w:tcPr>
          <w:p>
            <w:pPr>
              <w:jc w:val="left"/>
            </w:pPr>
            <w:r>
              <w:rPr>
                <w:b/>
                <w:bCs/>
                <w:color w:val="5876A3"/>
                <w:sz w:val="19"/>
                <w:szCs w:val="19"/>
              </w:rPr>
              <w:t xml:space="preserve">Low</w:t>
            </w:r>
          </w:p>
        </w:tc>
        <w:tc>
          <w:tcPr>
            <w:tcW w:type="dxa" w:w="4680"/>
            <w:tcMar>
              <w:top w:type="dxa" w:w="80"/>
              <w:left w:type="dxa" w:w="100"/>
              <w:bottom w:type="dxa" w:w="80"/>
              <w:right w:type="dxa" w:w="100"/>
            </w:tcMar>
          </w:tcPr>
          <w:p>
            <w:pPr>
              <w:jc w:val="left"/>
            </w:pPr>
            <w:r>
              <w:rPr>
                <w:b w:val="false"/>
                <w:bCs w:val="false"/>
                <w:color w:val="222222"/>
                <w:sz w:val="19"/>
                <w:szCs w:val="19"/>
              </w:rPr>
              <w:t xml:space="preserve">Native iOS / Android via a Capacitor wrapper</w:t>
            </w:r>
          </w:p>
        </w:tc>
        <w:tc>
          <w:tcPr>
            <w:tcW w:type="dxa" w:w="1600"/>
            <w:tcMar>
              <w:top w:type="dxa" w:w="80"/>
              <w:left w:type="dxa" w:w="100"/>
              <w:bottom w:type="dxa" w:w="80"/>
              <w:right w:type="dxa" w:w="100"/>
            </w:tcMar>
          </w:tcPr>
          <w:p>
            <w:pPr>
              <w:jc w:val="left"/>
            </w:pPr>
            <w:r>
              <w:rPr>
                <w:b w:val="false"/>
                <w:bCs w:val="false"/>
                <w:color w:val="222222"/>
                <w:sz w:val="19"/>
                <w:szCs w:val="19"/>
              </w:rPr>
              <w:t xml:space="preserve">Product</w:t>
            </w:r>
          </w:p>
        </w:tc>
        <w:tc>
          <w:tcPr>
            <w:tcW w:type="dxa" w:w="2600"/>
            <w:tcMar>
              <w:top w:type="dxa" w:w="80"/>
              <w:left w:type="dxa" w:w="100"/>
              <w:bottom w:type="dxa" w:w="80"/>
              <w:right w:type="dxa" w:w="100"/>
            </w:tcMar>
          </w:tcPr>
          <w:p>
            <w:pPr>
              <w:jc w:val="left"/>
            </w:pPr>
            <w:r>
              <w:rPr>
                <w:b w:val="false"/>
                <w:bCs w:val="false"/>
                <w:color w:val="222222"/>
                <w:sz w:val="19"/>
                <w:szCs w:val="19"/>
              </w:rPr>
              <w:t xml:space="preserve">Reuses the existing codebase; PWA-first approach already in place</w:t>
            </w:r>
          </w:p>
        </w:tc>
      </w:tr>
      <w:tr>
        <w:tc>
          <w:tcPr>
            <w:tcW w:type="dxa" w:w="1200"/>
            <w:tcMar>
              <w:top w:type="dxa" w:w="80"/>
              <w:left w:type="dxa" w:w="100"/>
              <w:bottom w:type="dxa" w:w="80"/>
              <w:right w:type="dxa" w:w="100"/>
            </w:tcMar>
          </w:tcPr>
          <w:p>
            <w:pPr>
              <w:jc w:val="left"/>
            </w:pPr>
            <w:r>
              <w:rPr>
                <w:b/>
                <w:bCs/>
                <w:color w:val="5876A3"/>
                <w:sz w:val="19"/>
                <w:szCs w:val="19"/>
              </w:rPr>
              <w:t xml:space="preserve">Low</w:t>
            </w:r>
          </w:p>
        </w:tc>
        <w:tc>
          <w:tcPr>
            <w:tcW w:type="dxa" w:w="4680"/>
            <w:tcMar>
              <w:top w:type="dxa" w:w="80"/>
              <w:left w:type="dxa" w:w="100"/>
              <w:bottom w:type="dxa" w:w="80"/>
              <w:right w:type="dxa" w:w="100"/>
            </w:tcMar>
          </w:tcPr>
          <w:p>
            <w:pPr>
              <w:jc w:val="left"/>
            </w:pPr>
            <w:r>
              <w:rPr>
                <w:b w:val="false"/>
                <w:bCs w:val="false"/>
                <w:color w:val="222222"/>
                <w:sz w:val="19"/>
                <w:szCs w:val="19"/>
              </w:rPr>
              <w:t xml:space="preserve">Privacy-respecting analytics (e.g. Plausible)</w:t>
            </w:r>
          </w:p>
        </w:tc>
        <w:tc>
          <w:tcPr>
            <w:tcW w:type="dxa" w:w="1600"/>
            <w:tcMar>
              <w:top w:type="dxa" w:w="80"/>
              <w:left w:type="dxa" w:w="100"/>
              <w:bottom w:type="dxa" w:w="80"/>
              <w:right w:type="dxa" w:w="100"/>
            </w:tcMar>
          </w:tcPr>
          <w:p>
            <w:pPr>
              <w:jc w:val="left"/>
            </w:pPr>
            <w:r>
              <w:rPr>
                <w:b w:val="false"/>
                <w:bCs w:val="false"/>
                <w:color w:val="222222"/>
                <w:sz w:val="19"/>
                <w:szCs w:val="19"/>
              </w:rPr>
              <w:t xml:space="preserve">Ops</w:t>
            </w:r>
          </w:p>
        </w:tc>
        <w:tc>
          <w:tcPr>
            <w:tcW w:type="dxa" w:w="2600"/>
            <w:tcMar>
              <w:top w:type="dxa" w:w="80"/>
              <w:left w:type="dxa" w:w="100"/>
              <w:bottom w:type="dxa" w:w="80"/>
              <w:right w:type="dxa" w:w="100"/>
            </w:tcMar>
          </w:tcPr>
          <w:p>
            <w:pPr>
              <w:jc w:val="left"/>
            </w:pPr>
            <w:r>
              <w:rPr>
                <w:b w:val="false"/>
                <w:bCs w:val="false"/>
                <w:color w:val="222222"/>
                <w:sz w:val="19"/>
                <w:szCs w:val="19"/>
              </w:rPr>
              <w:t xml:space="preserve">No usage analytics installed yet</w:t>
            </w:r>
          </w:p>
        </w:tc>
      </w:tr>
    </w:tbl>
    <w:p>
      <w:pPr>
        <w:pStyle w:val="Heading1"/>
        <w:spacing w:after="200" w:before="400"/>
      </w:pPr>
      <w:r>
        <w:rPr>
          <w:b/>
          <w:bCs/>
          <w:color w:val="1D3557"/>
        </w:rPr>
        <w:t xml:space="preserve">9. Appendix — Key Locations</w:t>
      </w:r>
    </w:p>
    <w:p>
      <w:pPr>
        <w:pStyle w:val="Heading2"/>
        <w:spacing w:after="140" w:before="280"/>
      </w:pPr>
      <w:r>
        <w:rPr>
          <w:b/>
          <w:bCs/>
          <w:color w:val="00707D"/>
        </w:rPr>
        <w:t xml:space="preserve">9.1 Repository Layout</w:t>
      </w:r>
    </w:p>
    <w:p>
      <w:pPr>
        <w:pStyle w:val="ListParagraph"/>
        <w:numPr>
          <w:ilvl w:val="0"/>
          <w:numId w:val="2"/>
        </w:numPr>
        <w:spacing w:after="80" w:line="280"/>
      </w:pPr>
      <w:r>
        <w:rPr>
          <w:sz w:val="21"/>
          <w:szCs w:val="21"/>
        </w:rPr>
        <w:t xml:space="preserve">app/ — the entire live application (Netlify’s publish directory for both sites).</w:t>
      </w:r>
    </w:p>
    <w:p>
      <w:pPr>
        <w:pStyle w:val="ListParagraph"/>
        <w:numPr>
          <w:ilvl w:val="0"/>
          <w:numId w:val="2"/>
        </w:numPr>
        <w:spacing w:after="80" w:line="280"/>
      </w:pPr>
      <w:r>
        <w:rPr>
          <w:sz w:val="21"/>
          <w:szCs w:val="21"/>
        </w:rPr>
        <w:t xml:space="preserve">backend/ — schema.sql, SETUP.md (the click-by-click setup guide), and edge-functions/ source.</w:t>
      </w:r>
    </w:p>
    <w:p>
      <w:pPr>
        <w:pStyle w:val="ListParagraph"/>
        <w:numPr>
          <w:ilvl w:val="0"/>
          <w:numId w:val="2"/>
        </w:numPr>
        <w:spacing w:after="80" w:line="280"/>
      </w:pPr>
      <w:r>
        <w:rPr>
          <w:sz w:val="21"/>
          <w:szCs w:val="21"/>
        </w:rPr>
        <w:t xml:space="preserve">netlify/functions/ — the send-email.js serverless function.</w:t>
      </w:r>
    </w:p>
    <w:p>
      <w:pPr>
        <w:pStyle w:val="ListParagraph"/>
        <w:numPr>
          <w:ilvl w:val="0"/>
          <w:numId w:val="2"/>
        </w:numPr>
        <w:spacing w:after="80" w:line="280"/>
      </w:pPr>
      <w:r>
        <w:rPr>
          <w:sz w:val="21"/>
          <w:szCs w:val="21"/>
        </w:rPr>
        <w:t xml:space="preserve">legal/ — full Terms &amp; Conditions and Privacy Policy drafts.</w:t>
      </w:r>
    </w:p>
    <w:p>
      <w:pPr>
        <w:pStyle w:val="ListParagraph"/>
        <w:numPr>
          <w:ilvl w:val="0"/>
          <w:numId w:val="2"/>
        </w:numPr>
        <w:spacing w:after="80" w:line="280"/>
      </w:pPr>
      <w:r>
        <w:rPr>
          <w:sz w:val="21"/>
          <w:szCs w:val="21"/>
        </w:rPr>
        <w:t xml:space="preserve">business-plan.md — the original business plan document.</w:t>
      </w:r>
    </w:p>
    <w:p>
      <w:pPr>
        <w:pStyle w:val="ListParagraph"/>
        <w:numPr>
          <w:ilvl w:val="0"/>
          <w:numId w:val="2"/>
        </w:numPr>
        <w:spacing w:after="80" w:line="280"/>
      </w:pPr>
      <w:r>
        <w:rPr>
          <w:sz w:val="21"/>
          <w:szCs w:val="21"/>
        </w:rPr>
        <w:t xml:space="preserve">netlify.toml — deployment configuration (publish directory, functions directory).</w:t>
      </w:r>
    </w:p>
    <w:p>
      <w:pPr>
        <w:pStyle w:val="Heading2"/>
        <w:spacing w:after="140" w:before="280"/>
      </w:pPr>
      <w:r>
        <w:rPr>
          <w:b/>
          <w:bCs/>
          <w:color w:val="00707D"/>
        </w:rPr>
        <w:t xml:space="preserve">9.2 Running It Locally</w:t>
      </w:r>
    </w:p>
    <w:p>
      <w:pPr>
        <w:spacing w:after="160" w:line="300"/>
      </w:pPr>
      <w:r>
        <w:rPr>
          <w:color w:val="222222"/>
          <w:sz w:val="21"/>
          <w:szCs w:val="21"/>
        </w:rPr>
        <w:t xml:space="preserve">From the app/ folder: npx http-server . -p 4517 -c-1, then open http://localhost:4517. Local development always uses the staging Supabase project, never production.</w:t>
      </w:r>
    </w:p>
    <w:p>
      <w:pPr>
        <w:pStyle w:val="Heading2"/>
        <w:spacing w:after="140" w:before="280"/>
      </w:pPr>
      <w:r>
        <w:rPr>
          <w:b/>
          <w:bCs/>
          <w:color w:val="00707D"/>
        </w:rPr>
        <w:t xml:space="preserve">9.3 Founder Access Points</w:t>
      </w:r>
    </w:p>
    <w:p>
      <w:pPr>
        <w:pStyle w:val="ListParagraph"/>
        <w:numPr>
          <w:ilvl w:val="0"/>
          <w:numId w:val="2"/>
        </w:numPr>
        <w:spacing w:after="80" w:line="280"/>
      </w:pPr>
      <w:r>
        <w:rPr>
          <w:sz w:val="21"/>
          <w:szCs w:val="21"/>
        </w:rPr>
        <w:t xml:space="preserve">In-app founder dashboard: nestfulapp.com/#admin (notification log; a real member list requires the admin Edge Function noted in the Roadmap).</w:t>
      </w:r>
    </w:p>
    <w:p>
      <w:pPr>
        <w:pStyle w:val="ListParagraph"/>
        <w:numPr>
          <w:ilvl w:val="0"/>
          <w:numId w:val="2"/>
        </w:numPr>
        <w:spacing w:after="80" w:line="280"/>
      </w:pPr>
      <w:r>
        <w:rPr>
          <w:sz w:val="21"/>
          <w:szCs w:val="21"/>
        </w:rPr>
        <w:t xml:space="preserve">Supabase dashboards: separate logins for the production and staging projects, under j.robinson92188@gmail.com.</w:t>
      </w:r>
    </w:p>
    <w:p>
      <w:pPr>
        <w:pStyle w:val="ListParagraph"/>
        <w:numPr>
          <w:ilvl w:val="0"/>
          <w:numId w:val="2"/>
        </w:numPr>
        <w:spacing w:after="80" w:line="280"/>
      </w:pPr>
      <w:r>
        <w:rPr>
          <w:sz w:val="21"/>
          <w:szCs w:val="21"/>
        </w:rPr>
        <w:t xml:space="preserve">Netlify team: “Nestful,” two sites as described in Section 5.1.</w:t>
      </w:r>
    </w:p>
    <w:p>
      <w:pPr>
        <w:pStyle w:val="ListParagraph"/>
        <w:numPr>
          <w:ilvl w:val="0"/>
          <w:numId w:val="2"/>
        </w:numPr>
        <w:spacing w:after="80" w:line="280"/>
      </w:pPr>
      <w:r>
        <w:rPr>
          <w:sz w:val="21"/>
          <w:szCs w:val="21"/>
        </w:rPr>
        <w:t xml:space="preserve">Brevo: real-time email logs and statistics for every message sent.</w:t>
      </w:r>
    </w:p>
    <w:p>
      <w:pPr>
        <w:spacing w:before="400"/>
      </w:pPr>
    </w:p>
    <w:p>
      <w:pPr>
        <w:pBdr>
          <w:bottom w:val="single" w:color="D3E7EE" w:sz="6"/>
        </w:pBdr>
        <w:spacing w:after="120" w:before="120"/>
      </w:pPr>
    </w:p>
    <w:p>
      <w:pPr>
        <w:spacing w:after="160" w:line="300"/>
      </w:pPr>
      <w:r>
        <w:rPr>
          <w:i/>
          <w:iCs/>
          <w:color w:val="5876A3"/>
          <w:sz w:val="19"/>
          <w:szCs w:val="19"/>
        </w:rPr>
        <w:t xml:space="preserve">This is a living document. Update it as the project evolves — it is the reference for how Nestful is built, not a historical snapshot.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76A3"/>
        <w:sz w:val="16"/>
        <w:szCs w:val="16"/>
      </w:rPr>
      <w:t xml:space="preserve">Page </w:t>
    </w:r>
    <w:r>
      <w:rPr>
        <w:color w:val="5876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E7EE" w:sz="4"/>
      </w:pBdr>
      <w:spacing w:after="100"/>
      <w:jc w:val="right"/>
    </w:pPr>
    <w:r>
      <w:rPr>
        <w:color w:val="5876A3"/>
        <w:sz w:val="16"/>
        <w:szCs w:val="16"/>
      </w:rPr>
      <w:t xml:space="preserve">Nestful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2026-07-21T23:48:43.549Z</dcterms:created>
  <dcterms:modified xsi:type="dcterms:W3CDTF">2026-07-21T23:48:43.555Z</dcterms:modified>
</cp:coreProperties>
</file>

<file path=docProps/custom.xml><?xml version="1.0" encoding="utf-8"?>
<Properties xmlns="http://schemas.openxmlformats.org/officeDocument/2006/custom-properties" xmlns:vt="http://schemas.openxmlformats.org/officeDocument/2006/docPropsVTypes"/>
</file>