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32"/>
          <w:szCs w:val="32"/>
        </w:rPr>
        <w:t xml:space="preserve">Proyecto Integrador — Machine Learning I</w:t>
      </w:r>
    </w:p>
    <w:p>
      <w:pPr>
        <w:spacing w:before="200"/>
        <w:jc w:val="center"/>
      </w:pPr>
      <w:r>
        <w:rPr>
          <w:sz w:val="26"/>
          <w:szCs w:val="26"/>
        </w:rPr>
        <w:t xml:space="preserve">Respuesta a la retroalimentación de la Primera Entrega</w:t>
      </w:r>
    </w:p>
    <w:p>
      <w:pPr>
        <w:spacing w:after="600"/>
        <w:jc w:val="center"/>
      </w:pPr>
      <w:r>
        <w:rPr>
          <w:i/>
          <w:iCs/>
          <w:sz w:val="24"/>
          <w:szCs w:val="24"/>
        </w:rPr>
        <w:t xml:space="preserve">Cambios realizados antes de la Segunda Entrega</w:t>
      </w:r>
    </w:p>
    <w:p>
      <w:pPr>
        <w:spacing w:before="400"/>
        <w:jc w:val="center"/>
      </w:pPr>
      <w:r>
        <w:rPr>
          <w:b/>
          <w:bCs/>
          <w:sz w:val="28"/>
          <w:szCs w:val="28"/>
        </w:rPr>
        <w:t xml:space="preserve">Pronóstico de ventas de bienes de amoblamiento y hogar en Colombia</w:t>
      </w:r>
    </w:p>
    <w:p>
      <w:pPr>
        <w:spacing w:after="100" w:before="600"/>
        <w:jc w:val="center"/>
      </w:pPr>
      <w:r>
        <w:rPr>
          <w:b/>
          <w:bCs/>
          <w:sz w:val="22"/>
          <w:szCs w:val="22"/>
        </w:rPr>
        <w:t xml:space="preserve">Integrantes</w:t>
      </w:r>
    </w:p>
    <w:p>
      <w:pPr>
        <w:jc w:val="center"/>
      </w:pPr>
      <w:r>
        <w:rPr>
          <w:sz w:val="22"/>
          <w:szCs w:val="22"/>
        </w:rPr>
        <w:t xml:space="preserve">Juan Esteban Acosta Morales</w:t>
      </w:r>
    </w:p>
    <w:p>
      <w:pPr>
        <w:jc w:val="center"/>
      </w:pPr>
      <w:r>
        <w:rPr>
          <w:sz w:val="22"/>
          <w:szCs w:val="22"/>
        </w:rPr>
        <w:t xml:space="preserve">Julián Rodríguez</w:t>
      </w:r>
    </w:p>
    <w:p>
      <w:pPr>
        <w:jc w:val="center"/>
      </w:pPr>
      <w:r>
        <w:rPr>
          <w:sz w:val="22"/>
          <w:szCs w:val="22"/>
        </w:rPr>
        <w:t xml:space="preserve">Alejandra Cortés</w:t>
      </w:r>
    </w:p>
    <w:p>
      <w:pPr>
        <w:spacing w:before="600"/>
        <w:jc w:val="center"/>
      </w:pPr>
      <w:r>
        <w:rPr>
          <w:sz w:val="22"/>
          <w:szCs w:val="22"/>
        </w:rPr>
        <w:t xml:space="preserve">Machine Learning I — Ciencia de Datos</w:t>
      </w:r>
    </w:p>
    <w:p>
      <w:pPr>
        <w:jc w:val="center"/>
      </w:pPr>
      <w:r>
        <w:rPr>
          <w:sz w:val="22"/>
          <w:szCs w:val="22"/>
        </w:rPr>
        <w:t xml:space="preserve">Universidad Externado de Colombia</w:t>
      </w:r>
    </w:p>
    <w:p>
      <w:pPr>
        <w:jc w:val="center"/>
      </w:pPr>
      <w:r>
        <w:rPr>
          <w:sz w:val="22"/>
          <w:szCs w:val="22"/>
        </w:rPr>
        <w:t xml:space="preserve">2026</w:t>
      </w:r>
    </w:p>
    <w:p>
      <w:r>
        <w:br w:type="page"/>
      </w:r>
    </w:p>
    <w:p>
      <w:pPr>
        <w:pStyle w:val="Heading1"/>
        <w:spacing w:after="120" w:before="240"/>
      </w:pPr>
      <w:r>
        <w:t xml:space="preserve">1. Propósito del documento</w:t>
      </w:r>
    </w:p>
    <w:p>
      <w:pPr>
        <w:spacing w:after="120" w:line="276"/>
        <w:jc w:val="both"/>
      </w:pPr>
      <w:r>
        <w:t xml:space="preserve">Este documento resume los cambios que el equipo realizó al planteamiento del proyecto a partir de la retroalimentación de la Primera Entrega, antes de iniciar la Segunda Entrega. El cambio central es la estrategia de datos: la variable objetivo ya no se construye con una ecuación de coeficientes asignados por el equipo, sino a partir de series oficiales del DANE, con un componente simulado acotado y fundamentado en datos. Como consecuencia, también se redefinieron la unidad de observación, la pregunta de investigación, los predictores y el plan de modelamiento.</w:t>
      </w:r>
    </w:p>
    <w:p>
      <w:pPr>
        <w:spacing w:after="80" w:before="160"/>
      </w:pPr>
      <w:r>
        <w:rPr>
          <w:b/>
          <w:bCs/>
          <w:sz w:val="20"/>
          <w:szCs w:val="20"/>
        </w:rPr>
        <w:t xml:space="preserve">Tabla 1.</w:t>
      </w:r>
      <w:r>
        <w:rPr>
          <w:sz w:val="20"/>
          <w:szCs w:val="20"/>
        </w:rPr>
        <w:t xml:space="preserve"> Resumen de los cambios frente a la retroalimentación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Observación de la retroalimentación</w:t>
            </w:r>
          </w:p>
        </w:tc>
        <w:tc>
          <w:tcPr>
            <w:tcW w:type="dxa" w:w="33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Versión anterior</w:t>
            </w:r>
          </w:p>
        </w:tc>
        <w:tc>
          <w:tcPr>
            <w:tcW w:type="dxa" w:w="33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Versión corregida</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 Fundamentar las relaciones de la simulación</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Ventas = Base × [1 + 0,15·z(IPC) + 0,15·z(ICC) − 0,10·z(Tasa) + …], con coeficientes asignados por el equipo</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Las variables económicas no intervienen en la construcción de Y. Todos los parámetros se derivan de datos del DANE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2. No calibrar la simulación para obtener un MAPE</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Ruido calibrado para un error de 4–6 %, similar al del artículo</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Magnitud del ruido estimada de datos del DANE y fijada antes de modelar; tres escenarios reportados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3. Definir qué se predice</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pregunta hablaba del total nacional; los datos eran ciudad × mes × categoría</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Pregunta, variable objetivo y datos en el mismo nivel: departamento × línea × mes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4. Independencia y cantidad efectiva de información</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8.265 filas presentadas como tamaño de muestra</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 declara la información efectiva y se incorporan predictores con variación regional real</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 Mantener la validación temporal</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Partición cronológica</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 mantiene, ahora explícitamente por mes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6. Ampliar los modelos candidatos</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Solo regresión lineal múltiple</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MLR con stepwise, Ridge y Lasso</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 Interpretar correctamente la línea base</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Promedio histórico como referencia</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Promedio histórico e ingenuo estacional; se reporta la mejora porcentual frente a ambos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 Evitar reglas automáticas de multicolinealidad</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Exclusión de pares con |r| &gt; 0,9</w:t>
            </w:r>
          </w:p>
        </w:tc>
        <w:tc>
          <w:tcPr>
            <w:tcW w:type="dxa" w:w="33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Diagnóstico con VIF y comparación entre MLR, Ridge y Lasso</w:t>
            </w:r>
          </w:p>
        </w:tc>
      </w:tr>
    </w:tbl>
    <w:p>
      <w:pPr>
        <w:spacing w:after="160"/>
      </w:pPr>
      <w:r>
        <w:rPr>
          <w:i/>
          <w:iCs/>
          <w:sz w:val="18"/>
          <w:szCs w:val="18"/>
        </w:rPr>
        <w:t xml:space="preserve">Fuente: elaboración propia a partir de la retroalimentación de la Primera Entrega.</w:t>
      </w:r>
    </w:p>
    <w:p>
      <w:pPr>
        <w:pStyle w:val="Heading1"/>
        <w:spacing w:after="120" w:before="240"/>
      </w:pPr>
      <w:r>
        <w:t xml:space="preserve">2. Qué se predice (observación 3)</w:t>
      </w:r>
    </w:p>
    <w:p>
      <w:pPr>
        <w:spacing w:after="120" w:line="276"/>
        <w:jc w:val="both"/>
      </w:pPr>
      <w:r>
        <w:rPr>
          <w:b/>
          <w:bCs/>
        </w:rPr>
        <w:t xml:space="preserve">Problema identificado.</w:t>
      </w:r>
      <w:r>
        <w:t xml:space="preserve"> La pregunta de investigación se refería a la demanda mensual nacional de muebles, mientras que el modelo se iba a entrenar con ventas simuladas por ciudad, mes y categoría. Además, el MAPE del modelo se iba a comparar con el del artículo, que corresponde a un total nacional.</w:t>
      </w:r>
    </w:p>
    <w:p>
      <w:pPr>
        <w:spacing w:after="120" w:line="276"/>
        <w:jc w:val="both"/>
      </w:pPr>
      <w:r>
        <w:rPr>
          <w:b/>
          <w:bCs/>
        </w:rPr>
        <w:t xml:space="preserve">Cambio realizado.</w:t>
      </w:r>
      <w:r>
        <w:t xml:space="preserve"> Se definió una sola unidad de observación, usada de forma consistente en todo el proyecto: </w:t>
      </w:r>
      <w:r>
        <w:rPr>
          <w:b/>
          <w:bCs/>
        </w:rPr>
        <w:t xml:space="preserve">departamento (7 dominios de la EMC) × línea de mercancía del hogar (8 líneas) × mes (enero de 2019 a julio de 2026)</w:t>
      </w:r>
      <w:r>
        <w:t xml:space="preserve">, para un total de 5.096 registros. La variable objetivo es el índice de ventas reales (base 2019 = 100) de cada combinación.</w:t>
      </w:r>
    </w:p>
    <w:p>
      <w:pPr>
        <w:spacing w:after="120" w:line="276"/>
        <w:jc w:val="both"/>
      </w:pPr>
      <w:r>
        <w:rPr>
          <w:b/>
          <w:bCs/>
        </w:rPr>
        <w:t xml:space="preserve">Pregunta reformulada.</w:t>
      </w:r>
      <w:r>
        <w:t xml:space="preserve"> ¿Es posible pronosticar el índice mensual de ventas reales de bienes de amoblamiento y hogar en Colombia, por departamento y línea de mercancía, mediante regresión lineal múltiple y sus variantes regularizadas, a partir de variables macroeconómicas y sectoriales disponibles públicamente?</w:t>
      </w:r>
    </w:p>
    <w:p>
      <w:pPr>
        <w:spacing w:after="120" w:line="276"/>
        <w:jc w:val="both"/>
      </w:pPr>
      <w:r>
        <w:rPr>
          <w:b/>
          <w:bCs/>
        </w:rPr>
        <w:t xml:space="preserve">Relación con el objetivo original.</w:t>
      </w:r>
      <w:r>
        <w:t xml:space="preserve"> La línea «Electrodomésticos, muebles para el hogar» sigue siendo el foco. El modelo se entrena con las 8 líneas del hogar, que aportan información sobre cómo responde el consumo a las mismas variables, pero la evaluación principal y la comparación con el artículo se hacen sobre esa línea agregada a nivel nacional.</w:t>
      </w:r>
    </w:p>
    <w:p>
      <w:pPr>
        <w:pStyle w:val="Heading1"/>
        <w:spacing w:after="120" w:before="240"/>
      </w:pPr>
      <w:r>
        <w:t xml:space="preserve">3. Estrategia de datos (observaciones 1, 2 y 4)</w:t>
      </w:r>
    </w:p>
    <w:p>
      <w:pPr>
        <w:pStyle w:val="Heading2"/>
        <w:spacing w:after="100" w:before="180"/>
      </w:pPr>
      <w:r>
        <w:t xml:space="preserve">3.1. Búsqueda de fuentes reales</w:t>
      </w:r>
    </w:p>
    <w:p>
      <w:pPr>
        <w:spacing w:after="120" w:line="276"/>
        <w:jc w:val="both"/>
      </w:pPr>
      <w:r>
        <w:t xml:space="preserve">Antes de rediseñar la simulación se verificó si existían datos reales que la hicieran innecesaria. El DANE no publica microdatos de la EMC y la encuesta no tiene dominios por ciudad, salvo Bogotá. No se encontraron series abiertas de ventas de muebles por ciudad en la DIAN, la Superintendencia de Sociedades ni en datos de pagos con tarjeta. La Pesquisa Mensal de Comércio de Brasil publica muebles por estado, pero solo para 12 estados y desde 2013 (unos 3.900 registros). Ninguna fuente real alcanza el mínimo de 5.000 registros, por lo que se mantuvo la vía combinada, reduciendo al mínimo la parte simulada.</w:t>
      </w:r>
    </w:p>
    <w:p>
      <w:pPr>
        <w:spacing w:after="120" w:line="276"/>
        <w:jc w:val="both"/>
      </w:pPr>
      <w:r>
        <w:t xml:space="preserve">En la revisión de los anexos de la EMC se identificaron dos fuentes que no se habían aprovechado: el anexo nacional publica </w:t>
      </w:r>
      <w:r>
        <w:rPr>
          <w:b/>
          <w:bCs/>
        </w:rPr>
        <w:t xml:space="preserve">19 líneas de mercancía</w:t>
      </w:r>
      <w:r>
        <w:t xml:space="preserve">, 8 de ellas del hogar, con series mensuales completas; y el anexo departamental publica el índice de ventas reales del </w:t>
      </w:r>
      <w:r>
        <w:rPr>
          <w:b/>
          <w:bCs/>
        </w:rPr>
        <w:t xml:space="preserve">grupo CIIU 4741–4759</w:t>
      </w:r>
      <w:r>
        <w:t xml:space="preserve">, que incluye la clase 4754 (electrodomésticos y muebles), para los 7 dominios departamentales. También se verificó que la serie usada en la versión anterior ya está expresada en términos reales.</w:t>
      </w:r>
    </w:p>
    <w:p>
      <w:pPr>
        <w:pStyle w:val="Heading2"/>
        <w:spacing w:after="100" w:before="180"/>
      </w:pPr>
      <w:r>
        <w:t xml:space="preserve">3.2. Nueva construcción de la variable objetivo</w:t>
      </w:r>
    </w:p>
    <w:p>
      <w:pPr>
        <w:spacing w:after="80" w:before="160"/>
      </w:pPr>
      <w:r>
        <w:rPr>
          <w:b/>
          <w:bCs/>
          <w:sz w:val="20"/>
          <w:szCs w:val="20"/>
        </w:rPr>
        <w:t xml:space="preserve">Tabla 2.</w:t>
      </w:r>
      <w:r>
        <w:rPr>
          <w:sz w:val="20"/>
          <w:szCs w:val="20"/>
        </w:rPr>
        <w:t xml:space="preserve"> Construcción anterior y nueva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Aspecto</w:t>
            </w:r>
          </w:p>
        </w:tc>
        <w:tc>
          <w:tcPr>
            <w:tcW w:type="dxa" w:w="35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Versión anterior</w:t>
            </w:r>
          </w:p>
        </w:tc>
        <w:tc>
          <w:tcPr>
            <w:tcW w:type="dxa" w:w="35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Versión corregida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Fórmula</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Base(c,m,k) × [1 + Σ β·z(X)] × ε</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Índice(d,l,t) = L(l,t) × F(d,t) × η(d,l,t)</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Geografía</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19 ciudades con participaciones supuestas; 14 con ICC nacional como proxy</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7 dominios departamentales con dinámica real (EMC)</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Categorías</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5 categorías sin fuente</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8 líneas de mercancía reales (EMC)</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Relación con la economía</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Programada con coeficientes del equipo</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Proviene de los datos observados; el modelo debe descubrirla</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Componente aleatorio</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ε ~ Normal(1; 0,05), independiente, calibrado al MAPE del artículo</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η autorregresivo, con magnitud y persistencia estimadas de datos del DANE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Consistencia con el dato real</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suma de las filas no reproducía el total nacional</w:t>
            </w:r>
          </w:p>
        </w:tc>
        <w:tc>
          <w:tcPr>
            <w:tcW w:type="dxa" w:w="35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agregación reproduce exactamente la serie nacional de cada línea</w:t>
            </w:r>
          </w:p>
        </w:tc>
      </w:tr>
    </w:tbl>
    <w:p>
      <w:pPr>
        <w:spacing w:after="160"/>
      </w:pPr>
      <w:r>
        <w:rPr>
          <w:i/>
          <w:iCs/>
          <w:sz w:val="18"/>
          <w:szCs w:val="18"/>
        </w:rPr>
        <w:t xml:space="preserve">Fuente: elaboración propia.</w:t>
      </w:r>
    </w:p>
    <w:p>
      <w:pPr>
        <w:spacing w:after="120" w:line="276"/>
        <w:jc w:val="both"/>
      </w:pPr>
      <w:r>
        <w:t xml:space="preserve">En la nueva fórmula, </w:t>
      </w:r>
      <w:r>
        <w:rPr>
          <w:b/>
          <w:bCs/>
        </w:rPr>
        <w:t xml:space="preserve">L(l, t)</w:t>
      </w:r>
      <w:r>
        <w:t xml:space="preserve"> es el índice nacional real de la línea l (EMC, anexo nacional) y </w:t>
      </w:r>
      <w:r>
        <w:rPr>
          <w:b/>
          <w:bCs/>
        </w:rPr>
        <w:t xml:space="preserve">F(d, t)</w:t>
      </w:r>
      <w:r>
        <w:t xml:space="preserve"> es el factor regional: el índice real del grupo 4741–4759 en el departamento d, dividido por su agregado nacional (EMC, anexo departamental). Ambos son datos observados. </w:t>
      </w:r>
      <w:r>
        <w:rPr>
          <w:b/>
          <w:bCs/>
        </w:rPr>
        <w:t xml:space="preserve">η(d, l, t)</w:t>
      </w:r>
      <w:r>
        <w:t xml:space="preserve"> es el único componente simulado.</w:t>
      </w:r>
    </w:p>
    <w:p>
      <w:pPr>
        <w:pStyle w:val="Heading2"/>
        <w:spacing w:after="100" w:before="180"/>
      </w:pPr>
      <w:r>
        <w:t xml:space="preserve">3.3. Fundamento de cada parámetro (observación 1)</w:t>
      </w:r>
    </w:p>
    <w:p>
      <w:pPr>
        <w:spacing w:after="120" w:line="276"/>
        <w:jc w:val="both"/>
      </w:pPr>
      <w:r>
        <w:rPr>
          <w:b/>
          <w:bCs/>
        </w:rPr>
        <w:t xml:space="preserve">Pesos departamentales.</w:t>
      </w:r>
      <w:r>
        <w:t xml:space="preserve"> El agregado nacional del factor regional usa pesos derivados de las contribuciones publicadas por el DANE, llevados a la base 2019 (Otros departamentos 33,3 %, Bogotá 22,6 %, Antioquia 17,0 %, Valle del Cauca 12,1 %, Atlántico 5,7 %, Cundinamarca 5,0 %, Santander 4,3 %). Se verificó que, con estos pesos, la agregación de los 7 dominios reproduce exactamente el índice nacional oficial de las actividades 474 y 475. Es una verificación contable: confirma que los pesos corresponden a la estructura de ponderación de la encuesta.</w:t>
      </w:r>
    </w:p>
    <w:p>
      <w:pPr>
        <w:spacing w:after="120" w:line="276"/>
        <w:jc w:val="both"/>
      </w:pPr>
      <w:r>
        <w:rPr>
          <w:b/>
          <w:bCs/>
        </w:rPr>
        <w:t xml:space="preserve">Componente simulado η.</w:t>
      </w:r>
      <w:r>
        <w:t xml:space="preserve"> Se comparó la dinámica regional de los cinco grupos de actividad que el DANE publica por departamento. Las correlaciones con la del grupo del hogar fueron bajas (0,07 a 0,30), lo que muestra que la dinámica regional varía según el tipo de producto. η representa esa variación, y sus parámetros se estimaron de esos datos:</w:t>
      </w:r>
    </w:p>
    <w:p>
      <w:pPr>
        <w:pStyle w:val="ListParagraph"/>
        <w:numPr>
          <w:ilvl w:val="0"/>
          <w:numId w:val="2"/>
        </w:numPr>
        <w:spacing w:after="60" w:line="276"/>
        <w:jc w:val="both"/>
      </w:pPr>
      <w:r>
        <w:rPr>
          <w:b/>
          <w:bCs/>
        </w:rPr>
        <w:t xml:space="preserve">Magnitud:</w:t>
      </w:r>
      <w:r>
        <w:t xml:space="preserve"> desviación regional específica entre 4 % y 13 %, ponderada por departamento.</w:t>
      </w:r>
    </w:p>
    <w:p>
      <w:pPr>
        <w:pStyle w:val="ListParagraph"/>
        <w:numPr>
          <w:ilvl w:val="0"/>
          <w:numId w:val="2"/>
        </w:numPr>
        <w:spacing w:after="60" w:line="276"/>
        <w:jc w:val="both"/>
      </w:pPr>
      <w:r>
        <w:rPr>
          <w:b/>
          <w:bCs/>
        </w:rPr>
        <w:t xml:space="preserve">Persistencia:</w:t>
      </w:r>
      <w:r>
        <w:t xml:space="preserve"> autocorrelación mensual de 0,5 a 0,66; se modela como proceso autorregresivo de orden 1 con coeficiente 0,6.</w:t>
      </w:r>
    </w:p>
    <w:p>
      <w:pPr>
        <w:pStyle w:val="ListParagraph"/>
        <w:numPr>
          <w:ilvl w:val="0"/>
          <w:numId w:val="2"/>
        </w:numPr>
        <w:spacing w:after="60" w:line="276"/>
        <w:jc w:val="both"/>
      </w:pPr>
      <w:r>
        <w:rPr>
          <w:b/>
          <w:bCs/>
        </w:rPr>
        <w:t xml:space="preserve">Conservación:</w:t>
      </w:r>
      <w:r>
        <w:t xml:space="preserve"> η se ajusta para que la agregación departamental reproduzca la serie nacional de cada línea.</w:t>
      </w:r>
    </w:p>
    <w:p>
      <w:pPr>
        <w:pStyle w:val="Heading2"/>
        <w:spacing w:after="100" w:before="180"/>
      </w:pPr>
      <w:r>
        <w:t xml:space="preserve">3.4. Ruido sin calibración (observación 2)</w:t>
      </w:r>
    </w:p>
    <w:p>
      <w:pPr>
        <w:spacing w:after="120" w:line="276"/>
        <w:jc w:val="both"/>
      </w:pPr>
      <w:r>
        <w:t xml:space="preserve">El ruido ya no se ajusta para obtener un error determinado. Se definieron tres escenarios antes de cualquier modelamiento: </w:t>
      </w:r>
      <w:r>
        <w:rPr>
          <w:b/>
          <w:bCs/>
        </w:rPr>
        <w:t xml:space="preserve">bajo (2 %)</w:t>
      </w:r>
      <w:r>
        <w:t xml:space="preserve">, del orden del error de muestreo publicado por el DANE; </w:t>
      </w:r>
      <w:r>
        <w:rPr>
          <w:b/>
          <w:bCs/>
        </w:rPr>
        <w:t xml:space="preserve">central (7 %)</w:t>
      </w:r>
      <w:r>
        <w:t xml:space="preserve">, la mediana de las desviaciones observadas; y </w:t>
      </w:r>
      <w:r>
        <w:rPr>
          <w:b/>
          <w:bCs/>
        </w:rPr>
        <w:t xml:space="preserve">alto (13 %)</w:t>
      </w:r>
      <w:r>
        <w:t xml:space="preserve">, la mayor observada. Los resultados se reportarán para los tres. Como la agregación nacional se conserva exactamente, la métrica principal (MAPE de la línea de muebles a nivel nacional) no depende del componente simulado.</w:t>
      </w:r>
    </w:p>
    <w:p>
      <w:pPr>
        <w:pStyle w:val="Heading2"/>
        <w:spacing w:after="100" w:before="180"/>
      </w:pPr>
      <w:r>
        <w:t xml:space="preserve">3.5. Información efectiva (observación 4)</w:t>
      </w:r>
    </w:p>
    <w:p>
      <w:pPr>
        <w:spacing w:after="120" w:line="276"/>
        <w:jc w:val="both"/>
      </w:pPr>
      <w:r>
        <w:t xml:space="preserve">Se reconoce que los 5.096 registros no son observaciones independientes: la información real proviene de 8 series nacionales y 7 dinámicas departamentales de 91 meses, y los indicadores nacionales son iguales para todos los registros de un mismo mes. Frente a la versión anterior, en la que las categorías eran proporciones fijas del mismo total, la información real aumenta: cada línea tiene su propia historia (por ejemplo, en abril de 2020 la línea de muebles cayó a 41,3, la de informática a 76,2 y la de ferretería a 25,5). Además, el área aprobada de vivienda varía por departamento con datos reales.</w:t>
      </w:r>
    </w:p>
    <w:p>
      <w:pPr>
        <w:pStyle w:val="Heading2"/>
        <w:spacing w:after="100" w:before="180"/>
      </w:pPr>
      <w:r>
        <w:t xml:space="preserve">3.6. Verificación del conjunto construido</w:t>
      </w:r>
    </w:p>
    <w:p>
      <w:pPr>
        <w:spacing w:after="120" w:line="276"/>
        <w:jc w:val="both"/>
      </w:pPr>
      <w:r>
        <w:t xml:space="preserve">Se construyó un prototipo del conjunto en el escenario central y se verificó: 5.096 registros sin vacíos, negativos ni duplicados; conservación exacta de la serie nacional de cada línea; recuperación de los parámetros del ruido (desviación de 6,7 % frente a 7 % y autocorrelación de 0,56 frente a 0,6); correlación de 0,75 a 0,89 entre la línea de muebles construida y la dinámica real de cada departamento; y conservación de la estacionalidad y del choque de la pandemia. Estas pruebas se presentarán completas en la Segunda Entrega.</w:t>
      </w:r>
    </w:p>
    <w:p>
      <w:pPr>
        <w:pStyle w:val="Heading2"/>
        <w:spacing w:after="100" w:before="180"/>
      </w:pPr>
      <w:r>
        <w:t xml:space="preserve">3.7. Supuestos declarados</w:t>
      </w:r>
    </w:p>
    <w:p>
      <w:pPr>
        <w:pStyle w:val="ListParagraph"/>
        <w:numPr>
          <w:ilvl w:val="0"/>
          <w:numId w:val="3"/>
        </w:numPr>
        <w:spacing w:after="60" w:line="276"/>
        <w:jc w:val="both"/>
      </w:pPr>
      <w:r>
        <w:rPr>
          <w:b/>
          <w:bCs/>
        </w:rPr>
        <w:t xml:space="preserve">Proxy regional:</w:t>
      </w:r>
      <w:r>
        <w:t xml:space="preserve"> el grupo 4741–4759 incluye también informática, textiles y ferretería; su correlación con la línea nacional de muebles va de 0,68 a 0,90 según el departamento.</w:t>
      </w:r>
    </w:p>
    <w:p>
      <w:pPr>
        <w:pStyle w:val="ListParagraph"/>
        <w:numPr>
          <w:ilvl w:val="0"/>
          <w:numId w:val="3"/>
        </w:numPr>
        <w:spacing w:after="60" w:line="276"/>
        <w:jc w:val="both"/>
      </w:pPr>
      <w:r>
        <w:rPr>
          <w:b/>
          <w:bCs/>
        </w:rPr>
        <w:t xml:space="preserve">Separabilidad parcial:</w:t>
      </w:r>
      <w:r>
        <w:t xml:space="preserve"> la dinámica regional del grupo se aplica a todas las líneas del departamento; la diferencia entre líneas la captura η.</w:t>
      </w:r>
    </w:p>
    <w:p>
      <w:pPr>
        <w:pStyle w:val="ListParagraph"/>
        <w:numPr>
          <w:ilvl w:val="0"/>
          <w:numId w:val="3"/>
        </w:numPr>
        <w:spacing w:after="60" w:line="276"/>
        <w:jc w:val="both"/>
      </w:pPr>
      <w:r>
        <w:rPr>
          <w:b/>
          <w:bCs/>
        </w:rPr>
        <w:t xml:space="preserve">Cobertura:</w:t>
      </w:r>
      <w:r>
        <w:t xml:space="preserve"> la EMC incluye solo empresas con 10 o más personas ocupadas o ingresos de al menos $1.700 millones de 2017.</w:t>
      </w:r>
    </w:p>
    <w:p>
      <w:pPr>
        <w:pStyle w:val="Heading1"/>
        <w:spacing w:after="120" w:before="240"/>
      </w:pPr>
      <w:r>
        <w:t xml:space="preserve">4. Predictores (observaciones 4 y 8)</w:t>
      </w:r>
    </w:p>
    <w:p>
      <w:pPr>
        <w:spacing w:after="120" w:line="276"/>
        <w:jc w:val="both"/>
      </w:pPr>
      <w:r>
        <w:t xml:space="preserve">Las tablas de la versión anterior no coincidían entre sí, y varias variables se usaban a la vez para construir la variable objetivo y como predictores. Ahora los predictores solo cumplen ese papel.</w:t>
      </w:r>
    </w:p>
    <w:p>
      <w:pPr>
        <w:spacing w:after="80" w:before="160"/>
      </w:pPr>
      <w:r>
        <w:rPr>
          <w:b/>
          <w:bCs/>
          <w:sz w:val="20"/>
          <w:szCs w:val="20"/>
        </w:rPr>
        <w:t xml:space="preserve">Tabla 3.</w:t>
      </w:r>
      <w:r>
        <w:rPr>
          <w:sz w:val="20"/>
          <w:szCs w:val="20"/>
        </w:rPr>
        <w:t xml:space="preserve"> Cambios en los predictores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60"/>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Variable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Decisión</w:t>
            </w:r>
          </w:p>
        </w:tc>
        <w:tc>
          <w:tcPr>
            <w:tcW w:type="dxa" w:w="4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Razón</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Confianza del consumidor (Fedesarrollo)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 mantiene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Equivalente al Consumer Sentiment del artículo; el histórico publicado es nacional</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Área aprobada de vivienda (DANE – ELIC)</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 mantiene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Pública, mensual y agregable a los 7 dominios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Iniciaciones de vivienda (Camacol)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 excluye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Mide lo mismo que ELIC; incluir ambas duplicaría información</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Interés bancario corriente de consumo (Superfinanciera)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 mantiene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Relevante para bienes durables comprados a crédito; serie mensual oficial</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IPC</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Cambia a inflación anual</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La variable objetivo ya está en términos reales; el IPC en nivel se comporta como una tendencia</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Importaciones de muebles (DANE, capítulo 94)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 mantiene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Fue la variable principal del artículo; el DANE publica el capítulo, no las partidas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Población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 excluye</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Casi no varía mes a mes y fue la principal fuente de multicolinealidad en el artículo</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Indicadora de pandemia</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Se agrega</w:t>
            </w:r>
          </w:p>
        </w:tc>
        <w:tc>
          <w:tcPr>
            <w:tcW w:type="dxa" w:w="4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El artículo la incluye como variable categórica</w:t>
            </w:r>
          </w:p>
        </w:tc>
      </w:tr>
    </w:tbl>
    <w:p>
      <w:pPr>
        <w:spacing w:after="160"/>
      </w:pPr>
      <w:r>
        <w:rPr>
          <w:i/>
          <w:iCs/>
          <w:sz w:val="18"/>
          <w:szCs w:val="18"/>
        </w:rPr>
        <w:t xml:space="preserve">Fuente: elaboración propia.</w:t>
      </w:r>
    </w:p>
    <w:p>
      <w:pPr>
        <w:spacing w:after="120" w:line="276"/>
        <w:jc w:val="both"/>
      </w:pPr>
      <w:r>
        <w:t xml:space="preserve">Se eliminó la regla de excluir automáticamente los pares de predictores con |r| &gt; 0,9. La multicolinealidad se diagnosticará con el VIF, y la decisión sobre cada variable considerará su interpretación, la estabilidad de los coeficientes y la comparación entre MLR, Ridge y Lasso.</w:t>
      </w:r>
    </w:p>
    <w:p>
      <w:pPr>
        <w:pStyle w:val="Heading1"/>
        <w:spacing w:after="120" w:before="240"/>
      </w:pPr>
      <w:r>
        <w:t xml:space="preserve">5. Plan de modelamiento (observaciones 5, 6 y 7)</w:t>
      </w:r>
    </w:p>
    <w:p>
      <w:pPr>
        <w:spacing w:after="120" w:line="276"/>
        <w:jc w:val="both"/>
      </w:pPr>
      <w:r>
        <w:rPr>
          <w:b/>
          <w:bCs/>
        </w:rPr>
        <w:t xml:space="preserve">Modelos candidatos.</w:t>
      </w:r>
      <w:r>
        <w:t xml:space="preserve"> Se pasa de un solo modelo a tres: </w:t>
      </w:r>
      <w:r>
        <w:rPr>
          <w:b/>
          <w:bCs/>
        </w:rPr>
        <w:t xml:space="preserve">regresión lineal múltiple con selección stepwise</w:t>
      </w:r>
      <w:r>
        <w:t xml:space="preserve">, que reproduce el método del artículo; </w:t>
      </w:r>
      <w:r>
        <w:rPr>
          <w:b/>
          <w:bCs/>
        </w:rPr>
        <w:t xml:space="preserve">Ridge</w:t>
      </w:r>
      <w:r>
        <w:t xml:space="preserve">, que estabiliza los coeficientes ante predictores correlacionados; y </w:t>
      </w:r>
      <w:r>
        <w:rPr>
          <w:b/>
          <w:bCs/>
        </w:rPr>
        <w:t xml:space="preserve">Lasso</w:t>
      </w:r>
      <w:r>
        <w:t xml:space="preserve">, que selecciona variables de forma automática y reproducible, como alternativa al stepwise. La comparación responde a la pregunta sugerida en la retroalimentación: ¿la regularización mejora la estabilidad o la capacidad predictiva cuando los predictores macroeconómicos están fuertemente relacionados? La selección stepwise y el ajuste de la penalización se harán solo con datos de entrenamiento.</w:t>
      </w:r>
    </w:p>
    <w:p>
      <w:pPr>
        <w:spacing w:after="120" w:line="276"/>
        <w:jc w:val="both"/>
      </w:pPr>
      <w:r>
        <w:rPr>
          <w:b/>
          <w:bCs/>
        </w:rPr>
        <w:t xml:space="preserve">Métrica.</w:t>
      </w:r>
      <w:r>
        <w:t xml:space="preserve"> Se mantiene el MAPE, ahora calculado sobre la línea de muebles agregada a nivel nacional para que sea comparable con el artículo, y justificado por el costo relativo del error en decisiones de inventario. Se acompaña de MAD y MSD; el MAD sirve de contraste en los meses de confinamiento de 2020, cuando valores muy bajos vuelven inestable el MAPE.</w:t>
      </w:r>
    </w:p>
    <w:p>
      <w:pPr>
        <w:spacing w:after="120" w:line="276"/>
        <w:jc w:val="both"/>
      </w:pPr>
      <w:r>
        <w:rPr>
          <w:b/>
          <w:bCs/>
        </w:rPr>
        <w:t xml:space="preserve">Validación.</w:t>
      </w:r>
      <w:r>
        <w:t xml:space="preserve"> Se mantiene la partición cronológica, ahora explícitamente por mes: todos los registros de un mes quedan en el mismo conjunto. Los últimos 12 meses (agosto de 2025 a julio de 2026) son el conjunto de prueba, y los hiperparámetros se ajustan con validación cruzada temporal dentro del entrenamiento. El ejercicio se repite en los tres escenarios del componente simulado.</w:t>
      </w:r>
    </w:p>
    <w:p>
      <w:pPr>
        <w:spacing w:after="120" w:line="276"/>
        <w:jc w:val="both"/>
      </w:pPr>
      <w:r>
        <w:rPr>
          <w:b/>
          <w:bCs/>
        </w:rPr>
        <w:t xml:space="preserve">Línea base.</w:t>
      </w:r>
      <w:r>
        <w:t xml:space="preserve"> Se agrega el ingenuo estacional (el mismo mes del año anterior) al predictor de la media. Las líneas base se usan como mínimo a superar, y se reportará la mejora porcentual de cada modelo frente a ambas.</w:t>
      </w:r>
    </w:p>
    <w:p>
      <w:pPr>
        <w:pStyle w:val="Heading1"/>
        <w:spacing w:after="120" w:before="240"/>
      </w:pPr>
      <w:r>
        <w:t xml:space="preserve">6. Otros ajustes al informe</w:t>
      </w:r>
    </w:p>
    <w:p>
      <w:pPr>
        <w:pStyle w:val="ListParagraph"/>
        <w:numPr>
          <w:ilvl w:val="0"/>
          <w:numId w:val="2"/>
        </w:numPr>
        <w:spacing w:after="60" w:line="276"/>
        <w:jc w:val="both"/>
      </w:pPr>
      <w:r>
        <w:t xml:space="preserve">Se amplió la explicación de los supuestos de la regresión con las consecuencias de incumplir cada uno sobre la estimación, la inferencia y la predicción, como se sugirió en la retroalimentación.</w:t>
      </w:r>
    </w:p>
    <w:p>
      <w:pPr>
        <w:pStyle w:val="ListParagraph"/>
        <w:numPr>
          <w:ilvl w:val="0"/>
          <w:numId w:val="2"/>
        </w:numPr>
        <w:spacing w:after="60" w:line="276"/>
        <w:jc w:val="both"/>
      </w:pPr>
      <w:r>
        <w:t xml:space="preserve">Se identificó que el artículo reporta dos valores de MAPE (3,47 % y 4,21 % en el resumen; 4,89 % y 6 % en los resultados). Se toman como referencia los de la sección de resultados, por estar respaldados por el cálculo de MAD y MSD.</w:t>
      </w:r>
    </w:p>
    <w:p>
      <w:pPr>
        <w:pStyle w:val="ListParagraph"/>
        <w:numPr>
          <w:ilvl w:val="0"/>
          <w:numId w:val="2"/>
        </w:numPr>
        <w:spacing w:after="60" w:line="276"/>
        <w:jc w:val="both"/>
      </w:pPr>
      <w:r>
        <w:t xml:space="preserve">Se corrigió la numeración de secciones y se numeraron y titularon todas las tablas.</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Respuesta a la retroalimentación — Primera Entrega</dc:title>
  <dc:creator>Equipo Proyecto Integrador</dc:creator>
  <cp:lastModifiedBy>Un-named</cp:lastModifiedBy>
  <cp:revision>1</cp:revision>
  <dcterms:created xsi:type="dcterms:W3CDTF">2026-10-08T22:25:08.339Z</dcterms:created>
  <dcterms:modified xsi:type="dcterms:W3CDTF">2026-10-08T22:25:08.339Z</dcterms:modified>
</cp:coreProperties>
</file>

<file path=docProps/custom.xml><?xml version="1.0" encoding="utf-8"?>
<Properties xmlns="http://schemas.openxmlformats.org/officeDocument/2006/custom-properties" xmlns:vt="http://schemas.openxmlformats.org/officeDocument/2006/docPropsVTypes"/>
</file>