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32"/>
          <w:szCs w:val="32"/>
        </w:rPr>
        <w:t xml:space="preserve">Proyecto Integrador — Machine Learning I</w:t>
      </w:r>
    </w:p>
    <w:p>
      <w:pPr>
        <w:spacing w:before="200"/>
        <w:jc w:val="center"/>
      </w:pPr>
      <w:r>
        <w:rPr>
          <w:sz w:val="26"/>
          <w:szCs w:val="26"/>
        </w:rPr>
        <w:t xml:space="preserve">Primera Entrega (versión corregida)</w:t>
      </w:r>
    </w:p>
    <w:p>
      <w:pPr>
        <w:spacing w:after="600"/>
        <w:jc w:val="center"/>
      </w:pPr>
      <w:r>
        <w:rPr>
          <w:i/>
          <w:iCs/>
          <w:sz w:val="24"/>
          <w:szCs w:val="24"/>
        </w:rPr>
        <w:t xml:space="preserve">Fase 1: Comprensión del artículo y planteamiento</w:t>
      </w:r>
    </w:p>
    <w:p>
      <w:pPr>
        <w:spacing w:before="400"/>
        <w:jc w:val="center"/>
      </w:pPr>
      <w:r>
        <w:rPr>
          <w:b/>
          <w:bCs/>
          <w:sz w:val="28"/>
          <w:szCs w:val="28"/>
        </w:rPr>
        <w:t xml:space="preserve">Pronóstico de ventas de bienes de amoblamiento y hogar en Colombia</w:t>
      </w:r>
    </w:p>
    <w:p>
      <w:pPr>
        <w:spacing w:after="100" w:before="400"/>
        <w:jc w:val="center"/>
      </w:pPr>
      <w:r>
        <w:rPr>
          <w:b/>
          <w:bCs/>
          <w:sz w:val="22"/>
          <w:szCs w:val="22"/>
        </w:rPr>
        <w:t xml:space="preserve">Artículo base</w:t>
      </w:r>
    </w:p>
    <w:p>
      <w:pPr>
        <w:jc w:val="center"/>
      </w:pPr>
      <w:r>
        <w:rPr>
          <w:sz w:val="22"/>
          <w:szCs w:val="22"/>
        </w:rPr>
        <w:t xml:space="preserve">İnce, M. N. y Taşdemir, Ç. (2024). Forecasting Retail Sales for Furniture and Furnishing Items through the Employment of Multiple Linear Regression and Holt–Winters Models. Systems, 12(6), 219.</w:t>
      </w:r>
    </w:p>
    <w:p>
      <w:pPr>
        <w:spacing w:after="100" w:before="600"/>
        <w:jc w:val="center"/>
      </w:pPr>
      <w:r>
        <w:rPr>
          <w:b/>
          <w:bCs/>
          <w:sz w:val="22"/>
          <w:szCs w:val="22"/>
        </w:rPr>
        <w:t xml:space="preserve">Integrantes</w:t>
      </w:r>
    </w:p>
    <w:p>
      <w:pPr>
        <w:jc w:val="center"/>
      </w:pPr>
      <w:r>
        <w:rPr>
          <w:sz w:val="22"/>
          <w:szCs w:val="22"/>
        </w:rPr>
        <w:t xml:space="preserve">Juan Esteban Acosta Morales</w:t>
      </w:r>
    </w:p>
    <w:p>
      <w:pPr>
        <w:jc w:val="center"/>
      </w:pPr>
      <w:r>
        <w:rPr>
          <w:sz w:val="22"/>
          <w:szCs w:val="22"/>
        </w:rPr>
        <w:t xml:space="preserve">Julián Rodríguez</w:t>
      </w:r>
    </w:p>
    <w:p>
      <w:pPr>
        <w:jc w:val="center"/>
      </w:pPr>
      <w:r>
        <w:rPr>
          <w:sz w:val="22"/>
          <w:szCs w:val="22"/>
        </w:rPr>
        <w:t xml:space="preserve">Alejandra Cortés</w:t>
      </w:r>
    </w:p>
    <w:p>
      <w:pPr>
        <w:spacing w:before="600"/>
        <w:jc w:val="center"/>
      </w:pPr>
      <w:r>
        <w:rPr>
          <w:sz w:val="22"/>
          <w:szCs w:val="22"/>
        </w:rPr>
        <w:t xml:space="preserve">Machine Learning I — Ciencia de Datos</w:t>
      </w:r>
    </w:p>
    <w:p>
      <w:pPr>
        <w:jc w:val="center"/>
      </w:pPr>
      <w:r>
        <w:rPr>
          <w:sz w:val="22"/>
          <w:szCs w:val="22"/>
        </w:rPr>
        <w:t xml:space="preserve">Universidad Externado de Colombia</w:t>
      </w:r>
    </w:p>
    <w:p>
      <w:pPr>
        <w:jc w:val="center"/>
      </w:pPr>
      <w:r>
        <w:rPr>
          <w:sz w:val="22"/>
          <w:szCs w:val="22"/>
        </w:rPr>
        <w:t xml:space="preserve">2026</w:t>
      </w:r>
    </w:p>
    <w:p>
      <w:r>
        <w:br w:type="page"/>
      </w:r>
    </w:p>
    <w:p>
      <w:pPr>
        <w:pStyle w:val="Heading1"/>
        <w:spacing w:after="120" w:before="240"/>
      </w:pPr>
      <w:r>
        <w:t xml:space="preserve">6.1. Comprensión y sustentación del artículo</w:t>
      </w:r>
    </w:p>
    <w:p>
      <w:pPr>
        <w:spacing w:after="120" w:line="276"/>
        <w:jc w:val="both"/>
      </w:pPr>
      <w:r>
        <w:rPr>
          <w:b/>
          <w:bCs/>
        </w:rPr>
        <w:t xml:space="preserve">Problema.</w:t>
      </w:r>
      <w:r>
        <w:t xml:space="preserve"> El artículo aborda el pronóstico de la demanda mensual de ventas minoristas de muebles y artículos para el hogar en Estados Unidos para un horizonte de 36 meses (2024–2026), utilizando datos históricos mensuales de 2019 a 2023. La pregunta que orienta el estudio es si las variables macroeconómicas y sectoriales disponibles permiten predecir con suficiente precisión la trayectoria futura de esa demanda, con el fin de apoyar decisiones estratégicas de inventario, producción y planeación en la industria.</w:t>
      </w:r>
    </w:p>
    <w:p>
      <w:pPr>
        <w:spacing w:after="120" w:line="276"/>
        <w:jc w:val="both"/>
      </w:pPr>
      <w:r>
        <w:rPr>
          <w:b/>
          <w:bCs/>
        </w:rPr>
        <w:t xml:space="preserve">Modelo.</w:t>
      </w:r>
      <w:r>
        <w:t xml:space="preserve"> Para responder esa pregunta, los autores construyen un modelo de regresión lineal múltiple (MLR). La selección de variables sigue un proceso en dos etapas: primero, un panel de 6 expertos (3 académicos y 3 de la industria) aplica la técnica Delphi en 3 rondas, con un consenso mínimo del 75 %, para preseleccionar 9 variables candidatas a partir de la literatura; después, un procedimiento de regresión stepwise (α = 0,25, Minitab 19) reduce ese conjunto a las variables estadísticamente más significativas. Antes de estimar el modelo, la serie de ventas se somete a una descomposición multiplicativa (Xt = Tt × Ct × St × Et), pues la amplitud de la estacionalidad crece junto con la tendencia, un patrón característico del comercio minorista.</w:t>
      </w:r>
    </w:p>
    <w:p>
      <w:pPr>
        <w:spacing w:after="120" w:line="276"/>
        <w:jc w:val="both"/>
      </w:pPr>
      <w:r>
        <w:rPr>
          <w:b/>
          <w:bCs/>
        </w:rPr>
        <w:t xml:space="preserve">Supuestos.</w:t>
      </w:r>
      <w:r>
        <w:t xml:space="preserve"> Como todo modelo de regresión lineal, el artículo asume cinco condiciones. Incumplir cada una tiene consecuencias distintas sobre la estimación, la inferencia y la predicción:</w:t>
      </w:r>
    </w:p>
    <w:p>
      <w:pPr>
        <w:pStyle w:val="ListParagraph"/>
        <w:numPr>
          <w:ilvl w:val="0"/>
          <w:numId w:val="2"/>
        </w:numPr>
        <w:spacing w:after="60" w:line="276"/>
        <w:jc w:val="both"/>
      </w:pPr>
      <w:r>
        <w:rPr>
          <w:b/>
          <w:bCs/>
        </w:rPr>
        <w:t xml:space="preserve">Linealidad en los parámetros:</w:t>
      </w:r>
      <w:r>
        <w:t xml:space="preserve"> si la relación real no es lineal, los coeficientes quedan sesgados y el modelo comete errores sistemáticos en ciertos rangos de las variables. Afecta la estimación y la predicción.</w:t>
      </w:r>
    </w:p>
    <w:p>
      <w:pPr>
        <w:pStyle w:val="ListParagraph"/>
        <w:numPr>
          <w:ilvl w:val="0"/>
          <w:numId w:val="2"/>
        </w:numPr>
        <w:spacing w:after="60" w:line="276"/>
        <w:jc w:val="both"/>
      </w:pPr>
      <w:r>
        <w:rPr>
          <w:b/>
          <w:bCs/>
        </w:rPr>
        <w:t xml:space="preserve">Homocedasticidad:</w:t>
      </w:r>
      <w:r>
        <w:t xml:space="preserve"> si la varianza de los errores no es constante, los coeficientes siguen siendo insesgados, pero sus errores estándar son incorrectos; las pruebas de significancia y los intervalos de predicción dejan de ser confiables. Afecta la inferencia.</w:t>
      </w:r>
    </w:p>
    <w:p>
      <w:pPr>
        <w:pStyle w:val="ListParagraph"/>
        <w:numPr>
          <w:ilvl w:val="0"/>
          <w:numId w:val="2"/>
        </w:numPr>
        <w:spacing w:after="60" w:line="276"/>
        <w:jc w:val="both"/>
      </w:pPr>
      <w:r>
        <w:rPr>
          <w:b/>
          <w:bCs/>
        </w:rPr>
        <w:t xml:space="preserve">Normalidad de los residuos:</w:t>
      </w:r>
      <w:r>
        <w:t xml:space="preserve"> su incumplimiento no sesga los coeficientes ni la predicción puntual, pero en muestras pequeñas, como los 60 meses del artículo, invalida los p-valores y los intervalos de confianza. Afecta la inferencia.</w:t>
      </w:r>
    </w:p>
    <w:p>
      <w:pPr>
        <w:pStyle w:val="ListParagraph"/>
        <w:numPr>
          <w:ilvl w:val="0"/>
          <w:numId w:val="2"/>
        </w:numPr>
        <w:spacing w:after="60" w:line="276"/>
        <w:jc w:val="both"/>
      </w:pPr>
      <w:r>
        <w:rPr>
          <w:b/>
          <w:bCs/>
        </w:rPr>
        <w:t xml:space="preserve">Independencia de los residuos:</w:t>
      </w:r>
      <w:r>
        <w:t xml:space="preserve"> en series mensuales es frecuente que el error de un mes se parezca al del anterior (autocorrelación). En ese caso los errores estándar se subestiman y algunas variables parecen significativas sin serlo. Afecta la inferencia y la eficiencia del pronóstico.</w:t>
      </w:r>
    </w:p>
    <w:p>
      <w:pPr>
        <w:pStyle w:val="ListParagraph"/>
        <w:numPr>
          <w:ilvl w:val="0"/>
          <w:numId w:val="2"/>
        </w:numPr>
        <w:spacing w:after="60" w:line="276"/>
        <w:jc w:val="both"/>
      </w:pPr>
      <w:r>
        <w:rPr>
          <w:b/>
          <w:bCs/>
        </w:rPr>
        <w:t xml:space="preserve">Ausencia de multicolinealidad severa:</w:t>
      </w:r>
      <w:r>
        <w:t xml:space="preserve"> no sesga la predicción dentro de la muestra, pero vuelve los coeficientes inestables y difíciles de interpretar, e incluso puede invertir sus signos. Afecta la interpretación y la capacidad de generalizar.</w:t>
      </w:r>
    </w:p>
    <w:p>
      <w:pPr>
        <w:spacing w:after="120" w:line="276"/>
        <w:jc w:val="both"/>
      </w:pPr>
      <w:r>
        <w:t xml:space="preserve">Este último supuesto es el que presenta mayores señales de incumplimiento en el modelo final, como se detalla en las limitaciones.</w:t>
      </w:r>
    </w:p>
    <w:p>
      <w:pPr>
        <w:spacing w:after="120" w:line="276"/>
        <w:jc w:val="both"/>
      </w:pPr>
      <w:r>
        <w:rPr>
          <w:b/>
          <w:bCs/>
        </w:rPr>
        <w:t xml:space="preserve">Resultados.</w:t>
      </w:r>
      <w:r>
        <w:t xml:space="preserve"> El modelo final retiene 5 variables continuas (importaciones de muebles, índice de sentimiento del consumidor, inicios de vivienda, población e índice de precios al productor) y una variable categórica de efecto pandemia. El ajuste obtenido es de R² = 76,73 % (R² ajustado = 74,09 %) y un error de pronóstico MAPE = 4,89 %, mejor que el del modelo Holt–Winters comparado en el mismo estudio (MAPE = 6 %). Cabe señalar que el artículo reporta dos valores distintos de MAPE: el resumen indica 3,47 % para MLR y 4,21 % para Holt–Winters, mientras que la sección de resultados reporta 4,89 % y 6 %, acompañados de los valores de MAD y MSD de los que se derivan. En este trabajo se toman como referencia los valores de la sección de resultados, por estar respaldados por el cálculo detallado de las métricas.</w:t>
      </w:r>
    </w:p>
    <w:p>
      <w:pPr>
        <w:spacing w:after="120" w:line="276"/>
        <w:jc w:val="both"/>
      </w:pPr>
      <w:r>
        <w:rPr>
          <w:b/>
          <w:bCs/>
        </w:rPr>
        <w:t xml:space="preserve">Limitaciones.</w:t>
      </w:r>
      <w:r>
        <w:t xml:space="preserve"> El diagnóstico de multicolinealidad mediante el factor de inflación de varianza (VIF) revela valores de 16,16 para población y 23,18 para el índice de precios al productor, muy por encima del umbral de referencia (VIF &gt; 5). Esto explica por qué el coeficiente de población resulta negativo y no significativo (p = 0,228), pese a tener sentido económico positivo. En la misma línea, el R² predictivo (63,01 %) es notablemente menor que el R² de ajuste, lo que sugiere cierto sobreajuste del modelo a la muestra de entrenamiento. Los propios autores reconocen además que la selección de variables mediante Delphi introduce un componente subjetivo, y que el periodo de estudio (2019–2023) está fuertemente marcado por la volatilidad atípica del COVID-19.</w:t>
      </w:r>
    </w:p>
    <w:p>
      <w:pPr>
        <w:pStyle w:val="Heading2"/>
        <w:spacing w:after="100" w:before="180"/>
      </w:pPr>
      <w:r>
        <w:t xml:space="preserve">6.1.1. Método Holt–Winters</w:t>
      </w:r>
    </w:p>
    <w:p>
      <w:pPr>
        <w:spacing w:after="120" w:line="276"/>
        <w:jc w:val="both"/>
      </w:pPr>
      <w:r>
        <w:rPr>
          <w:b/>
          <w:bCs/>
        </w:rPr>
        <w:t xml:space="preserve">¿Qué es el método Holt–Winters?</w:t>
      </w:r>
      <w:r>
        <w:t xml:space="preserve"> Es una técnica de pronóstico de series de tiempo basada en suavizamiento exponencial, que predice analizando simultáneamente tres componentes: el nivel general (altura actual de la serie), la tendencia (velocidad de crecimiento o decrecimiento) y la estacionalidad (patrón que se repite cada cierto periodo). El modelo actualiza estos tres componentes mes a mes, a medida que llegan nuevos datos, mediante tres coeficientes de suavizamiento (α, β</w:t>
      </w:r>
      <w:r>
        <w:rPr>
          <w:i/>
          <w:iCs/>
        </w:rPr>
        <w:t xml:space="preserve"> y γ</w:t>
      </w:r>
      <w:r>
        <w:t xml:space="preserve">), cada uno en el rango [0, 1]. Un coeficiente cercano a 1 indica que el modelo confía casi exclusivamente en el dato más reciente; uno cercano a 0 indica mayor suavizamiento y más peso al historial. La combinación de los tres componentes genera el pronóstico final.</w:t>
      </w:r>
    </w:p>
    <w:p>
      <w:pPr>
        <w:spacing w:after="120" w:line="276"/>
        <w:jc w:val="both"/>
      </w:pPr>
      <w:r>
        <w:rPr>
          <w:b/>
          <w:bCs/>
        </w:rPr>
        <w:t xml:space="preserve">Elección del enfoque multiplicativo.</w:t>
      </w:r>
      <w:r>
        <w:t xml:space="preserve"> La ecuación estacional puede formularse de forma aditiva (cuando el efecto estacional es constante en magnitud) o multiplicativa (cuando ese efecto crece o decrece junto con la tendencia). Los autores optaron por el enfoque multiplicativo, ya que las ventas de muebles mostraban picos estacionales que se agrandaban a medida que la tendencia general de la serie crecía.</w:t>
      </w:r>
    </w:p>
    <w:p>
      <w:pPr>
        <w:spacing w:after="120" w:line="276"/>
        <w:jc w:val="both"/>
      </w:pPr>
      <w:r>
        <w:rPr>
          <w:b/>
          <w:bCs/>
        </w:rPr>
        <w:t xml:space="preserve">Alcance de esta explicación.</w:t>
      </w:r>
      <w:r>
        <w:t xml:space="preserve"> Esta sección presenta únicamente la explicación conceptual del método, como parte de la comprensión del artículo base. Holt–Winters es un método de suavizamiento exponencial que está fuera de los modelos vistos en el curso (KNN, Naive Bayes, regresión lineal y logística, análisis discriminante y regularización) y, por tanto, no será reproducido por el equipo.</w:t>
      </w:r>
    </w:p>
    <w:p>
      <w:pPr>
        <w:pStyle w:val="Heading1"/>
        <w:spacing w:after="120" w:before="240"/>
      </w:pPr>
      <w:r>
        <w:t xml:space="preserve">6.2. Planteamiento del problema</w:t>
      </w:r>
    </w:p>
    <w:p>
      <w:pPr>
        <w:spacing w:after="120" w:line="276"/>
        <w:jc w:val="both"/>
      </w:pPr>
      <w:r>
        <w:rPr>
          <w:b/>
          <w:bCs/>
        </w:rPr>
        <w:t xml:space="preserve">Pregunta de investigación.</w:t>
      </w:r>
      <w:r>
        <w:t xml:space="preserve"> ¿Es posible pronosticar el índice mensual de ventas reales de bienes de amoblamiento y hogar en Colombia, por departamento y línea de mercancía, mediante regresión lineal múltiple y sus variantes regularizadas, a partir de variables macroeconómicas y sectoriales disponibles públicamente?</w:t>
      </w:r>
    </w:p>
    <w:p>
      <w:pPr>
        <w:spacing w:after="120" w:line="276"/>
        <w:jc w:val="both"/>
      </w:pPr>
      <w:r>
        <w:rPr>
          <w:b/>
          <w:bCs/>
        </w:rPr>
        <w:t xml:space="preserve">Tarea y variable objetivo.</w:t>
      </w:r>
      <w:r>
        <w:t xml:space="preserve"> Se trata de un problema de regresión supervisada. La variable objetivo es el índice de ventas reales (base 2019 = 100) de cada combinación departamento–línea–mes, construido a partir de la Encuesta Mensual de Comercio (EMC) del DANE. La unidad de observación es una fila por departamento (7 dominios de la EMC), línea de mercancía del hogar (8 líneas) y mes (enero de 2019 a julio de 2026), para un total de 5.096 registros.</w:t>
      </w:r>
    </w:p>
    <w:p>
      <w:pPr>
        <w:spacing w:after="120" w:line="276"/>
        <w:jc w:val="both"/>
      </w:pPr>
      <w:r>
        <w:rPr>
          <w:b/>
          <w:bCs/>
        </w:rPr>
        <w:t xml:space="preserve">Del total nacional al panel.</w:t>
      </w:r>
      <w:r>
        <w:t xml:space="preserve"> El artículo modela una sola serie nacional. En Colombia, la serie equivalente (la línea «Electrodomésticos, muebles para el hogar» de la EMC) tiene 91 observaciones mensuales, insuficientes para el mínimo de 5.000 registros exigido. Por ello el problema se plantea sobre un panel de líneas del hogar y departamentos, y el modelo se entrena con todas las series en conjunto. Sin embargo, el objetivo del artículo se evalúa sobre la línea de electrodomésticos y muebles agregada a nivel nacional: ese es el pronóstico que se compara con el MAPE reportado por İnce y Taşdemir. Las demás líneas aportan información de entrenamiento sobre cómo responde el consumo del hogar a las mismas variables.</w:t>
      </w:r>
    </w:p>
    <w:p>
      <w:pPr>
        <w:spacing w:after="120" w:line="276"/>
        <w:jc w:val="both"/>
      </w:pPr>
      <w:r>
        <w:rPr>
          <w:b/>
          <w:bCs/>
        </w:rPr>
        <w:t xml:space="preserve">Predictores.</w:t>
      </w:r>
      <w:r>
        <w:t xml:space="preserve"> Las variables independientes buscan equivalencia funcional con las del artículo (Tabla 1). Una de ellas, el área aprobada para vivienda, está disponible por municipio y se agrega a los 7 dominios, lo que aporta variación departamental real al modelo. Las demás son nacionales.</w:t>
      </w:r>
    </w:p>
    <w:p>
      <w:pPr>
        <w:spacing w:after="80" w:before="160"/>
      </w:pPr>
      <w:r>
        <w:rPr>
          <w:b/>
          <w:bCs/>
          <w:sz w:val="20"/>
          <w:szCs w:val="20"/>
        </w:rPr>
        <w:t xml:space="preserve">Tabla 1.</w:t>
      </w:r>
      <w:r>
        <w:rPr>
          <w:sz w:val="20"/>
          <w:szCs w:val="20"/>
        </w:rPr>
        <w:t xml:space="preserve"> Equivalencia entre las variables del artículo y las de Colombia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1900"/>
        <w:gridCol w:w="1860"/>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Variable del artículo (EE. UU.)</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Equivalente en Colombia</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Fuente</w:t>
            </w:r>
          </w:p>
        </w:tc>
        <w:tc>
          <w:tcPr>
            <w:tcW w:type="dxa" w:w="18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Nivel</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Furniture Retail Sales (dependiente)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Índice de ventas reales, líneas del hogar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DANE – EMC</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Departamento × línea</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Furniture Imports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Importaciones del capítulo 94 del arancel (muebles)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DANE – Comercio exterior</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Nacional</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Consumer Sentiment Index</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Índice de Confianza del Consumidor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Fedesarrollo</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Nacional</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Housing Starts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Área aprobada para vivienda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DANE – ELIC</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Departamental</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Credit Card Interest Rates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Interés bancario corriente, crédito de consumo y ordinario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Superintendencia Financiera</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Nacional</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Consumer Price Index</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Inflación anual (variación del IPC)</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DANE</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Nacional</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Population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 se incluye (ver 6.3)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COVID-19 (categórica)</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Variable indicadora de pandemia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Construida</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Nacional</w:t>
            </w:r>
          </w:p>
        </w:tc>
      </w:tr>
    </w:tbl>
    <w:p>
      <w:pPr>
        <w:spacing w:after="160"/>
      </w:pPr>
      <w:r>
        <w:rPr>
          <w:i/>
          <w:iCs/>
          <w:sz w:val="18"/>
          <w:szCs w:val="18"/>
        </w:rPr>
        <w:t xml:space="preserve">Fuente: elaboración propia a partir de İnce y Taşdemir (2024).</w:t>
      </w:r>
    </w:p>
    <w:p>
      <w:pPr>
        <w:spacing w:after="120" w:line="276"/>
        <w:jc w:val="both"/>
      </w:pPr>
      <w:r>
        <w:rPr>
          <w:b/>
          <w:bCs/>
        </w:rPr>
        <w:t xml:space="preserve">Relevancia local.</w:t>
      </w:r>
      <w:r>
        <w:t xml:space="preserve"> El vínculo entre vivienda y demanda de muebles se observa en el mercado colombiano actual. Según Camacol, las iniciaciones de vivienda nueva acumulan 33 meses consecutivos de retroceso, con una caída del 17,4 % en 2025, explicada en parte por los recortes y la suspensión de subsidios del programa Mi Casa Ya. Este tipo de choque de política pública sobre el ciclo de vivienda es el que el artículo captura con Housing Starts, y su comportamiento reciente sugiere que la variable de vivienda es pertinente para explicar movimientos en la demanda de bienes del hogar. Además, el DANE publica mensualmente la línea «Electrodomésticos, muebles para el hogar» y la desagregación departamental del grupo de comercio de enseres domésticos, lo que permite construir la variable objetivo con información oficial.</w:t>
      </w:r>
    </w:p>
    <w:p>
      <w:pPr>
        <w:spacing w:after="120" w:line="276"/>
        <w:jc w:val="both"/>
      </w:pPr>
      <w:r>
        <w:rPr>
          <w:b/>
          <w:bCs/>
        </w:rPr>
        <w:t xml:space="preserve">Alcance: qué se reproduce y qué se excluye.</w:t>
      </w:r>
      <w:r>
        <w:t xml:space="preserve"> Se reproduce la componente de regresión lineal múltiple del artículo: selección de variables mediante regresión stepwise, diagnóstico de multicolinealidad y evaluación con MAPE, MAD y MSD. Como extensión, y dado que el artículo identifica la multicolinealidad como su principal limitación, se compara la MLR con dos técnicas de regularización vistas en el curso, Ridge y Lasso. Se excluye el modelo Holt–Winters, por ser una técnica de suavizamiento exponencial ajena al contenido del curso.</w:t>
      </w:r>
    </w:p>
    <w:p>
      <w:pPr>
        <w:pStyle w:val="Heading1"/>
        <w:spacing w:after="120" w:before="240"/>
      </w:pPr>
      <w:r>
        <w:t xml:space="preserve">6.3. Estrategia de datos</w:t>
      </w:r>
    </w:p>
    <w:p>
      <w:pPr>
        <w:spacing w:after="120" w:line="276"/>
        <w:jc w:val="both"/>
      </w:pPr>
      <w:r>
        <w:rPr>
          <w:b/>
          <w:bCs/>
        </w:rPr>
        <w:t xml:space="preserve">Vía de datos y justificación.</w:t>
      </w:r>
      <w:r>
        <w:t xml:space="preserve"> Se usa una combinación de datos reales y un componente simulado acotado. Antes de decidirlo se exploraron las fuentes disponibles. El DANE no publica microdatos de la EMC, y la encuesta no tiene dominios de estimación por ciudad, salvo Bogotá. Tampoco se encontraron series abiertas de ventas de muebles por ciudad en la DIAN, la Superintendencia de Sociedades ni en datos de pagos con tarjeta. Se evaluó también la Pesquisa Mensal de Comércio de Brasil (IBGE), pero solo publica 12 estados y su línea de muebles por estado empieza en 2013, lo que da unos 3.900 registros. Ninguna fuente real de ventas de muebles alcanza el mínimo de 5.000 registros, por lo que se construye un panel a partir de series oficiales del DANE, con la menor proporción posible de información simulada.</w:t>
      </w:r>
    </w:p>
    <w:p>
      <w:pPr>
        <w:spacing w:after="120" w:line="276"/>
        <w:jc w:val="both"/>
      </w:pPr>
      <w:r>
        <w:rPr>
          <w:b/>
          <w:bCs/>
        </w:rPr>
        <w:t xml:space="preserve">Estructura del conjunto.</w:t>
      </w:r>
      <w:r>
        <w:t xml:space="preserve"> 7 dominios departamentales de la EMC (Antioquia, Atlántico, Bogotá, Cundinamarca, Santander, Valle del Cauca y Otros departamentos) × 8 líneas de mercancía del hogar × 91 meses (enero de 2019 a julio de 2026) = 5.096 registros. Las líneas son: electrodomésticos y muebles; artículos y utensilios domésticos; productos de aseo del hogar; equipo de informática y telecomunicaciones; equipo de sonido y video; ferretería, vidrios y pinturas; otras mercancías de uso doméstico; y prendas de vestir y textiles.</w:t>
      </w:r>
    </w:p>
    <w:p>
      <w:pPr>
        <w:spacing w:after="120" w:line="276"/>
        <w:jc w:val="both"/>
      </w:pPr>
      <w:r>
        <w:rPr>
          <w:b/>
          <w:bCs/>
        </w:rPr>
        <w:t xml:space="preserve">Construcción de la variable objetivo.</w:t>
      </w:r>
      <w:r>
        <w:t xml:space="preserve"> Cada registro se calcula como:</w:t>
      </w:r>
    </w:p>
    <w:p>
      <w:pPr>
        <w:spacing w:after="120" w:before="120"/>
        <w:jc w:val="center"/>
      </w:pPr>
      <w:r>
        <w:rPr>
          <w:i/>
          <w:iCs/>
        </w:rPr>
        <w:t xml:space="preserve">Índice(d, l, t) = L(l, t) × F(d, t) × η(d, l, t)</w:t>
      </w:r>
    </w:p>
    <w:p>
      <w:pPr>
        <w:pStyle w:val="ListParagraph"/>
        <w:numPr>
          <w:ilvl w:val="0"/>
          <w:numId w:val="2"/>
        </w:numPr>
        <w:spacing w:after="60" w:line="276"/>
        <w:jc w:val="both"/>
      </w:pPr>
      <w:r>
        <w:rPr>
          <w:b/>
          <w:bCs/>
        </w:rPr>
        <w:t xml:space="preserve">L(l, t):</w:t>
      </w:r>
      <w:r>
        <w:t xml:space="preserve"> índice nacional de ventas reales de la línea l en el mes t (EMC, anexo nacional, hoja 2.2). Es un dato real.</w:t>
      </w:r>
    </w:p>
    <w:p>
      <w:pPr>
        <w:pStyle w:val="ListParagraph"/>
        <w:numPr>
          <w:ilvl w:val="0"/>
          <w:numId w:val="2"/>
        </w:numPr>
        <w:spacing w:after="60" w:line="276"/>
        <w:jc w:val="both"/>
      </w:pPr>
      <w:r>
        <w:rPr>
          <w:b/>
          <w:bCs/>
        </w:rPr>
        <w:t xml:space="preserve">F(d, t):</w:t>
      </w:r>
      <w:r>
        <w:t xml:space="preserve"> factor regional, igual al índice de ventas reales del grupo CIIU 4741–4759 (que incluye la clase 4754, electrodomésticos y muebles) en el departamento d, dividido por el agregado nacional del mismo grupo (EMC, anexo departamental, hoja 3.2). Es un dato real.</w:t>
      </w:r>
    </w:p>
    <w:p>
      <w:pPr>
        <w:pStyle w:val="ListParagraph"/>
        <w:numPr>
          <w:ilvl w:val="0"/>
          <w:numId w:val="2"/>
        </w:numPr>
        <w:spacing w:after="60" w:line="276"/>
        <w:jc w:val="both"/>
      </w:pPr>
      <w:r>
        <w:rPr>
          <w:b/>
          <w:bCs/>
        </w:rPr>
        <w:t xml:space="preserve">η(d, l, t):</w:t>
      </w:r>
      <w:r>
        <w:t xml:space="preserve"> componente específico de cada línea en cada departamento. Es la única parte simulada.</w:t>
      </w:r>
    </w:p>
    <w:p>
      <w:pPr>
        <w:spacing w:after="120" w:line="276"/>
        <w:jc w:val="both"/>
      </w:pPr>
      <w:r>
        <w:t xml:space="preserve">A diferencia de la versión anterior, las variables macroeconómicas no intervienen en la construcción de la variable objetivo. La relación entre ventas y entorno económico proviene de los datos observados por el DANE, de modo que el modelo debe descubrirla y no recuperar una relación programada.</w:t>
      </w:r>
    </w:p>
    <w:p>
      <w:pPr>
        <w:spacing w:after="120" w:line="276"/>
        <w:jc w:val="both"/>
      </w:pPr>
      <w:r>
        <w:rPr>
          <w:b/>
          <w:bCs/>
        </w:rPr>
        <w:t xml:space="preserve">Ponderación departamental.</w:t>
      </w:r>
      <w:r>
        <w:t xml:space="preserve"> El agregado nacional del factor regional usa pesos derivados de las contribuciones publicadas por el DANE (anexo departamental, hojas 1.1 y 2.1), llevados a la base 2019: Otros departamentos 33,3 %, Bogotá 22,6 %, Antioquia 17,0 %, Valle del Cauca 12,1 %, Atlántico 5,7 %, Cundinamarca 5,0 % y Santander 4,3 %. Como verificación, la agregación de los 7 dominios con estos pesos reproduce exactamente el índice nacional oficial de las actividades 474 y 475, lo que confirma que corresponden a la estructura de ponderación de la encuesta.</w:t>
      </w:r>
    </w:p>
    <w:p>
      <w:pPr>
        <w:spacing w:after="120" w:line="276"/>
        <w:jc w:val="both"/>
      </w:pPr>
      <w:r>
        <w:rPr>
          <w:b/>
          <w:bCs/>
        </w:rPr>
        <w:t xml:space="preserve">Fundamento del componente simulado.</w:t>
      </w:r>
      <w:r>
        <w:t xml:space="preserve"> El DANE no publica ventas por línea y departamento, pero sí publica cinco grupos de actividad por departamento. Al compararlos se encontró que la dinámica regional difiere según el tipo de producto (correlaciones entre 0,07 y 0,30 con la del grupo del hogar). El componente η representa esa diferencia, y sus parámetros se estimaron a partir de esos datos, no se asignaron:</w:t>
      </w:r>
    </w:p>
    <w:p>
      <w:pPr>
        <w:pStyle w:val="ListParagraph"/>
        <w:numPr>
          <w:ilvl w:val="0"/>
          <w:numId w:val="2"/>
        </w:numPr>
        <w:spacing w:after="60" w:line="276"/>
        <w:jc w:val="both"/>
      </w:pPr>
      <w:r>
        <w:rPr>
          <w:b/>
          <w:bCs/>
        </w:rPr>
        <w:t xml:space="preserve">Magnitud:</w:t>
      </w:r>
      <w:r>
        <w:t xml:space="preserve"> la desviación regional específica de cada grupo respecto al del hogar, ponderada por departamento, osciló entre 4 % y 13 %.</w:t>
      </w:r>
    </w:p>
    <w:p>
      <w:pPr>
        <w:pStyle w:val="ListParagraph"/>
        <w:numPr>
          <w:ilvl w:val="0"/>
          <w:numId w:val="2"/>
        </w:numPr>
        <w:spacing w:after="60" w:line="276"/>
        <w:jc w:val="both"/>
      </w:pPr>
      <w:r>
        <w:rPr>
          <w:b/>
          <w:bCs/>
        </w:rPr>
        <w:t xml:space="preserve">Persistencia:</w:t>
      </w:r>
      <w:r>
        <w:t xml:space="preserve"> la autocorrelación mensual de esas desviaciones fue de 0,5 a 0,66, por lo que η sigue un proceso autorregresivo de orden 1 con coeficiente 0,6.</w:t>
      </w:r>
    </w:p>
    <w:p>
      <w:pPr>
        <w:pStyle w:val="ListParagraph"/>
        <w:numPr>
          <w:ilvl w:val="0"/>
          <w:numId w:val="2"/>
        </w:numPr>
        <w:spacing w:after="60" w:line="276"/>
        <w:jc w:val="both"/>
      </w:pPr>
      <w:r>
        <w:rPr>
          <w:b/>
          <w:bCs/>
        </w:rPr>
        <w:t xml:space="preserve">Conservación:</w:t>
      </w:r>
      <w:r>
        <w:t xml:space="preserve"> η se ajusta para que el promedio ponderado de los departamentos reproduzca exactamente la serie nacional de cada línea. En consecuencia, la evaluación principal (línea de muebles a nivel nacional) no depende del componente simulado.</w:t>
      </w:r>
    </w:p>
    <w:p>
      <w:pPr>
        <w:spacing w:after="120" w:line="276"/>
        <w:jc w:val="both"/>
      </w:pPr>
      <w:r>
        <w:t xml:space="preserve">Dado que la magnitud real de η no se observa directamente, se construyen tres escenarios fijados antes de cualquier modelamiento: bajo (2 %, del orden del error de muestreo que publica el DANE), central (7 %, la mediana de las desviaciones observadas) y alto (13 %, la mayor observada). El ruido no se calibra para obtener un nivel de error determinado, y los resultados se reportarán para los tres escenarios. La simulación usa una semilla fija para garantizar la reproducibilidad.</w:t>
      </w:r>
    </w:p>
    <w:p>
      <w:pPr>
        <w:spacing w:after="80" w:before="160"/>
      </w:pPr>
      <w:r>
        <w:rPr>
          <w:b/>
          <w:bCs/>
          <w:sz w:val="20"/>
          <w:szCs w:val="20"/>
        </w:rPr>
        <w:t xml:space="preserve">Tabla 2.</w:t>
      </w:r>
      <w:r>
        <w:rPr>
          <w:sz w:val="20"/>
          <w:szCs w:val="20"/>
        </w:rPr>
        <w:t xml:space="preserve"> Origen de cada componente del conjunto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Componente</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Tipo</w:t>
            </w:r>
          </w:p>
        </w:tc>
        <w:tc>
          <w:tcPr>
            <w:tcW w:type="dxa" w:w="28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Fuente</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Dinámica de cada línea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Real</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DANE – EMC nacional</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Dinámica de cada departamento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Real (proxy: grupo 4741–4759)</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DANE – EMC departamental</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Pesos departamentales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Real</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Contribuciones publicadas por el DANE</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Desviación propia línea × departamento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Simulada, con parámetros estimados de datos del DANE</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bl>
    <w:p>
      <w:pPr>
        <w:spacing w:after="160"/>
      </w:pPr>
      <w:r>
        <w:rPr>
          <w:i/>
          <w:iCs/>
          <w:sz w:val="18"/>
          <w:szCs w:val="18"/>
        </w:rPr>
        <w:t xml:space="preserve">Fuente: elaboración propia.</w:t>
      </w:r>
    </w:p>
    <w:p>
      <w:pPr>
        <w:spacing w:after="120" w:line="276"/>
        <w:jc w:val="both"/>
      </w:pPr>
      <w:r>
        <w:rPr>
          <w:b/>
          <w:bCs/>
        </w:rPr>
        <w:t xml:space="preserve">Predictores y calidad inicial.</w:t>
      </w:r>
      <w:r>
        <w:t xml:space="preserve"> La Tabla 3 resume los predictores previstos.</w:t>
      </w:r>
    </w:p>
    <w:p>
      <w:pPr>
        <w:spacing w:after="80" w:before="160"/>
      </w:pPr>
      <w:r>
        <w:rPr>
          <w:b/>
          <w:bCs/>
          <w:sz w:val="20"/>
          <w:szCs w:val="20"/>
        </w:rPr>
        <w:t xml:space="preserve">Tabla 3.</w:t>
      </w:r>
      <w:r>
        <w:rPr>
          <w:sz w:val="20"/>
          <w:szCs w:val="20"/>
        </w:rPr>
        <w:t xml:space="preserve"> Predictores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500"/>
        <w:gridCol w:w="2060"/>
      </w:tblGrid>
      <w:tr>
        <w:trPr>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Variable</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Fuente</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Nivel</w:t>
            </w:r>
          </w:p>
        </w:tc>
        <w:tc>
          <w:tcPr>
            <w:tcW w:type="dxa" w:w="20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Estado</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Confianza del consumidor (ICC)</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Fedesarrollo, histórico de la EOC</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Nacional</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Real</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Área aprobada para vivienda</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DANE – ELIC</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Departamental</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Real</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Interés bancario corriente (consumo y ordinario)</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Superintendencia Financiera</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Nacional</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Real</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Inflación anual</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DANE – IPC</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Nacional</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Real</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Importaciones de muebles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DANE, capítulo 94 del arancel (miles de USD CIF)</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Nacional</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Real</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Indicadora de pandemia</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Construida</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Nacional</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bl>
    <w:p>
      <w:pPr>
        <w:spacing w:after="160"/>
      </w:pPr>
      <w:r>
        <w:rPr>
          <w:i/>
          <w:iCs/>
          <w:sz w:val="18"/>
          <w:szCs w:val="18"/>
        </w:rPr>
        <w:t xml:space="preserve">Fuente: elaboración propia.</w:t>
      </w:r>
    </w:p>
    <w:p>
      <w:pPr>
        <w:spacing w:after="120" w:line="276"/>
        <w:jc w:val="both"/>
      </w:pPr>
      <w:r>
        <w:t xml:space="preserve">La población no se incluye: casi no varía de un mes a otro y, en el artículo, fue la principal fuente de multicolinealidad (VIF de 16,16 y coeficiente con signo contrario al esperado). Tampoco se incluye el índice de precios al productor, por su correlación de 0,996 con el IPC en el artículo. Las series de la EMC y de los predictores están completas para los 91 meses, sin valores faltantes. Dos precisiones sobre las fuentes: el histórico de Fedesarrollo solo publica el ICC agregado nacional, por lo que la confianza no tiene variación regional; y el DANE publica las importaciones por capítulo y no por partida, por lo que el capítulo 94 incluye, además de muebles, colchones, lámparas y construcciones prefabricadas.</w:t>
      </w:r>
    </w:p>
    <w:p>
      <w:pPr>
        <w:spacing w:after="120" w:line="276"/>
        <w:jc w:val="both"/>
      </w:pPr>
      <w:r>
        <w:rPr>
          <w:b/>
          <w:bCs/>
        </w:rPr>
        <w:t xml:space="preserve">Supuestos y limitaciones.</w:t>
      </w:r>
    </w:p>
    <w:p>
      <w:pPr>
        <w:pStyle w:val="ListParagraph"/>
        <w:numPr>
          <w:ilvl w:val="0"/>
          <w:numId w:val="3"/>
        </w:numPr>
        <w:spacing w:after="60" w:line="276"/>
        <w:jc w:val="both"/>
      </w:pPr>
      <w:r>
        <w:rPr>
          <w:b/>
          <w:bCs/>
        </w:rPr>
        <w:t xml:space="preserve">Proxy regional:</w:t>
      </w:r>
      <w:r>
        <w:t xml:space="preserve"> el grupo 4741–4759 incluye, además de muebles y electrodomésticos, informática, textiles para el hogar y ferretería. Su correlación con la línea nacional de muebles va de 0,68 a 0,90 según el departamento.</w:t>
      </w:r>
    </w:p>
    <w:p>
      <w:pPr>
        <w:pStyle w:val="ListParagraph"/>
        <w:numPr>
          <w:ilvl w:val="0"/>
          <w:numId w:val="3"/>
        </w:numPr>
        <w:spacing w:after="60" w:line="276"/>
        <w:jc w:val="both"/>
      </w:pPr>
      <w:r>
        <w:rPr>
          <w:b/>
          <w:bCs/>
        </w:rPr>
        <w:t xml:space="preserve">Cobertura:</w:t>
      </w:r>
      <w:r>
        <w:t xml:space="preserve"> la EMC incluye solo empresas con 10 o más personas ocupadas o con ingresos de al menos $1.700 millones de 2017; no representa el comercio pequeño ni el informal.</w:t>
      </w:r>
    </w:p>
    <w:p>
      <w:pPr>
        <w:pStyle w:val="ListParagraph"/>
        <w:numPr>
          <w:ilvl w:val="0"/>
          <w:numId w:val="3"/>
        </w:numPr>
        <w:spacing w:after="60" w:line="276"/>
        <w:jc w:val="both"/>
      </w:pPr>
      <w:r>
        <w:rPr>
          <w:b/>
          <w:bCs/>
        </w:rPr>
        <w:t xml:space="preserve">Información efectiva:</w:t>
      </w:r>
      <w:r>
        <w:t xml:space="preserve"> los 5.096 registros no son observaciones independientes. La información real proviene de 8 series nacionales y 7 dinámicas departamentales de 91 meses, y los indicadores nacionales son iguales para todos los registros de un mismo mes. Esta estructura se tendrá en cuenta al validar e interpretar el modelo.</w:t>
      </w:r>
    </w:p>
    <w:p>
      <w:pPr>
        <w:spacing w:after="120" w:line="276"/>
        <w:jc w:val="both"/>
      </w:pPr>
      <w:r>
        <w:rPr>
          <w:b/>
          <w:bCs/>
        </w:rPr>
        <w:t xml:space="preserve">Multicolinealidad.</w:t>
      </w:r>
      <w:r>
        <w:t xml:space="preserve"> Se diagnosticará mediante el factor de inflación de varianza (VIF), sin reglas automáticas de exclusión. Cuando dos predictores estén muy relacionados, la decisión se tomará considerando su interpretación, la estabilidad de los coeficientes y la comparación entre MLR, Ridge y Lasso.</w:t>
      </w:r>
    </w:p>
    <w:p>
      <w:pPr>
        <w:pStyle w:val="Heading1"/>
        <w:spacing w:after="120" w:before="240"/>
      </w:pPr>
      <w:r>
        <w:t xml:space="preserve">6.4. Plan de modelamiento y línea base</w:t>
      </w:r>
    </w:p>
    <w:p>
      <w:pPr>
        <w:spacing w:after="120" w:line="276"/>
        <w:jc w:val="both"/>
      </w:pPr>
      <w:r>
        <w:rPr>
          <w:b/>
          <w:bCs/>
        </w:rPr>
        <w:t xml:space="preserve">Modelos candidatos.</w:t>
      </w:r>
      <w:r>
        <w:t xml:space="preserve"> Se comparan tres modelos de regresión vistos en el curso:</w:t>
      </w:r>
    </w:p>
    <w:p>
      <w:pPr>
        <w:pStyle w:val="ListParagraph"/>
        <w:numPr>
          <w:ilvl w:val="0"/>
          <w:numId w:val="4"/>
        </w:numPr>
        <w:spacing w:after="60" w:line="276"/>
        <w:jc w:val="both"/>
      </w:pPr>
      <w:r>
        <w:rPr>
          <w:b/>
          <w:bCs/>
        </w:rPr>
        <w:t xml:space="preserve">Regresión lineal múltiple con selección stepwise</w:t>
      </w:r>
      <w:r>
        <w:t xml:space="preserve">, que reproduce el método del artículo.</w:t>
      </w:r>
    </w:p>
    <w:p>
      <w:pPr>
        <w:pStyle w:val="ListParagraph"/>
        <w:numPr>
          <w:ilvl w:val="0"/>
          <w:numId w:val="4"/>
        </w:numPr>
        <w:spacing w:after="60" w:line="276"/>
        <w:jc w:val="both"/>
      </w:pPr>
      <w:r>
        <w:rPr>
          <w:b/>
          <w:bCs/>
        </w:rPr>
        <w:t xml:space="preserve">Ridge</w:t>
      </w:r>
      <w:r>
        <w:t xml:space="preserve">, que penaliza la magnitud de los coeficientes y los estabiliza cuando los predictores están correlacionados.</w:t>
      </w:r>
    </w:p>
    <w:p>
      <w:pPr>
        <w:pStyle w:val="ListParagraph"/>
        <w:numPr>
          <w:ilvl w:val="0"/>
          <w:numId w:val="4"/>
        </w:numPr>
        <w:spacing w:after="60" w:line="276"/>
        <w:jc w:val="both"/>
      </w:pPr>
      <w:r>
        <w:rPr>
          <w:b/>
          <w:bCs/>
        </w:rPr>
        <w:t xml:space="preserve">Lasso</w:t>
      </w:r>
      <w:r>
        <w:t xml:space="preserve">, que además puede llevar coeficientes a cero, por lo que selecciona variables de forma automática y reproducible; es una alternativa directa al procedimiento stepwise.</w:t>
      </w:r>
    </w:p>
    <w:p>
      <w:pPr>
        <w:spacing w:after="120" w:line="276"/>
        <w:jc w:val="both"/>
      </w:pPr>
      <w:r>
        <w:t xml:space="preserve">La elección responde al principal hallazgo del artículo: el modelo final presentó multicolinealidad severa (VIF de 16,16 en población y de 23,18 en el índice de precios al productor), con un coeficiente de signo contrario al esperado y una caída del R² predictivo (63,01 %) frente al de ajuste (76,73 %). La comparación permite responder una pregunta metodológica concreta: ¿la regularización mejora la estabilidad o la capacidad predictiva frente a la regresión lineal múltiple cuando varios predictores macroeconómicos están fuertemente relacionados? Para evitar fuga de información, la selección stepwise y el ajuste del parámetro de penalización de Ridge y Lasso se realizarán únicamente con los datos de entrenamiento, nunca con el periodo de prueba.</w:t>
      </w:r>
    </w:p>
    <w:p>
      <w:pPr>
        <w:spacing w:after="120" w:line="276"/>
        <w:jc w:val="both"/>
      </w:pPr>
      <w:r>
        <w:rPr>
          <w:b/>
          <w:bCs/>
        </w:rPr>
        <w:t xml:space="preserve">Métrica principal.</w:t>
      </w:r>
      <w:r>
        <w:t xml:space="preserve"> El MAPE (error porcentual absoluto medio), calculado sobre el pronóstico de la línea de electrodomésticos y muebles agregada a nivel nacional. Su elección responde al uso del pronóstico: en la planeación de inventarios y producción, el costo de un error depende de su tamaño relativo a la demanda y no de su valor absoluto; un error de 10 puntos es grave si la demanda es 50 y menor si es 200. El MAPE expresa el error en porcentaje, lo que lo hace interpretable para esas decisiones y permite comparar directamente el resultado con el 4,89 % reportado en el artículo. Como métricas secundarias se reportarán el MAD y el MSD, siguiendo el esquema del artículo. Dado que el MAPE se vuelve inestable cuando los valores observados son muy bajos, como ocurrió en los meses de confinamiento de 2020, el MAD se usará como contraste en esos periodos.</w:t>
      </w:r>
    </w:p>
    <w:p>
      <w:pPr>
        <w:spacing w:after="120" w:line="276"/>
        <w:jc w:val="both"/>
      </w:pPr>
      <w:r>
        <w:rPr>
          <w:b/>
          <w:bCs/>
        </w:rPr>
        <w:t xml:space="preserve">Estrategia de validación.</w:t>
      </w:r>
      <w:r>
        <w:t xml:space="preserve"> Dado que los datos tienen estructura temporal, la partición será cronológica y por mes: todos los registros de un mismo mes quedarán juntos en entrenamiento o en prueba, de modo que ningún mes aporte información a ambas particiones. Los últimos 12 meses (agosto de 2025 a julio de 2026) se reservan como conjunto de prueba. El ajuste de hiperparámetros se hará con validación cruzada temporal, solo dentro del periodo de entrenamiento y ajustando siempre el modelo con meses anteriores a los que evalúa. El ejercicio se repetirá en los tres escenarios del componente simulado, para verificar que las conclusiones no dependen de él.</w:t>
      </w:r>
    </w:p>
    <w:p>
      <w:pPr>
        <w:spacing w:after="120" w:line="276"/>
        <w:jc w:val="both"/>
      </w:pPr>
      <w:r>
        <w:rPr>
          <w:b/>
          <w:bCs/>
        </w:rPr>
        <w:t xml:space="preserve">Línea base.</w:t>
      </w:r>
      <w:r>
        <w:t xml:space="preserve"> Se construyen dos referencias mínimas:</w:t>
      </w:r>
    </w:p>
    <w:p>
      <w:pPr>
        <w:pStyle w:val="ListParagraph"/>
        <w:numPr>
          <w:ilvl w:val="0"/>
          <w:numId w:val="2"/>
        </w:numPr>
        <w:spacing w:after="60" w:line="276"/>
        <w:jc w:val="both"/>
      </w:pPr>
      <w:r>
        <w:rPr>
          <w:b/>
          <w:bCs/>
        </w:rPr>
        <w:t xml:space="preserve">Predictor de la media:</w:t>
      </w:r>
      <w:r>
        <w:t xml:space="preserve"> pronostica el promedio histórico del periodo de entrenamiento, sin usar predictores.</w:t>
      </w:r>
    </w:p>
    <w:p>
      <w:pPr>
        <w:pStyle w:val="ListParagraph"/>
        <w:numPr>
          <w:ilvl w:val="0"/>
          <w:numId w:val="2"/>
        </w:numPr>
        <w:spacing w:after="60" w:line="276"/>
        <w:jc w:val="both"/>
      </w:pPr>
      <w:r>
        <w:rPr>
          <w:b/>
          <w:bCs/>
        </w:rPr>
        <w:t xml:space="preserve">Ingenuo estacional:</w:t>
      </w:r>
      <w:r>
        <w:t xml:space="preserve"> pronostica para cada mes el valor del mismo mes del año anterior; es una referencia más exigente para series con estacionalidad marcada.</w:t>
      </w:r>
    </w:p>
    <w:p>
      <w:pPr>
        <w:spacing w:after="120" w:line="276"/>
        <w:jc w:val="both"/>
      </w:pPr>
      <w:r>
        <w:t xml:space="preserve">Las líneas base no se interpretan como competidores realistas, sino como el mínimo que cualquier modelo debe superar. Por ello, además del MAPE de cada modelo, se reportará su mejora porcentual frente a cada línea base. Si un modelo no mejora claramente frente al ingenuo estacional, se concluirá que los predictores macroeconómicos no aportan información útil más allá del patrón estacional de las ventas.</w:t>
      </w:r>
    </w:p>
    <w:p>
      <w:pPr>
        <w:pStyle w:val="Heading1"/>
        <w:spacing w:after="120" w:before="240"/>
      </w:pPr>
      <w:r>
        <w:t xml:space="preserve">Referencias</w:t>
      </w:r>
    </w:p>
    <w:p>
      <w:pPr>
        <w:spacing w:after="100"/>
        <w:ind w:left="720" w:hanging="720"/>
      </w:pPr>
      <w:r>
        <w:t xml:space="preserve">DANE (2026). Encuesta Mensual de Comercio (EMC): anexos informativos del comercio minorista, total nacional y por departamentos, julio de 2026. Departamento Administrativo Nacional de Estadística.</w:t>
      </w:r>
    </w:p>
    <w:p>
      <w:pPr>
        <w:spacing w:after="100"/>
        <w:ind w:left="720" w:hanging="720"/>
      </w:pPr>
      <w:r>
        <w:t xml:space="preserve">İnce, M. N. y Taşdemir, Ç. (2024). Forecasting Retail Sales for Furniture and Furnishing Items through the Employment of Multiple Linear Regression and Holt–Winters Models. Systems, 12(6), 219. https://doi.org/10.3390/systems12060219</w:t>
      </w:r>
    </w:p>
    <w:p>
      <w:pPr>
        <w:spacing w:after="100"/>
        <w:ind w:left="720" w:hanging="720"/>
      </w:pPr>
      <w:r>
        <w:t xml:space="preserve">IBGE (2026). Pesquisa Mensal de Comércio, tabla SIDRA 8882. Instituto Brasileiro de Geografia e Estatística.</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Integrador ML I — Primera entrega corregida</dc:title>
  <dc:creator>Equipo Proyecto Integrador</dc:creator>
  <cp:lastModifiedBy>Un-named</cp:lastModifiedBy>
  <cp:revision>1</cp:revision>
  <dcterms:created xsi:type="dcterms:W3CDTF">2026-10-08T22:25:08.057Z</dcterms:created>
  <dcterms:modified xsi:type="dcterms:W3CDTF">2026-10-08T22:25:08.069Z</dcterms:modified>
</cp:coreProperties>
</file>

<file path=docProps/custom.xml><?xml version="1.0" encoding="utf-8"?>
<Properties xmlns="http://schemas.openxmlformats.org/officeDocument/2006/custom-properties" xmlns:vt="http://schemas.openxmlformats.org/officeDocument/2006/docPropsVTypes"/>
</file>