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t>Rendszerterv</w:t>
      </w:r>
    </w:p>
    <w:p w14:paraId="5E8EF2C2" w14:textId="405A80C1" w:rsidR="00D121E7" w:rsidRDefault="000E001E" w:rsidP="00D121E7">
      <w:r>
        <w:rPr>
          <w:noProof/>
          <w:lang w:eastAsia="hu-HU"/>
        </w:rPr>
        <w:drawing>
          <wp:inline distT="0" distB="0" distL="0" distR="0" wp14:anchorId="6B0A3E62" wp14:editId="419439CD">
            <wp:extent cx="5820770" cy="5896481"/>
            <wp:effectExtent l="0" t="0" r="8890" b="9525"/>
            <wp:docPr id="1172876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6943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5"/>
                    <a:stretch/>
                  </pic:blipFill>
                  <pic:spPr bwMode="auto">
                    <a:xfrm>
                      <a:off x="0" y="0"/>
                      <a:ext cx="5843834" cy="591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B584FF3" w:rsidR="00D563F2" w:rsidRDefault="00D563F2" w:rsidP="00C3749D">
            <w:r>
              <w:t xml:space="preserve">Ha a megszakításgenerálás tiltva van, akkor ezen a címen olvasható, hogy </w:t>
            </w:r>
            <w:r w:rsidR="00577F61">
              <w:t>vége</w:t>
            </w:r>
            <w:r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23273C9E" w:rsidR="00065097" w:rsidRPr="009F60A3" w:rsidRDefault="00065097" w:rsidP="00045852">
      <w:pPr>
        <w:spacing w:after="0"/>
        <w:jc w:val="both"/>
      </w:pPr>
      <w:r>
        <w:t xml:space="preserve">A megszakításgenerálás </w:t>
      </w:r>
      <w:proofErr w:type="spellStart"/>
      <w:r>
        <w:t>engelyézhető</w:t>
      </w:r>
      <w:proofErr w:type="spellEnd"/>
      <w:r>
        <w:t xml:space="preserve">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91CBDA3" w:rsidR="00065097" w:rsidRDefault="00065097" w:rsidP="00C716BF">
      <w:pPr>
        <w:jc w:val="both"/>
      </w:pPr>
      <w:r>
        <w:t xml:space="preserve">Ha nincs engedélyezve a megszakításgenerálás, a processzor olvashatja a művelet állapotát a </w:t>
      </w:r>
      <w:proofErr w:type="spellStart"/>
      <w:r>
        <w:rPr>
          <w:i/>
          <w:iCs/>
        </w:rPr>
        <w:t>ready</w:t>
      </w:r>
      <w:proofErr w:type="spellEnd"/>
      <w:r>
        <w:t xml:space="preserve"> címen, ilyenkor az adapter a logika </w:t>
      </w:r>
      <w:proofErr w:type="spellStart"/>
      <w:r>
        <w:rPr>
          <w:i/>
          <w:iCs/>
        </w:rPr>
        <w:t>ready</w:t>
      </w:r>
      <w:proofErr w:type="spellEnd"/>
      <w:r>
        <w:t xml:space="preserve"> kimenetét jeleníti meg ezen a címen.</w:t>
      </w:r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5071E26" w14:textId="77777777" w:rsidTr="003A0A52">
        <w:tc>
          <w:tcPr>
            <w:tcW w:w="1762" w:type="dxa"/>
          </w:tcPr>
          <w:p w14:paraId="00EB1539" w14:textId="29D69300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start_ack</w:t>
            </w:r>
            <w:proofErr w:type="spellEnd"/>
          </w:p>
        </w:tc>
        <w:tc>
          <w:tcPr>
            <w:tcW w:w="847" w:type="dxa"/>
          </w:tcPr>
          <w:p w14:paraId="5599DA29" w14:textId="173786D9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0A53486A" w14:textId="483CEF13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80DD091" w14:textId="667BA8E1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jelzi a logika, hogy megkezdte a művelet elvégzését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555D816C" w14:textId="77777777" w:rsidTr="003A0A52">
        <w:tc>
          <w:tcPr>
            <w:tcW w:w="1762" w:type="dxa"/>
          </w:tcPr>
          <w:p w14:paraId="3EA161BD" w14:textId="59E69DFD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operand_size</w:t>
            </w:r>
            <w:proofErr w:type="spellEnd"/>
          </w:p>
        </w:tc>
        <w:tc>
          <w:tcPr>
            <w:tcW w:w="847" w:type="dxa"/>
          </w:tcPr>
          <w:p w14:paraId="502F77A9" w14:textId="2324CCC6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480E6CBB" w14:textId="55D09627" w:rsidR="003A0A52" w:rsidRDefault="003A0A52" w:rsidP="009F60A3">
            <w:r>
              <w:t>5</w:t>
            </w:r>
          </w:p>
        </w:tc>
        <w:tc>
          <w:tcPr>
            <w:tcW w:w="5624" w:type="dxa"/>
          </w:tcPr>
          <w:p w14:paraId="6C6E0FB5" w14:textId="4CD0DA2B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adja meg az adapter, hogy valójában hány bitesek az operandusok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16195BC0" w:rsidR="003A0A52" w:rsidRDefault="003A0A52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3B49EB0D" w:rsidR="003A0A52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</w:p>
        </w:tc>
      </w:tr>
    </w:tbl>
    <w:p w14:paraId="10E0AB36" w14:textId="5A7F8933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06762AD6" w14:textId="644ECE98" w:rsidR="00902326" w:rsidRDefault="00902326" w:rsidP="00902326">
      <w:pPr>
        <w:pStyle w:val="Cmsor1"/>
      </w:pPr>
      <w:bookmarkStart w:id="0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0"/>
      <w:r>
        <w:t xml:space="preserve"> </w:t>
      </w:r>
      <w:hyperlink r:id="rId10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57266B48" w:rsidR="00902326" w:rsidRDefault="00902326" w:rsidP="00902326">
      <w:pPr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bites számot (X, Y) szorzunk össze. 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</w:t>
      </w:r>
      <w:r w:rsidR="00824A73">
        <w:t>balra</w:t>
      </w:r>
      <w:r>
        <w:t xml:space="preserve">, </w:t>
      </w:r>
      <w:r>
        <w:rPr>
          <w:i/>
          <w:iCs/>
        </w:rPr>
        <w:t>Q</w:t>
      </w:r>
      <w:r>
        <w:t xml:space="preserve">-t </w:t>
      </w:r>
      <w:r w:rsidR="00824A73">
        <w:t>jobbra</w:t>
      </w:r>
      <w:bookmarkStart w:id="1" w:name="_GoBack"/>
      <w:bookmarkEnd w:id="1"/>
      <w:r>
        <w:t xml:space="preserve">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3E103615" w:rsidR="00902326" w:rsidRPr="009F60A3" w:rsidRDefault="00902326" w:rsidP="00902326">
      <w:pPr>
        <w:spacing w:before="120"/>
        <w:jc w:val="both"/>
      </w:pPr>
    </w:p>
    <w:sectPr w:rsidR="00902326" w:rsidRPr="009F60A3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9E0B9" w14:textId="77777777" w:rsidR="00DF44E9" w:rsidRDefault="00DF44E9" w:rsidP="00045852">
      <w:pPr>
        <w:spacing w:after="0" w:line="240" w:lineRule="auto"/>
      </w:pPr>
      <w:r>
        <w:separator/>
      </w:r>
    </w:p>
  </w:endnote>
  <w:endnote w:type="continuationSeparator" w:id="0">
    <w:p w14:paraId="20B03F37" w14:textId="77777777" w:rsidR="00DF44E9" w:rsidRDefault="00DF44E9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B569F" w14:textId="77777777" w:rsidR="00DF44E9" w:rsidRDefault="00DF44E9" w:rsidP="00045852">
      <w:pPr>
        <w:spacing w:after="0" w:line="240" w:lineRule="auto"/>
      </w:pPr>
      <w:r>
        <w:separator/>
      </w:r>
    </w:p>
  </w:footnote>
  <w:footnote w:type="continuationSeparator" w:id="0">
    <w:p w14:paraId="61C131F0" w14:textId="77777777" w:rsidR="00DF44E9" w:rsidRDefault="00DF44E9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345CE6"/>
    <w:rsid w:val="003A0A52"/>
    <w:rsid w:val="00565354"/>
    <w:rsid w:val="00577F61"/>
    <w:rsid w:val="006167BA"/>
    <w:rsid w:val="00724701"/>
    <w:rsid w:val="007A3F0C"/>
    <w:rsid w:val="007F32F9"/>
    <w:rsid w:val="00824A73"/>
    <w:rsid w:val="00902326"/>
    <w:rsid w:val="0099777C"/>
    <w:rsid w:val="009F60A3"/>
    <w:rsid w:val="00A337C1"/>
    <w:rsid w:val="00BD787E"/>
    <w:rsid w:val="00C3749D"/>
    <w:rsid w:val="00C716BF"/>
    <w:rsid w:val="00D121E7"/>
    <w:rsid w:val="00D42B51"/>
    <w:rsid w:val="00D563F2"/>
    <w:rsid w:val="00D90E42"/>
    <w:rsid w:val="00DF44E9"/>
    <w:rsid w:val="00F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sers.utcluj.ro/~baruch/book_ssce/SSCE-Shift-Mul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1892BDCC-2778-4ED8-B3CD-8FC3A0ED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581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9</cp:revision>
  <cp:lastPrinted>2025-02-26T13:58:00Z</cp:lastPrinted>
  <dcterms:created xsi:type="dcterms:W3CDTF">2025-02-25T11:56:00Z</dcterms:created>
  <dcterms:modified xsi:type="dcterms:W3CDTF">2025-02-26T14:02:00Z</dcterms:modified>
</cp:coreProperties>
</file>