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180975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CENTRO UNIVERSITÁRIO LEONARDO DA VINCI — UNIASSELVI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Engenharia de Software — 7º período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A59A"/>
          <w:sz w:val="30"/>
          <w:szCs w:val="30"/>
        </w:rPr>
        <w:t xml:space="preserve">Experiência Profissional: Desenvolvimento de Aplicações</w:t>
      </w:r>
    </w:p>
    <w:p>
      <w:pPr>
        <w:spacing w:after="700"/>
        <w:jc w:val="center"/>
      </w:pPr>
      <w:r>
        <w:rPr>
          <w:rFonts w:ascii="Calibri" w:cs="Calibri" w:eastAsia="Calibri" w:hAnsi="Calibri"/>
          <w:b/>
          <w:bCs/>
          <w:color w:val="00695F"/>
          <w:sz w:val="40"/>
          <w:szCs w:val="40"/>
        </w:rPr>
        <w:t xml:space="preserve">Termo de Referência — Plataforma Web de Apoio à Análise de Segurança de Aplicações</w:t>
      </w:r>
    </w:p>
    <w:p>
      <w:pPr>
        <w:spacing w:after="100"/>
        <w:jc w:val="center"/>
      </w:pPr>
      <w:r>
        <w:rPr/>
        <w:t>Ricardo José da Silva, Arthur Vilmar dos Santos e Pedro Vilmar dos Santos · Versão 1.4</w:t>
      </w:r>
    </w:p>
    <w:p>
      <w:pPr>
        <w:spacing w:after="40" w:before="900"/>
        <w:jc w:val="center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Prof. Evaldo A. Oliveira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Carga horária total: 80 horas</w:t>
      </w:r>
    </w:p>
    <w:p>
      <w:r>
        <w:br w:type="page"/>
      </w:r>
    </w:p>
    <w:p>
      <w:pPr>
        <w:pStyle w:val="Heading1"/>
        <w:pBdr>
          <w:bottom w:val="single" w:color="FFDA1A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00695F"/>
          <w:sz w:val="32"/>
          <w:szCs w:val="32"/>
        </w:rPr>
        <w:t xml:space="preserve">1. Identificação</w:t>
      </w:r>
    </w:p>
    <w:tbl>
      <w:tblPr>
        <w:tblW w:type="dxa" w:w="9360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Plataforma Web de Apoio à Análise de Segurança de Aplicações</w:t>
            </w:r>
          </w:p>
        </w:tc>
      </w:tr>
      <w:tr>
        <w:tc>
          <w:tcPr>
            <w:tcW w:type="dxa" w:w="25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68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>Equipe de desenvolvimento observada no contexto acadêmico e profissional; não há solicitante externo formal.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Equipe executora e papéis</w:t>
            </w:r>
          </w:p>
        </w:tc>
        <w:tc>
          <w:tcPr>
            <w:tcW w:type="dxa" w:w="6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/>
              <w:t>Ricardo José da Silva — levantamento do contexto, arquitetura, desenvolvimento do mecanismo de análise e documentação técnica. Arthur Vilmar dos Santos — definição e validação das verificações de segurança, elaboração dos casos de teste, execução dos testes e apoio à documentação e à apresentação. Pedro Vilmar dos Santos — apoio ao levantamento e revisão de requisitos, validação dos artefatos do projeto, execução e registro de testes e apoio à documentação técnica.</w:t>
            </w:r>
          </w:p>
        </w:tc>
      </w:tr>
      <w:tr>
        <w:tc>
          <w:tcPr>
            <w:tcW w:type="dxa" w:w="25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8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19/08/2026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>Versão</w:t>
            </w:r>
          </w:p>
        </w:tc>
        <w:tc>
          <w:tcPr>
            <w:tcW w:type="dxa" w:w="6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1.4 (alinhamento com a arquitetura em camadas efetivamente implementada, com o catálogo de verificações contado no código e com as capacidades de rastreamento e de área autenticada já presentes no artefato)</w:t>
            </w:r>
          </w:p>
        </w:tc>
      </w:tr>
      <w:tr>
        <w:tc>
          <w:tcPr>
            <w:tcW w:type="dxa" w:w="25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Vínculo acadêmico</w:t>
            </w:r>
          </w:p>
        </w:tc>
        <w:tc>
          <w:tcPr>
            <w:tcW w:type="dxa" w:w="68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Engenharia de Software — Turma EGS0011 — Experiência Profissional (TCC 1) — UNIASSELVI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DA1A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00695F"/>
          <w:sz w:val="32"/>
          <w:szCs w:val="32"/>
        </w:rPr>
        <w:t xml:space="preserve">2. Contexto e justificativa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contexto observado, uma equipe de desenvolvimento mantém mais de cinco aplicações web internas sem contar com um profissional dedicado exclusivamente à segurança da informação. As verificações de segurança ocorrem de forma pontual e não necessariamente a cada nova versão ou manutenção, o que pode permitir que falhas permaneçam desconhecidas até etapas posteriores.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Essa situação aumenta o risco de retrabalho, exposição indevida de informações e correções emergenciais após a disponibilização de uma aplicação. Os desenvolvedores dispõem de computadores de trabalho, acesso aos ambientes de homologação e produção e ferramentas de desenvolvimento, porém não possuem uma solução centralizada que apresente os problemas de segurança de maneira padronizada e orientada à correção.</w:t>
      </w:r>
    </w:p>
    <w:p>
      <w:pPr>
        <w:spacing w:after="140" w:line="276"/>
        <w:jc w:val="both"/>
      </w:pPr>
      <w:r>
        <w:t>O projeto é justificado pela necessidade de tornar a avaliação inicial de segurança mais acessível e incorporável à rotina de desenvolvimento. Para dimensionamento acadêmico, adotam-se estimativas obtidas a partir da observação da rotina da equipe: aproximadamente 10 versões das aplicações são publicadas por mês; no último semestre, cerca de 40 das 60 publicações estimadas ocorreram sem uma verificação de segurança formal; e a última correção emergencial demandou aproximadamente 16 horas de trabalho. Esses valores serão confirmados durante o levantamento de requisitos e, se necessário, atualizados no controle de alterações.</w:t>
      </w:r>
    </w:p>
    <w:p>
      <w:pPr>
        <w:spacing w:after="160"/>
      </w:pPr>
    </w:p>
    <w:p>
      <w:pPr>
        <w:pStyle w:val="Heading1"/>
        <w:pBdr>
          <w:bottom w:val="single" w:color="FFDA1A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00695F"/>
          <w:sz w:val="32"/>
          <w:szCs w:val="32"/>
        </w:rPr>
        <w:t xml:space="preserve">3. Objeto e escopo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A59A"/>
          <w:sz w:val="26"/>
          <w:szCs w:val="26"/>
        </w:rPr>
        <w:t xml:space="preserve">3.1 Objetivo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Identificar possíveis vulnerabilidades em aplicações web e apresentar cada achado com severidade, evidências e orientação de correção de forma verificável ao desenvolvedor.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A59A"/>
          <w:sz w:val="26"/>
          <w:szCs w:val="26"/>
        </w:rPr>
        <w:t xml:space="preserve">3.2 Escopo incluído</w:t>
      </w:r>
    </w:p>
    <w:tbl>
      <w:tblPr>
        <w:tblW w:type="dxa" w:w="9360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66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 prevista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Cadastrar uma aplicação por nome e endereço para submissão à análise.</w:t>
            </w:r>
          </w:p>
        </w:tc>
      </w:tr>
      <w:tr>
        <w:tc>
          <w:tcPr>
            <w:tcW w:type="dxa" w:w="7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Executar, sob solicitação do usuário, o catálogo habilitado de verificações: 34 verificações passivas e 13 famílias de verificações ativas seguras, registrando os achados e a evidência correspondente.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Registrar cada achado com aplicação, URL e parâmetro afetados quando aplicável, categoria, CWE/OWASP/WSTG, severidade, confiança, status, evidência e data/hora da análise.</w:t>
            </w:r>
          </w:p>
        </w:tc>
      </w:tr>
      <w:tr>
        <w:tc>
          <w:tcPr>
            <w:tcW w:type="dxa" w:w="7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Classificar os achados por severidade e confiança e calcular uma Pontuação de Segurança de 0 a 100 para comparação histórica da mesma aplicação.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Exibir, para cada achado, o que foi observado, por que importa e como corrigir, incluindo exemplo de código ou configuração vulnerável → corrigido quando aplicável.</w:t>
            </w:r>
          </w:p>
        </w:tc>
      </w:tr>
      <w:tr>
        <w:tc>
          <w:tcPr>
            <w:tcW w:type="dxa" w:w="7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Consultar o histórico de análises de uma aplicação por período e visualizar os resultados anteriores.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Comparar duas análises da mesma aplicação e indicar achados novos, persistentes e corrigidos.</w:t>
            </w:r>
          </w:p>
        </w:tc>
      </w:tr>
      <w:tr>
        <w:tc>
          <w:tcPr>
            <w:tcW w:type="dxa" w:w="7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Exportar a análise concluída em JSON contendo resumo, Pontuação de Segurança, metadados e relação dos achados identificados.</w:t>
            </w:r>
          </w:p>
        </w:tc>
      </w:tr>
      <w:tr>
        <w:tc>
          <w:tcPr>
            <w:tcW w:type="dxa" w:w="7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>9</w:t>
            </w:r>
          </w:p>
        </w:tc>
        <w:tc>
          <w:tcPr>
            <w:tcW w:type="dxa" w:w="86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Expandir automaticamente o endereço informado para a superfície alcançável da mesma origem, visitando as páginas ligadas até os limites configurados (30 páginas e profundidade 3 no modo passivo; 20 páginas e profundidade 2 no modo completo), de forma somente leitura: links de encerramento de sessão e links com ação destrutiva nunca são seguidos.</w:t>
            </w:r>
          </w:p>
        </w:tc>
      </w:tr>
      <w:tr>
        <w:tc>
          <w:tcPr>
            <w:tcW w:type="dxa" w:w="7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>10</w:t>
            </w:r>
          </w:p>
        </w:tc>
        <w:tc>
          <w:tcPr>
            <w:tcW w:type="dxa" w:w="86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Aceitar, opcionalmente, um cookie de sessão ou cabeçalho de autenticação para alcançar áreas autenticadas, enviado somente ao alvo autorizado, ocultado nos registros e nunca persistido.</w:t>
            </w:r>
          </w:p>
        </w:tc>
      </w:tr>
      <w:tr>
        <w:tc>
          <w:tcPr>
            <w:tcW w:type="dxa" w:w="7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>11</w:t>
            </w:r>
          </w:p>
        </w:tc>
        <w:tc>
          <w:tcPr>
            <w:tcW w:type="dxa" w:w="86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Filtrar os achados por severidade na tela de resultado da análise.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A59A"/>
          <w:sz w:val="26"/>
          <w:szCs w:val="26"/>
        </w:rPr>
        <w:t xml:space="preserve">3.3 Escopo excluído</w:t>
      </w:r>
    </w:p>
    <w:tbl>
      <w:tblPr>
        <w:tblW w:type="dxa" w:w="9360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 excluído</w:t>
            </w:r>
          </w:p>
        </w:tc>
        <w:tc>
          <w:tcPr>
            <w:tcW w:type="dxa" w:w="596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Razão da exclusão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Exploração automática ou destrutiva das vulnerabilidades</w:t>
            </w:r>
          </w:p>
        </w:tc>
        <w:tc>
          <w:tcPr>
            <w:tcW w:type="dxa" w:w="5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proposta é apoiar a identificação e a correção, evitando ações que possam comprometer disponibilidade, integridade ou dados do sistema analisado.</w:t>
            </w:r>
          </w:p>
        </w:tc>
      </w:tr>
      <w:tr>
        <w:tc>
          <w:tcPr>
            <w:tcW w:type="dxa" w:w="34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Análise de código-fonte e integração com repositórios privados</w:t>
            </w:r>
          </w:p>
        </w:tc>
        <w:tc>
          <w:tcPr>
            <w:tcW w:type="dxa" w:w="59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Esta versão considera apenas informações acessíveis durante a análise da aplicação e não pressupõe acesso ao repositório.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Monitoramento contínuo em tempo real</w:t>
            </w:r>
          </w:p>
        </w:tc>
        <w:tc>
          <w:tcPr>
            <w:tcW w:type="dxa" w:w="5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Exigiria infraestrutura permanente de execução e acompanhamento, incompatível com o prazo e o escopo desta versão acadêmica.</w:t>
            </w:r>
          </w:p>
        </w:tc>
      </w:tr>
      <w:tr>
        <w:tc>
          <w:tcPr>
            <w:tcW w:type="dxa" w:w="34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Substituição de auditoria especializada ou pentest profissional</w:t>
            </w:r>
          </w:p>
        </w:tc>
        <w:tc>
          <w:tcPr>
            <w:tcW w:type="dxa" w:w="59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ferramenta terá caráter de apoio ao desenvolvedor e não pretende garantir ausência de vulnerabilidades nem substituir avaliação especializada.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FFDA1A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00695F"/>
          <w:sz w:val="32"/>
          <w:szCs w:val="32"/>
        </w:rPr>
        <w:t xml:space="preserve">4. Produtos entregáveis</w:t>
      </w:r>
    </w:p>
    <w:tbl>
      <w:tblPr>
        <w:tblW w:type="dxa" w:w="9360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2900"/>
        <w:gridCol w:w="4660"/>
        <w:gridCol w:w="1800"/>
      </w:tblGrid>
      <w:tr>
        <w:trPr>
          <w:tblHeader/>
        </w:trPr>
        <w:tc>
          <w:tcPr>
            <w:tcW w:type="dxa" w:w="290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466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0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Aplicação web funcional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Versão executável demonstrável em ambiente de teste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Aula 14</w:t>
            </w:r>
          </w:p>
        </w:tc>
      </w:tr>
      <w:tr>
        <w:tc>
          <w:tcPr>
            <w:tcW w:type="dxa" w:w="29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Código-fonte</w:t>
            </w:r>
          </w:p>
        </w:tc>
        <w:tc>
          <w:tcPr>
            <w:tcW w:type="dxa" w:w="46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Repositório com controle de versão e histórico preservado</w:t>
            </w:r>
          </w:p>
        </w:tc>
        <w:tc>
          <w:tcPr>
            <w:tcW w:type="dxa" w:w="18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Aula 14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Especificação de requisitos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Documento com requisitos funcionais, não funcionais e rastreabilidade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Aula 4</w:t>
            </w:r>
          </w:p>
        </w:tc>
      </w:tr>
      <w:tr>
        <w:tc>
          <w:tcPr>
            <w:tcW w:type="dxa" w:w="29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Documento de arquitetura</w:t>
            </w:r>
          </w:p>
        </w:tc>
        <w:tc>
          <w:tcPr>
            <w:tcW w:type="dxa" w:w="46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Descrição da arquitetura, componentes, dados e principais fluxos</w:t>
            </w:r>
          </w:p>
        </w:tc>
        <w:tc>
          <w:tcPr>
            <w:tcW w:type="dxa" w:w="18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Aula 9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Plano e resultados de testes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Casos de teste, execuções e registro dos resultados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Aula 14</w:t>
            </w:r>
          </w:p>
        </w:tc>
      </w:tr>
      <w:tr>
        <w:tc>
          <w:tcPr>
            <w:tcW w:type="dxa" w:w="29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Manual de instalação e uso</w:t>
            </w:r>
          </w:p>
        </w:tc>
        <w:tc>
          <w:tcPr>
            <w:tcW w:type="dxa" w:w="46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Documento com requisitos de ambiente e instruções de operação</w:t>
            </w:r>
          </w:p>
        </w:tc>
        <w:tc>
          <w:tcPr>
            <w:tcW w:type="dxa" w:w="18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Aula 14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Apêndice A — catálogo resumido de verificações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Relação das 34 verificações passivas por grupo e das 13 famílias ativas seguras implementadas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Aula 4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Padrão de codificação da equipe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Documento versionado no repositório (docs/CODING_STANDARD.md), com regra verificável por revisão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>Aula 3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Relatório de medição de algoritmos e estruturas de dados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Documento versionado (docs/ALGORITHM_MEASUREMENTS.md) acompanhado dos harnesses reproduzíveis em evaluation/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>Aula 5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Documento da Fase 2 — Decisões técnicas de base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Documento com entidades, volumes, estruturas escolhidas, medições e modelo de classes do domínio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>Aula 6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Documento da Fase 3 — Arquitetura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Documento com camadas, persistência, interfaces de contrato, testes isolados e rastreabilidade dos requisitos de prioridade alta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>Aula 7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DA1A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00695F"/>
          <w:sz w:val="32"/>
          <w:szCs w:val="32"/>
        </w:rPr>
        <w:t xml:space="preserve">5. Critérios de aceitação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Cada produto será considerado aceito quando atender integralmente às condições abaixo, verificáveis por demonstração ou por inspeção documental.</w:t>
      </w:r>
    </w:p>
    <w:tbl>
      <w:tblPr>
        <w:tblW w:type="dxa" w:w="9360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00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346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 de verificação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CA-01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Ao iniciar uma análise de uma aplicação de teste, o sistema executa o catálogo habilitado compatível com o contexto, incluindo as 34 verificações passivas e as famílias ativas aplicáveis, e registra a conclusão da execução.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Execução contra fixtures controlados vulneráveis e seguros, com conferência do registro da análise.</w:t>
            </w:r>
          </w:p>
        </w:tc>
      </w:tr>
      <w:tr>
        <w:tc>
          <w:tcPr>
            <w:tcW w:type="dxa" w:w="9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CA-02</w:t>
            </w:r>
          </w:p>
        </w:tc>
        <w:tc>
          <w:tcPr>
            <w:tcW w:type="dxa" w:w="50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Cada achado apresentado contém, no mínimo, severidade, confiança, status, categoria/taxonomia, evidência e orientação de correção.</w:t>
            </w:r>
          </w:p>
        </w:tc>
        <w:tc>
          <w:tcPr>
            <w:tcW w:type="dxa" w:w="34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Inspeção dos resultados de uma análise que contenha achados conhecidos.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CA-03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Toda análise concluída apresenta uma Pontuação de Segurança entre 0 e 100 calculada pela regra 30/15/7/2 declarada no documento de arquitetura.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Conferência do score obtido contra o cálculo manual dos mesmos achados.</w:t>
            </w:r>
          </w:p>
        </w:tc>
      </w:tr>
      <w:tr>
        <w:tc>
          <w:tcPr>
            <w:tcW w:type="dxa" w:w="9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CA-04</w:t>
            </w:r>
          </w:p>
        </w:tc>
        <w:tc>
          <w:tcPr>
            <w:tcW w:type="dxa" w:w="50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comparação entre duas análises da mesma aplicação identifica achados novos, persistentes e corrigidos quando essas situações existirem.</w:t>
            </w:r>
          </w:p>
        </w:tc>
        <w:tc>
          <w:tcPr>
            <w:tcW w:type="dxa" w:w="34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Execução de duas análises controladas antes e depois da alteração de uma vulnerabilidade de laboratório.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CA-05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consulta a um histórico contendo 1.000 achados é apresentada em até 3 segundos no ambiente de teste definido para o projeto.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Medição com base previamente carregada com 1.000 registros.</w:t>
            </w:r>
          </w:p>
        </w:tc>
      </w:tr>
      <w:tr>
        <w:tc>
          <w:tcPr>
            <w:tcW w:type="dxa" w:w="9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CA-06</w:t>
            </w:r>
          </w:p>
        </w:tc>
        <w:tc>
          <w:tcPr>
            <w:tcW w:type="dxa" w:w="50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A exportação JSON contém identificação da aplicação, data da análise, Pontuação de Segurança e todos os achados persistidos para a análise.</w:t>
            </w:r>
          </w:p>
        </w:tc>
        <w:tc>
          <w:tcPr>
            <w:tcW w:type="dxa" w:w="34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hAnsi="Arial"/>
              </w:rPr>
              <w:t>Geração do JSON e comparação com os resultados persistidos e apresentados na interface.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CA-07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Uma pessoa que não participou do desenvolvimento consegue instalar e executar a aplicação seguindo apenas o manual entregue.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Instalação assistida em ambiente sem configuração prévia do projeto.</w:t>
            </w:r>
          </w:p>
        </w:tc>
      </w:tr>
      <w:tr>
        <w:tc>
          <w:tcPr>
            <w:tcW w:type="dxa" w:w="9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CA-08</w:t>
            </w:r>
          </w:p>
        </w:tc>
        <w:tc>
          <w:tcPr>
            <w:tcW w:type="dxa" w:w="50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especificação de requisitos entregue vincula cada requisito de prioridade alta a um item do escopo incluído deste termo.</w:t>
            </w:r>
          </w:p>
        </w:tc>
        <w:tc>
          <w:tcPr>
            <w:tcW w:type="dxa" w:w="34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Inspeção da matriz de rastreabilidade da Entrega E1.</w:t>
            </w:r>
          </w:p>
        </w:tc>
      </w:tr>
    </w:tbl>
    <w:p>
      <w:pPr>
        <w:pStyle w:val="Heading2"/>
      </w:pPr>
      <w:r>
        <w:t>5.1 Fórmula do Security Score</w:t>
      </w:r>
    </w:p>
    <w:p>
      <w:r>
        <w:rPr>
          <w:b w:val="0"/>
        </w:rPr>
        <w:t>A Pontuação de Segurança inicia em 100 pontos e sofre desconto por achado identificado: 30 pontos para severidade crítica, 15 para alta, 7 para média e 2 para baixa. O resultado é limitado ao intervalo de 0 a 100. A regra é uma heurística interna e determinística destinada à comparação de execuções sucessivas da mesma aplicação; não constitui medida universal, certificação de segurança nem substitui avaliação especializada.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FFDA1A" w:sz="8" w:space="6"/>
        </w:pBdr>
        <w:spacing w:after="200" w:before="360"/>
      </w:pPr>
      <w:r>
        <w:rPr>
          <w:rFonts w:ascii="Calibri" w:cs="Calibri" w:eastAsia="Calibri" w:hAnsi="Calibri"/>
          <w:b/>
          <w:bCs/>
          <w:color w:val="00695F"/>
          <w:sz w:val="32"/>
          <w:szCs w:val="32"/>
        </w:rPr>
        <w:t xml:space="preserve">6. Restrições e premissas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A59A"/>
          <w:sz w:val="26"/>
          <w:szCs w:val="26"/>
        </w:rPr>
        <w:t xml:space="preserve">6.1 Restrições — limitações impostas, sobre as quais não se tem controle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prazo de desenvolvimento está limitado ao calendário da disciplina e ao encerramento do semestre letivo.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projeto será desenvolvido com os equipamentos computacionais já disponíveis ao acadêmico, sem aquisição obrigatória de infraestrutura dedicada.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Os testes deverão ocorrer somente em aplicações próprias, ambientes de laboratório ou sistemas para os quais exista autorização explícita de análise.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solução não pressupõe acesso ao código-fonte, ao banco de dados ou à infraestrutura interna das aplicações analisadas.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primeira versão ficará limitada ao conjunto de verificações definido para o projeto e não terá como objetivo detectar todas as classes de vulnerabilidade existentes.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00A59A"/>
          <w:sz w:val="26"/>
          <w:szCs w:val="26"/>
        </w:rPr>
        <w:t xml:space="preserve">6.2 Premissas — suposições adotadas que, se falharem, alteram o projeto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>A verificação funcional da versão acadêmica será realizada com fixtures vulneráveis e seguros em servidor HTTP local controlado. Aplicações deliberadamente vulneráveis de referência, como OWASP Juice Shop, DVWA e WebGoat, e a comparação com o ZAP ficam previstas para avaliação empírica de continuidade, não sendo tratadas como validação já executada desta versão.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Os ambientes utilizados nos testes permanecerão acessíveis durante as etapas de desenvolvimento e validação.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 categorias e níveis de severidade adotados permanecerão estáveis durante a primeira versão, ou terão eventuais alterações registradas na seção 7.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usuário da ferramenta terá autorização para submeter a aplicação informada às verificações de segurança.</w:t>
      </w:r>
    </w:p>
    <w:p>
      <w:pPr>
        <w:spacing w:after="160"/>
      </w:pPr>
    </w:p>
    <w:p>
      <w:pPr>
        <w:pStyle w:val="Heading1"/>
        <w:pBdr>
          <w:bottom w:val="single" w:color="FFDA1A" w:sz="8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00695F"/>
          <w:sz w:val="32"/>
          <w:szCs w:val="32"/>
        </w:rPr>
        <w:t xml:space="preserve">7. Controle de alterações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Toda alteração posterior ao aceite desta versão será registrada abaixo, com identificação do item alterado, da razão e do impacto em prazo e esforço. Alterações não registradas não serão consideradas na avaliação da entrega final.</w:t>
      </w:r>
    </w:p>
    <w:tbl>
      <w:tblPr>
        <w:tblW w:type="dxa" w:w="9360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1100"/>
        <w:gridCol w:w="1500"/>
        <w:gridCol w:w="2700"/>
        <w:gridCol w:w="4060"/>
      </w:tblGrid>
      <w:tr>
        <w:trPr>
          <w:tblHeader/>
        </w:trPr>
        <w:tc>
          <w:tcPr>
            <w:tcW w:type="dxa" w:w="110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Versão</w:t>
            </w:r>
          </w:p>
        </w:tc>
        <w:tc>
          <w:tcPr>
            <w:tcW w:type="dxa" w:w="150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Data</w:t>
            </w:r>
          </w:p>
        </w:tc>
        <w:tc>
          <w:tcPr>
            <w:tcW w:type="dxa" w:w="270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Item alterado</w:t>
            </w:r>
          </w:p>
        </w:tc>
        <w:tc>
          <w:tcPr>
            <w:tcW w:type="dxa" w:w="4060"/>
            <w:shd w:fill="00A59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Razão e impacto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19/08/2026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Emissão inicial</w:t>
            </w:r>
          </w:p>
        </w:tc>
        <w:tc>
          <w:tcPr>
            <w:tcW w:type="dxa" w:w="4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15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>02/09/2026</w:t>
            </w:r>
          </w:p>
        </w:tc>
        <w:tc>
          <w:tcPr>
            <w:tcW w:type="dxa" w:w="270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Seções 1, 2, 3.2, 5 e 6.2</w:t>
            </w:r>
          </w:p>
        </w:tc>
        <w:tc>
          <w:tcPr>
            <w:tcW w:type="dxa" w:w="4060"/>
            <w:shd w:fill="F2F4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Ajustes decorrentes da devolutiva da Atividade 1. Impacto: nenhum sobre o escopo; acrescenta o Apêndice A como entregável da Aula 4.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1.2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09/09/2026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Seções 1, 3.2, 4, 5, 5.1, 6.2 e Apêndice A</w:t>
            </w:r>
          </w:p>
        </w:tc>
        <w:tc>
          <w:tcPr>
            <w:tcW w:type="dxa" w:w="4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>Alinhamento com o artefato efetivamente implementado no TCC: 34 verificações passivas + 13 famílias ativas, confiança separada da severidade, score 30/15/7/2 e avaliação externa mantida como continuidade.</w:t>
            </w:r>
          </w:p>
        </w:tc>
      </w:tr>
      <w:tr>
        <w:tc>
          <w:tcPr>
            <w:tcW w:type="dxa" w:w="1100"/>
          </w:tcPr>
          <w:p>
            <w:r>
              <w:t>1.3</w:t>
            </w:r>
          </w:p>
        </w:tc>
        <w:tc>
          <w:tcPr>
            <w:tcW w:type="dxa" w:w="1500"/>
          </w:tcPr>
          <w:p>
            <w:r>
              <w:t>09/09/2026</w:t>
            </w:r>
          </w:p>
        </w:tc>
        <w:tc>
          <w:tcPr>
            <w:tcW w:type="dxa" w:w="2700"/>
          </w:tcPr>
          <w:p>
            <w:r>
              <w:t>Equipe</w:t>
            </w:r>
          </w:p>
        </w:tc>
        <w:tc>
          <w:tcPr>
            <w:tcW w:type="dxa" w:w="4060"/>
          </w:tcPr>
          <w:p>
            <w:r>
              <w:t>Inclusão de Pedro Vilmar dos Santos na equipe.</w:t>
            </w:r>
          </w:p>
        </w:tc>
      </w:tr>
      <w:tr>
        <w:tc>
          <w:tcPr>
            <w:tcW w:type="dxa" w:w="1100"/>
          </w:tcPr>
          <w:p>
            <w:r>
              <w:t>1.4</w:t>
            </w:r>
          </w:p>
        </w:tc>
        <w:tc>
          <w:tcPr>
            <w:tcW w:type="dxa" w:w="1500"/>
          </w:tcPr>
          <w:p>
            <w:r>
              <w:t>16/09/2026</w:t>
            </w:r>
          </w:p>
        </w:tc>
        <w:tc>
          <w:tcPr>
            <w:tcW w:type="dxa" w:w="2700"/>
          </w:tcPr>
          <w:p>
            <w:r>
              <w:t>Seções 1, 3.2 e 4</w:t>
            </w:r>
          </w:p>
        </w:tc>
        <w:tc>
          <w:tcPr>
            <w:tcW w:type="dxa" w:w="4060"/>
          </w:tcPr>
          <w:p>
            <w:r>
              <w:t>Alinhamento com o artefato após a consolidação da arquitetura (Fases 2 e 3). Razão técnica: o Termo descrevia a análise como aplicada ao endereço informado, enquanto o mecanismo implementado expande esse endereço para a superfície alcançável da mesma origem e aceita credencial de sessão transitória — capacidades já presentes no código e ausentes do escopo incluído. Foram acrescentados os itens 9, 10 e 11 ao escopo e quatro produtos entregáveis (padrão de codificação, relatório de medição e os documentos das Fases 2 e 3). Impacto: nenhum sobre prazo ou esforço; trata-se de registro de escopo já realizado. Nenhuma linha anterior foi removida.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160"/>
      </w:pPr>
    </w:p>
    <w:p>
      <w:pPr>
        <w:pStyle w:val="Heading1"/>
      </w:pPr>
      <w:r>
        <w:t>Apêndice A — Catálogo resumido de verificações de segurança</w:t>
      </w:r>
    </w:p>
    <w:p>
      <w:r>
        <w:t>A versão documentada no TCC reúne 34 verificações passivas e 13 famílias de verificações ativas seguras. Para manter o Termo de Referência legível, o quadro abaixo consolida as verificações passivas por grupo e lista individualmente as famílias ativas; o catálogo técnico completo permanece no código e na documentação do artefato.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color="B7CCC9"/>
          <w:left w:val="single" w:sz="4" w:color="B7CCC9"/>
          <w:bottom w:val="single" w:sz="4" w:color="B7CCC9"/>
          <w:right w:val="single" w:sz="4" w:color="B7CCC9"/>
          <w:insideH w:val="single" w:sz="4" w:color="B7CCC9"/>
          <w:insideV w:val="single" w:sz="4" w:color="B7CCC9"/>
        </w:tblBorders>
      </w:tblPr>
      <w:tblGrid>
        <w:gridCol w:w="550"/>
        <w:gridCol w:w="4910"/>
        <w:gridCol w:w="1900"/>
        <w:gridCol w:w="2000"/>
      </w:tblGrid>
      <w:tr>
        <w:trPr>
          <w:cantSplit/>
          <w:tblHeader/>
          <w:tblHeader w:val="true"/>
        </w:trPr>
        <w:tc>
          <w:tcPr>
            <w:tcW w:type="dxa" w:w="550"/>
            <w:shd w:fill="00A79D"/>
          </w:tcPr>
          <w:p>
            <w:r>
              <w:rPr>
                <w:rFonts w:ascii="Arial" w:hAnsi="Arial"/>
              </w:rPr>
              <w:t>Nº</w:t>
            </w:r>
          </w:p>
        </w:tc>
        <w:tc>
          <w:tcPr>
            <w:tcW w:type="dxa" w:w="4910"/>
            <w:shd w:fill="00A79D"/>
          </w:tcPr>
          <w:p>
            <w:r>
              <w:rPr>
                <w:rFonts w:ascii="Arial" w:hAnsi="Arial"/>
              </w:rPr>
              <w:t>Grupo/família de verificação</w:t>
            </w:r>
          </w:p>
        </w:tc>
        <w:tc>
          <w:tcPr>
            <w:tcW w:type="dxa" w:w="1900"/>
            <w:shd w:fill="00A79D"/>
          </w:tcPr>
          <w:p>
            <w:r>
              <w:rPr>
                <w:rFonts w:ascii="Arial" w:hAnsi="Arial"/>
              </w:rPr>
              <w:t>Modalidade</w:t>
            </w:r>
          </w:p>
        </w:tc>
        <w:tc>
          <w:tcPr>
            <w:tcW w:type="dxa" w:w="2000"/>
            <w:shd w:fill="00A79D"/>
          </w:tcPr>
          <w:p>
            <w:r>
              <w:rPr>
                <w:rFonts w:ascii="Arial" w:hAnsi="Arial"/>
              </w:rPr>
              <w:t>Observação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Transporte/TLS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Passiva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Parte das 34 checagens: HTTPS, TLS e transporte seguro.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Cabeçalhos de segurança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Passiva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CSP e demais cabeçalhos, considerando o contexto da resposta.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3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Cookies e sessão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Passiva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Secure, HttpOnly, SameSite e sinais relacionados.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4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CORS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Passiva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Configurações permissivas e contexto de origem.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5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Cache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Passiva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Políticas inadequadas para conteúdo sensível.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6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Exposição de informações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Passiva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Versões, stack traces, listagem e informações técnicas.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7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Exposição de segredos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Passiva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Assinaturas de credenciais e heurística de entropia com redução de ruído.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8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Demais checagens passivas do catálogo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Passiva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Completa o total de 34 verificações passivas implementadas.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9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Injeção de SQL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Técnicas baseada em erro, diferencial booleana e tempo, sem enumeração de dados.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10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XSS refletido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Probes não destrutivos em parâmetros compatíveis.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11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Travessia de diretório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Validação controlada de manipulação de caminhos.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12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Redirecionamento aberto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Validação de redirecionamento controlável pelo parâmetro.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13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Injeção de comando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Probes de evidência mínima, sem executar ações destrutivas.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14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SSTI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Detecção de avaliação de expressão/template.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15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XXE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Probe controlado de processamento indevido de entidade XML.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16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CRLF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Teste de reflexão/injeção em cabeçalhos.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17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Host Header Injection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Manipulação controlada do cabeçalho Host.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18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Adulteração de verbo HTTP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Verificação de comportamento anômalo por método HTTP.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19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Injeção NoSQL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Mutação controlada de parâmetro, atualmente restrita à query string.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20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CORS ativo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Validação ativa de política CORS.</w:t>
            </w:r>
          </w:p>
        </w:tc>
      </w:tr>
      <w:tr>
        <w:tc>
          <w:tcPr>
            <w:tcW w:type="dxa" w:w="550"/>
          </w:tcPr>
          <w:p>
            <w:r>
              <w:rPr>
                <w:rFonts w:ascii="Arial" w:hAnsi="Arial"/>
              </w:rPr>
              <w:t>21</w:t>
            </w:r>
          </w:p>
        </w:tc>
        <w:tc>
          <w:tcPr>
            <w:tcW w:type="dxa" w:w="4910"/>
          </w:tcPr>
          <w:p>
            <w:r>
              <w:rPr>
                <w:rFonts w:ascii="Arial" w:hAnsi="Arial"/>
              </w:rPr>
              <w:t>SSRF</w:t>
            </w:r>
          </w:p>
        </w:tc>
        <w:tc>
          <w:tcPr>
            <w:tcW w:type="dxa" w:w="1900"/>
          </w:tcPr>
          <w:p>
            <w:r>
              <w:rPr>
                <w:rFonts w:ascii="Arial" w:hAnsi="Arial"/>
              </w:rPr>
              <w:t>Ativa segura</w:t>
            </w:r>
          </w:p>
        </w:tc>
        <w:tc>
          <w:tcPr>
            <w:tcW w:type="dxa" w:w="2000"/>
          </w:tcPr>
          <w:p>
            <w:r>
              <w:rPr>
                <w:rFonts w:ascii="Arial" w:hAnsi="Arial"/>
              </w:rPr>
              <w:t>Probe controlado, com salvaguardas de escopo e rede.</w:t>
            </w:r>
          </w:p>
        </w:tc>
      </w:tr>
    </w:tbl>
    <w:sectPr>
      <w:headerReference w:type="default" r:id="rId7"/>
      <w:footerReference w:type="default" r:id="rId8"/>
      <w:headerReference w:type="first" r:id="rId6"/>
      <w:headerReference w:type="even" r:id="rId11"/>
      <w:pgSz w:w="11906" w:h="16838" w:orient="portrait"/>
      <w:pgMar w:top="1418" w:right="1276" w:bottom="1276" w:left="1276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UNIASSELVI — Engenharia de Software   |   Página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de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59A" w:sz="6" w:space="4"/>
      </w:pBdr>
      <w:spacing w:after="40"/>
      <w:jc w:val="right"/>
    </w:pPr>
    <w:r>
      <w:rPr/>
      <w:t>Experiência Profissional: Desenvolvimento de Aplicações  |  Termo de Referência — Ricardo José da Silva, Arthur Vilmar dos Santos e Pedro Vilmar dos Santos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7b5e815e9be1b5e8ec8c58337549ea83d4cdae.png"/><Relationship Id="rId10" Type="http://schemas.openxmlformats.org/officeDocument/2006/relationships/fontTable" Target="fontTable.xml"/><Relationship Id="rId6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Experiência Profissional: Desenvolvimento de Aplicações — Termo de Referência — Ricardo José da Silva e Arthur</dc:title>
  <dc:creator>Prof. Evaldo A. Oliveira</dc:creator>
  <dc:description>Material didático — UNIASSELVI</dc:description>
  <cp:lastModifiedBy>Un-named</cp:lastModifiedBy>
  <cp:revision>1</cp:revision>
  <dcterms:created xsi:type="dcterms:W3CDTF">2026-08-27T01:50:04.386Z</dcterms:created>
  <dcterms:modified xsi:type="dcterms:W3CDTF">2026-08-27T01:50:04.407Z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