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z w:val="24"/>
        </w:rPr>
        <w:t>CENTRO UNIVERSITÁRIO LEONARDO DA VINCI — UNIASSELVI</w:t>
      </w:r>
    </w:p>
    <w:p>
      <w:pPr>
        <w:jc w:val="center"/>
      </w:pPr>
      <w:r>
        <w:rPr>
          <w:rFonts w:ascii="Arial" w:hAnsi="Arial"/>
          <w:color w:val="555555"/>
          <w:sz w:val="22"/>
        </w:rPr>
        <w:t>Engenharia de Software — 7º período</w:t>
      </w:r>
    </w:p>
    <w:p/>
    <w:p/>
    <w:p>
      <w:pPr>
        <w:jc w:val="center"/>
      </w:pPr>
      <w:r>
        <w:rPr>
          <w:rFonts w:ascii="Arial" w:hAnsi="Arial"/>
          <w:b/>
          <w:color w:val="0AA69A"/>
          <w:sz w:val="28"/>
        </w:rPr>
        <w:t>Experiência Profissional: Desenvolvimento de Aplicações</w:t>
      </w:r>
    </w:p>
    <w:p>
      <w:pPr>
        <w:pStyle w:val="TitleMain"/>
        <w:jc w:val="center"/>
      </w:pPr>
      <w:r>
        <w:t>Estruturas de Dados e Estratégias de Busca</w:t>
      </w:r>
    </w:p>
    <w:p>
      <w:pPr>
        <w:jc w:val="center"/>
      </w:pPr>
      <w:r>
        <w:rPr>
          <w:rFonts w:ascii="Arial" w:hAnsi="Arial"/>
          <w:sz w:val="22"/>
        </w:rPr>
        <w:t>Plataforma Web de Apoio à Análise de Segurança de Aplicações</w:t>
      </w:r>
    </w:p>
    <w:p/>
    <w:p/>
    <w:p>
      <w:pPr>
        <w:jc w:val="center"/>
      </w:pPr>
      <w:r>
        <w:rPr>
          <w:rFonts w:ascii="Arial" w:hAnsi="Arial"/>
          <w:b/>
          <w:sz w:val="22"/>
        </w:rPr>
        <w:t>Ricardo José da Silva, Arthur Vilmar dos Santos e Pedro Vilmar dos Santos</w:t>
      </w:r>
    </w:p>
    <w:p>
      <w:pPr>
        <w:jc w:val="center"/>
      </w:pPr>
      <w:r>
        <w:rPr>
          <w:rFonts w:ascii="Arial" w:hAnsi="Arial"/>
          <w:color w:val="555555"/>
          <w:sz w:val="20"/>
        </w:rPr>
        <w:t>Turma EGS0011  ·  2026</w:t>
      </w:r>
    </w:p>
    <w:p/>
    <w:p/>
    <w:p/>
    <w:p/>
    <w:p/>
    <w:p>
      <w:pPr>
        <w:jc w:val="center"/>
      </w:pPr>
      <w:r>
        <w:rPr>
          <w:rFonts w:ascii="Arial" w:hAnsi="Arial"/>
          <w:i/>
          <w:color w:val="555555"/>
          <w:sz w:val="18"/>
        </w:rPr>
        <w:t>Atividade elaborada a partir das entidades e operações previstas na especificação do projeto.</w:t>
      </w:r>
    </w:p>
    <w:p>
      <w:r>
        <w:br w:type="page"/>
      </w:r>
    </w:p>
    <w:p>
      <w:pPr>
        <w:pStyle w:val="HeadingTeal"/>
      </w:pPr>
      <w:r>
        <w:t>1. Identificação das entidades</w:t>
      </w:r>
    </w:p>
    <w:p>
      <w:pPr>
        <w:spacing w:after="120" w:before="0"/>
        <w:pBdr>
          <w:bottom w:val="single" w:sz="8" w:space="1" w:color="F2C94C"/>
        </w:pBdr>
      </w:pPr>
    </w:p>
    <w:p>
      <w:pPr>
        <w:spacing w:after="160"/>
      </w:pPr>
      <w:r>
        <w:t>A especificação do projeto indica como principais coleções persistentes: aplicações cadastradas, análises executadas, achados de segurança, verificações predefinidas e resultados individuais das verificações. Os volumes abaixo são estimativas para orientar a escolha das estruturas de dados, considerando a primeira versão acadêmica e um horizonte de aproximadamente três anos de uso.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Operação predominante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Volume estimado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Estrutura escolhida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Justificativa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Aplicação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Localizar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10 a 20 aplicações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Tabela hash (HashMap)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As aplicações serão consultadas repetidamente por identificador ou URL para iniciar análises e acessar o histórico. A tabela hash oferece busca média O(1) e o volume é pequeno.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Análise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Inserir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~360 análises em 3 anos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Vetor/lista dinâmica (ArrayList)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Cada execução gera um novo registro e o histórico cresce de forma sequencial. A lista dinâmica favorece inserção no final e permite percorrer análises por período com baixo custo.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Achado de segurança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Localizar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~3.000 achados em 3 anos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Tabela hash (HashMap)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A comparação entre análises exige localizar rapidamente achados equivalentes por uma chave como URL + categoria. Com hash, a consulta média é O(1), evitando varrer toda a coleção.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Verificação de segurança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Percorrer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>
              <w:rPr>
                <w:rFonts w:ascii="Arial" w:hAnsi="Arial"/>
              </w:rPr>
              <w:t>47 grupos/itens principais (34 verificações passivas + 13 famílias ativas)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Vetor/array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>
              <w:rPr>
                <w:rFonts w:ascii="Arial" w:hAnsi="Arial"/>
              </w:rPr>
              <w:t>O catálogo é percorrido pelo orquestrador; as verificações passivas são avaliadas sobre a baseline e as famílias ativas são executadas quando existem pontos de entrada compatíveis. Um vetor/lista é adequado ao percurso sequencial O(n).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Resultado de verificação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Inserir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</w:rPr>
              <w:t>até ~16.920 execuções/resultados em 3 anos (estimativa superior)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Vetor/lista dinâmica (ArrayList)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</w:rPr>
              <w:t>Considerando 360 análises e até 47 itens/famílias avaliados por execução, o volume pode chegar a aproximadamente 16.920 registros de execução. O valor é uma estimativa superior e depende do contexto e dos pontos de entrada disponíveis.</w:t>
            </w:r>
          </w:p>
        </w:tc>
      </w:tr>
    </w:tbl>
    <w:p>
      <w:pPr>
        <w:spacing w:before="140" w:after="60"/>
      </w:pPr>
      <w:r>
        <w:t>Critério usado para os volumes. O Termo de Referência estima aproximadamente 10 versões publicadas por mês; para esta atividade, mantém-se a hipótese de uma análise por versão, resultando em cerca de 10 análises mensais e 360 análises em três anos. A versão implementada no TCC possui 34 verificações passivas e 13 famílias de verificações ativas seguras. Nem toda família ativa necessariamente produz uma execução útil em toda página, pois depende da existência de pontos de entrada compatíveis; por isso o volume de resultados é apresentado como estimativa superior, enquanto a estimativa de ~3.000 achados continua sendo apenas uma hipótese acadêmica de planejamento.</w:t>
      </w:r>
    </w:p>
    <w:p>
      <w:r>
        <w:br w:type="page"/>
      </w:r>
    </w:p>
    <w:p>
      <w:pPr>
        <w:pStyle w:val="HeadingTeal"/>
      </w:pPr>
      <w:r>
        <w:t>2. Custo de busca em três estratégias</w:t>
      </w:r>
    </w:p>
    <w:p>
      <w:pPr>
        <w:spacing w:after="120" w:before="0"/>
        <w:pBdr>
          <w:bottom w:val="single" w:sz="8" w:space="1" w:color="F2C94C"/>
        </w:pBdr>
      </w:pPr>
    </w:p>
    <w:p>
      <w:pPr>
        <w:spacing w:after="160"/>
      </w:pPr>
      <w:r>
        <w:t>Entidade escolhida: Achado de segurança. Para o cálculo, considera-se uma coleção com 1.000 achados, volume já compatível com o cenário de teste do projeto. A busca procura um achado por uma chave única composta, por exemplo, por URL afetada + categoria.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Estratégia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Cálculo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Custo estimado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18"/>
              </w:rPr>
              <w:t>Busca sequencial (linear)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8"/>
              </w:rPr>
              <w:t>n = 1.000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8"/>
              </w:rPr>
              <w:t>Até 1.000 passos</w:t>
              <w:br/>
              <w:t>≈ 500 passos em média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8"/>
              </w:rPr>
              <w:t>Percorre os elementos um a um até encontrar a chave. Custo O(n).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/>
            <w:r>
              <w:rPr>
                <w:rFonts w:ascii="Arial" w:hAnsi="Arial"/>
                <w:b/>
                <w:sz w:val="18"/>
              </w:rPr>
              <w:t>Busca binária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/>
            <w:r>
              <w:rPr>
                <w:rFonts w:ascii="Arial" w:hAnsi="Arial"/>
                <w:b w:val="0"/>
                <w:sz w:val="18"/>
              </w:rPr>
              <w:t>⌈log₂(1.000)⌉ = 10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/>
            <w:r>
              <w:rPr>
                <w:rFonts w:ascii="Arial" w:hAnsi="Arial"/>
                <w:b w:val="0"/>
                <w:sz w:val="18"/>
              </w:rPr>
              <w:t>Até 10 passos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5F4"/>
          </w:tcPr>
          <w:p>
            <w:r/>
            <w:r>
              <w:rPr>
                <w:rFonts w:ascii="Arial" w:hAnsi="Arial"/>
                <w:b w:val="0"/>
                <w:sz w:val="18"/>
              </w:rPr>
              <w:t>Exige coleção ordenada pela chave de busca. Custo O(log n).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18"/>
              </w:rPr>
              <w:t>Tabela hash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8"/>
              </w:rPr>
              <w:t>h(chave) → posição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8"/>
              </w:rPr>
              <w:t>≈ 1 passo em média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 w:val="0"/>
                <w:sz w:val="18"/>
              </w:rPr>
              <w:t>Com boa função hash e poucas colisões, a busca é O(1) em média; no pior caso pode degradar para O(n).</w:t>
            </w:r>
          </w:p>
        </w:tc>
      </w:tr>
    </w:tbl>
    <w:p>
      <w:pPr>
        <w:pStyle w:val="SubHeadingTeal"/>
      </w:pPr>
      <w:r>
        <w:t>Exemplo da busca binária</w:t>
      </w:r>
    </w:p>
    <w:p>
      <w:pPr>
        <w:spacing w:after="60"/>
      </w:pPr>
      <w:r>
        <w:t>A cada comparação, a busca binária elimina aproximadamente metade dos registros:</w:t>
      </w:r>
    </w:p>
    <w:p>
      <w:pPr>
        <w:jc w:val="center"/>
      </w:pPr>
      <w:r>
        <w:rPr>
          <w:rFonts w:ascii="Consolas" w:hAnsi="Consolas"/>
          <w:b/>
          <w:color w:val="08675F"/>
          <w:sz w:val="22"/>
        </w:rPr>
        <w:t>1.000 → 500 → 250 → 125 → 63 → 32 → 16 → 8 → 4 → 2 → 1</w:t>
      </w:r>
    </w:p>
    <w:p>
      <w:pPr>
        <w:pStyle w:val="SubHeadingTeal"/>
      </w:pPr>
      <w:r>
        <w:t>Conclusão</w:t>
      </w:r>
    </w:p>
    <w:p>
      <w:r>
        <w:t>Para a entidade Achado de segurança, a tabela hash é a estrutura mais coerente quando a operação dominante é localizar um achado por chave durante a comparação entre análises. Em 1.000 registros, a diferença teórica é significativa: a busca linear pode exigir 1.000 passos, a binária cerca de 10, enquanto a hash tende a aproximadamente 1 acesso em condições normais.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7D6"/>
          </w:tcPr>
          <w:p>
            <w:r/>
            <w:r>
              <w:rPr>
                <w:rFonts w:ascii="Arial" w:hAnsi="Arial"/>
                <w:b w:val="0"/>
                <w:sz w:val="18"/>
              </w:rPr>
              <w:t>Observação: “1 passo” na tabela hash representa o acesso esperado à posição calculada pela função hash. Colisões podem exigir comparações adicionais; por isso o valor é uma média, não uma garantia.</w:t>
            </w:r>
          </w:p>
        </w:tc>
      </w:tr>
    </w:tbl>
    <w:p>
      <w:pPr>
        <w:spacing w:after="160"/>
      </w:pPr>
      <w:r>
        <w:t/>
      </w:r>
    </w:p>
    <w:p>
      <w:pPr>
        <w:pStyle w:val="HeadingTeal"/>
      </w:pPr>
      <w:r>
        <w:t>3. Controle de alterações — versão 2.0</w:t>
      </w:r>
    </w:p>
    <w:p>
      <w:pPr>
        <w:spacing w:after="120" w:before="0"/>
        <w:pBdr>
          <w:bottom w:val="single" w:sz="8" w:space="1" w:color="F2C94C"/>
        </w:pBdr>
      </w:pPr>
    </w:p>
    <w:p>
      <w:pPr>
        <w:spacing w:after="160"/>
      </w:pPr>
      <w:r>
        <w:t>Esta versão não substitui nem apaga o conteúdo das seções 1 e 2: aquelas seções registram a análise feita a partir da especificação do projeto, antes da implementação estar concluída. Esta seção registra o que a implementação mostrou, item a item, com a razão técnica de cada correção. O critério aplicado foi confrontar cada afirmação com o arquivo do repositório que a sustentaria e corrigir a afirmação quando o arquivo não a sustentou.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9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Versão</w:t>
            </w:r>
          </w:p>
        </w:tc>
        <w:tc>
          <w:tcPr>
            <w:tcW w:type="dxa" w:w="1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Data</w:t>
            </w:r>
          </w:p>
        </w:tc>
        <w:tc>
          <w:tcPr>
            <w:tcW w:type="dxa" w:w="2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Item alterado</w:t>
            </w:r>
          </w:p>
        </w:tc>
        <w:tc>
          <w:tcPr>
            <w:tcW w:type="dxa" w:w="55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Razão técnica da alteração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1.0</w:t>
            </w:r>
          </w:p>
        </w:tc>
        <w:tc>
          <w:tcPr>
            <w:tcW w:type="dxa" w:w="1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09/09/2026</w:t>
            </w:r>
          </w:p>
        </w:tc>
        <w:tc>
          <w:tcPr>
            <w:tcW w:type="dxa" w:w="2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Emissão inicial (seções 1 e 2)</w:t>
            </w:r>
          </w:p>
        </w:tc>
        <w:tc>
          <w:tcPr>
            <w:tcW w:type="dxa" w:w="55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Análise elaborada a partir das entidades e operações previstas na especificação do projeto.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2.0</w:t>
            </w:r>
          </w:p>
        </w:tc>
        <w:tc>
          <w:tcPr>
            <w:tcW w:type="dxa" w:w="1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16/09/2026</w:t>
            </w:r>
          </w:p>
        </w:tc>
        <w:tc>
          <w:tcPr>
            <w:tcW w:type="dxa" w:w="2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Acrescenta a seção 3, com a revisão das seções 1 e 2 frente ao código</w:t>
            </w:r>
          </w:p>
        </w:tc>
        <w:tc>
          <w:tcPr>
            <w:tcW w:type="dxa" w:w="55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 seção 1 tratava cinco coleções como persistentes, quando apenas três tabelas existem em database.sql; o total de itens do catálogo e os volumes estimados também não correspondiam ao código implementado. As correções estão nas seções 3.1 a 3.4. Impacto: nenhuma decisão de estrutura de dados foi invertida — as escolhas que o código faz permanecem as mesmas; o que muda é a descrição das coleções e a base numérica.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2.1</w:t>
            </w:r>
          </w:p>
        </w:tc>
        <w:tc>
          <w:tcPr>
            <w:tcW w:type="dxa" w:w="1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23/09/2026</w:t>
            </w:r>
          </w:p>
        </w:tc>
        <w:tc>
          <w:tcPr>
            <w:tcW w:type="dxa" w:w="2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Adendo de esclarecimento à seção 3.4</w:t>
            </w:r>
          </w:p>
        </w:tc>
        <w:tc>
          <w:tcPr>
            <w:tcW w:type="dxa" w:w="55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Revisão cruzada com o documento da Fase 2. A seção 3.4 descreve a estrutura da fila de varredura como mantida; o termo correto é adotada, porque o código passou de uma lista consumida com pop(0) para collections.deque. A razão da adoção não é desempenho no tamanho real de operação — a medição registra ganho de 1,0× em 30 páginas — e sim a eliminação do único termo quadrático do laço de rastreamento, o que torna um aumento de max_pages uma mudança de configuração. O documento da Fase 2, seção 6.3, registra a decisão nesses termos. Este adendo apenas acrescenta esta linha; nenhuma linha anterior foi alterada ou removida.</w:t>
            </w:r>
          </w:p>
        </w:tc>
      </w:tr>
    </w:tbl>
    <w:p>
      <w:pPr>
        <w:spacing w:after="160"/>
      </w:pPr>
      <w:r>
        <w:t/>
      </w:r>
    </w:p>
    <w:p>
      <w:pPr>
        <w:pStyle w:val="SubHeadingTeal"/>
      </w:pPr>
      <w:r>
        <w:t>3.1 Correções das coleções listadas na seção 1</w:t>
      </w:r>
    </w:p>
    <w:p>
      <w:pPr>
        <w:spacing w:after="160"/>
      </w:pPr>
      <w:r>
        <w:t>A seção 1 listou cinco coleções persistentes. A implementação cria três tabelas. As duas coleções restantes existem, mas não são persistidas, e tratá-las como se fossem levou a estimativas de volume sem correspondência no banco.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Item da seção 1</w:t>
            </w:r>
          </w:p>
        </w:tc>
        <w:tc>
          <w:tcPr>
            <w:tcW w:type="dxa" w:w="4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O que o código mostra</w:t>
            </w:r>
          </w:p>
        </w:tc>
        <w:tc>
          <w:tcPr>
            <w:tcW w:type="dxa" w:w="3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Correção adotada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Verificação de segurança — apresentada como coleção com volume estimado</w:t>
            </w:r>
          </w:p>
        </w:tc>
        <w:tc>
          <w:tcPr>
            <w:tcW w:type="dxa" w:w="4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 catálogo é declarado em código, nos metadados de cada plugin (PluginMetadata.checks), e não existe tabela correspondente em database.sql. Ele muda quando o código muda, não quando um usuário cadastra algo.</w:t>
            </w:r>
          </w:p>
        </w:tc>
        <w:tc>
          <w:tcPr>
            <w:tcW w:type="dxa" w:w="3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Passa a ser descrita como coleção em memória, percorrida a cada página visitada, e não como coleção persistente.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Resultado de verificação — estimado em até ~16.920 registros em três anos</w:t>
            </w:r>
          </w:p>
        </w:tc>
        <w:tc>
          <w:tcPr>
            <w:tcW w:type="dxa" w:w="4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Não existe tabela de resultados de verificação. Uma verificação que não encontra problema não gera registro algum; o que é persistido é o achado.</w:t>
            </w:r>
          </w:p>
        </w:tc>
        <w:tc>
          <w:tcPr>
            <w:tcW w:type="dxa" w:w="3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 coleção é removida da contagem de volume persistido. O volume relevante passa a ser o de achados, que é medido.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"47 grupos/itens principais (34 verificações passivas + 13 famílias ativas)"</w:t>
            </w:r>
          </w:p>
        </w:tc>
        <w:tc>
          <w:tcPr>
            <w:tcW w:type="dxa" w:w="4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São 20 plugins (7 passivos e 13 ativos) que declaram, somados, 64 check ids: 34 passivos e 30 ativos. O campo checks_run registrado em cada análise vale 34 no modo passivo e 64 no modo completo.</w:t>
            </w:r>
          </w:p>
        </w:tc>
        <w:tc>
          <w:tcPr>
            <w:tcW w:type="dxa" w:w="3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 contagem correta passa a ser 20 plugins e 64 check ids. O número 47 somava plugins com famílias e não corresponde a nenhuma grandeza do código.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Aplicação e Achado — "Tabela hash (HashMap)"</w:t>
            </w:r>
          </w:p>
        </w:tc>
        <w:tc>
          <w:tcPr>
            <w:tcW w:type="dxa" w:w="4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Ambas são persistidas em tabelas InnoDB, cujos índices são árvores B. A tabela hash aparece de fato, mas em memória e em um ponto específico: o mapa indexado por fingerprint usado na comparação entre duas análises.</w:t>
            </w:r>
          </w:p>
        </w:tc>
        <w:tc>
          <w:tcPr>
            <w:tcW w:type="dxa" w:w="3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 estrutura persistente passa a ser descrita como índice B-tree, e a tabela hash passa a ser atribuída à comparação entre análises, que é onde ela existe.</w:t>
            </w:r>
          </w:p>
        </w:tc>
      </w:tr>
    </w:tbl>
    <w:p>
      <w:pPr>
        <w:spacing w:after="160"/>
      </w:pPr>
      <w:r>
        <w:t/>
      </w:r>
    </w:p>
    <w:p>
      <w:pPr>
        <w:pStyle w:val="SubHeadingTeal"/>
      </w:pPr>
      <w:r>
        <w:t>3.2 Volume corrigido, agora medido</w:t>
      </w:r>
    </w:p>
    <w:p>
      <w:pPr>
        <w:spacing w:after="160"/>
      </w:pPr>
      <w:r>
        <w:t>A seção 1 estimou os volumes por hipótese. Esta versão os apoia em uma medição: o próprio mecanismo foi executado contra um servidor HTTP local de quatro páginas, sem HTTPS, sem os cabeçalhos de segurança usuais, com cookie de sessão sem HttpOnly e sem SameSite e com banner de servidor exposto. O resultado foi 4 páginas rastreadas, 8 requisições, 34 verificações executadas e 12 achados após deduplicação — 48 antes dela.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Coleção</w:t>
            </w:r>
          </w:p>
        </w:tc>
        <w:tc>
          <w:tcPr>
            <w:tcW w:type="dxa" w:w="2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Volume na seção 1</w:t>
            </w:r>
          </w:p>
        </w:tc>
        <w:tc>
          <w:tcPr>
            <w:tcW w:type="dxa" w:w="2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Volume corrigido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Base do número corrigido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Aplicação</w:t>
            </w:r>
          </w:p>
        </w:tc>
        <w:tc>
          <w:tcPr>
            <w:tcW w:type="dxa" w:w="2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10 a 20 aplicações</w:t>
            </w:r>
          </w:p>
        </w:tc>
        <w:tc>
          <w:tcPr>
            <w:tcW w:type="dxa" w:w="2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 a 20 ao final de um ano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Termo de Referência, seção 2 ("mais de cinco aplicações web internas")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Análise</w:t>
            </w:r>
          </w:p>
        </w:tc>
        <w:tc>
          <w:tcPr>
            <w:tcW w:type="dxa" w:w="2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≈ 360 em 3 anos</w:t>
            </w:r>
          </w:p>
        </w:tc>
        <w:tc>
          <w:tcPr>
            <w:tcW w:type="dxa" w:w="2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≈ 120 ao final de um ano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10 publicações por mês × 12 meses, com uma análise por publicação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Achado de segurança</w:t>
            </w:r>
          </w:p>
        </w:tc>
        <w:tc>
          <w:tcPr>
            <w:tcW w:type="dxa" w:w="2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≈ 3.000 em 3 anos (hipótese)</w:t>
            </w:r>
          </w:p>
        </w:tc>
        <w:tc>
          <w:tcPr>
            <w:tcW w:type="dxa" w:w="2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≈ 1.440 ao final de um ano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120 análises × 12 achados por análise, valor medido e não estimado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Verificação de segurança</w:t>
            </w:r>
          </w:p>
        </w:tc>
        <w:tc>
          <w:tcPr>
            <w:tcW w:type="dxa" w:w="2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47 grupos/itens</w:t>
            </w:r>
          </w:p>
        </w:tc>
        <w:tc>
          <w:tcPr>
            <w:tcW w:type="dxa" w:w="2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20 plugins, 64 check ids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Soma dos check ids declarados pelos plugins, obtida do próprio código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Resultado de verificação</w:t>
            </w:r>
          </w:p>
        </w:tc>
        <w:tc>
          <w:tcPr>
            <w:tcW w:type="dxa" w:w="2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até ≈ 16.920 em 3 anos</w:t>
            </w:r>
          </w:p>
        </w:tc>
        <w:tc>
          <w:tcPr>
            <w:tcW w:type="dxa" w:w="24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não é persistido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Não existe tabela correspondente; só o achado é gravado</w:t>
            </w:r>
          </w:p>
        </w:tc>
      </w:tr>
    </w:tbl>
    <w:p>
      <w:pPr>
        <w:spacing w:after="160"/>
      </w:pPr>
      <w:r>
        <w:t/>
      </w:r>
    </w:p>
    <w:p>
      <w:pPr>
        <w:pStyle w:val="SubHeadingTeal"/>
      </w:pPr>
      <w:r>
        <w:t>3.3 Estruturas confirmadas e estruturas corrigidas</w:t>
      </w:r>
    </w:p>
    <w:p>
      <w:pPr>
        <w:spacing w:after="160"/>
      </w:pPr>
      <w:r>
        <w:t>Nenhuma decisão de estrutura de dados foi invertida por esta revisão. O que mudou foi a atribuição de cada estrutura à coleção correta, e a inclusão das coleções em memória do mecanismo de análise, que a seção 1 não considerava e que são as que dominam o custo de uma varredura.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Coleção</w:t>
            </w:r>
          </w:p>
        </w:tc>
        <w:tc>
          <w:tcPr>
            <w:tcW w:type="dxa" w:w="3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Estrutura efetivamente usada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Onde está no código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0AA69A"/>
          </w:tcPr>
          <w:p>
            <w:r>
              <w:t>Situação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applications</w:t>
            </w:r>
          </w:p>
        </w:tc>
        <w:tc>
          <w:tcPr>
            <w:tcW w:type="dxa" w:w="3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Tabela InnoDB, índice B-tree da chave primária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app/src/Infrastructure/Persistence/PdoApplicationRepository.php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Corrigida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analyses</w:t>
            </w:r>
          </w:p>
        </w:tc>
        <w:tc>
          <w:tcPr>
            <w:tcW w:type="dxa" w:w="3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Tabela InnoDB com índice composto (application_id, started_at)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database.sql; PdoAnalysisRepository::listByApplication()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Confirmada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findings</w:t>
            </w:r>
          </w:p>
        </w:tc>
        <w:tc>
          <w:tcPr>
            <w:tcW w:type="dxa" w:w="3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Tabela InnoDB com índices (analysis_id) e (analysis_id, fingerprint)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database.sql; PdoFindingRepository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Corrigida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Comparação entre análises</w:t>
            </w:r>
          </w:p>
        </w:tc>
        <w:tc>
          <w:tcPr>
            <w:tcW w:type="dxa" w:w="3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Mapa indexado por fingerprint (array associativo)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app/src/Domain/Service/AnalysisComparison.php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Confirmada — é aqui que a tabela hash existe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Catálogo de verificações</w:t>
            </w:r>
          </w:p>
        </w:tc>
        <w:tc>
          <w:tcPr>
            <w:tcW w:type="dxa" w:w="3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Lista de plugins e tupla de check ids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scanner/engine/runner.py; scanner/plugins/base.py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Acrescentada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Fila da varredura</w:t>
            </w:r>
          </w:p>
        </w:tc>
        <w:tc>
          <w:tcPr>
            <w:tcW w:type="dxa" w:w="3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collections.deque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scanner/engine/runner.py, variável queue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Acrescentada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Assinaturas já enfileiradas</w:t>
            </w:r>
          </w:p>
        </w:tc>
        <w:tc>
          <w:tcPr>
            <w:tcW w:type="dxa" w:w="3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set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scanner/engine/runner.py, variável enqueued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Acrescentada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Chaves de deduplicação</w:t>
            </w:r>
          </w:p>
        </w:tc>
        <w:tc>
          <w:tcPr>
            <w:tcW w:type="dxa" w:w="30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set de tuplas, com lista paralela para preservar a ordem</w:t>
            </w:r>
          </w:p>
        </w:tc>
        <w:tc>
          <w:tcPr>
            <w:tcW w:type="dxa" w:w="3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scanner/engine/runner.py, ScanRunner._deduplicate()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Acrescentada</w:t>
            </w:r>
          </w:p>
        </w:tc>
      </w:tr>
    </w:tbl>
    <w:p>
      <w:pPr>
        <w:spacing w:after="160"/>
      </w:pPr>
      <w:r>
        <w:t/>
      </w:r>
    </w:p>
    <w:p>
      <w:pPr>
        <w:pStyle w:val="SubHeadingTeal"/>
      </w:pPr>
      <w:r>
        <w:t>3.4 Da estimativa teórica à medição</w:t>
      </w:r>
    </w:p>
    <w:p>
      <w:pPr>
        <w:spacing w:after="160"/>
      </w:pPr>
      <w:r>
        <w:t>A seção 2 comparou busca linear, busca binária e tabela hash por cálculo teórico sobre 1.000 achados. A conclusão a que chegou permanece válida, e agora está confirmada por medição: a comparação entre duas análises com 1.000 achados leva 94,8329 ms na varredura par a par e 0,2000 ms com o mapa indexado por fingerprint — uma diferença de 474 vezes. Com 10.000 achados, a varredura par a par chega a 9,95 segundos, enquanto o mapa permanece abaixo de 3 milissegundos.</w:t>
      </w:r>
    </w:p>
    <w:p>
      <w:pPr>
        <w:spacing w:after="160"/>
      </w:pPr>
      <w:r>
        <w:t>As medições completas, com o método, o ambiente e as quatro decisões avaliadas, estão em docs/ALGORITHM_MEASUREMENTS.md e podem ser reproduzidas com python evaluation/benchmark_structures.py e php evaluation/benchmark_comparison.php. A apresentação consolidada está no documento da Fase 2 — Decisões Técnicas de Base.</w:t>
      </w:r>
    </w:p>
    <w:p>
      <w:pPr>
        <w:spacing w:after="160"/>
      </w:pPr>
      <w:r>
        <w:t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7D6"/>
          </w:tcPr>
          <w:p>
            <w:r>
              <w:t>O que a medição mudou e o que não mudou. A medição confirmou a escolha da seção 2 para a comparação entre análises e mostrou que uma das decisões — a estrutura da fila de varredura — não traz ganho no tamanho real de operação (30 páginas). Essa decisão foi mantida por outro motivo, registrado no documento da Fase 2, e não por desempenho. Registrar a medição que não confirma a expectativa é o que diferencia medir de justificar depois.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6"/>
      </w:rPr>
      <w:t xml:space="preserve">UNIASSELVI — Engenharia de Software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10" w:space="3" w:color="0AA69A"/>
      </w:pBdr>
    </w:pPr>
    <w:r>
      <w:rPr>
        <w:rFonts w:ascii="Arial" w:hAnsi="Arial"/>
        <w:color w:val="555555"/>
        <w:sz w:val="17"/>
      </w:rPr>
      <w:t>Experiência Profissional: Desenvolvimento de Aplicações  |  Atividade — Estruturas de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Main">
    <w:name w:val="TitleMain"/>
    <w:pPr>
      <w:spacing w:before="160" w:after="100"/>
    </w:pPr>
    <w:rPr>
      <w:rFonts w:ascii="Arial" w:hAnsi="Arial"/>
      <w:b/>
      <w:color w:val="08675F"/>
      <w:sz w:val="40"/>
    </w:rPr>
  </w:style>
  <w:style w:type="paragraph" w:customStyle="1" w:styleId="HeadingTeal">
    <w:name w:val="HeadingTeal"/>
    <w:pPr>
      <w:spacing w:before="160" w:after="100"/>
    </w:pPr>
    <w:rPr>
      <w:rFonts w:ascii="Arial" w:hAnsi="Arial"/>
      <w:b/>
      <w:color w:val="08675F"/>
      <w:sz w:val="32"/>
    </w:rPr>
  </w:style>
  <w:style w:type="paragraph" w:customStyle="1" w:styleId="SubHeadingTeal">
    <w:name w:val="SubHeadingTeal"/>
    <w:pPr>
      <w:spacing w:before="160" w:after="100"/>
    </w:pPr>
    <w:rPr>
      <w:rFonts w:ascii="Arial" w:hAnsi="Arial"/>
      <w:b/>
      <w:color w:val="0AA69A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— Estruturas de Dados e Estratégias de Busca</dc:title>
  <dc:subject>Plataforma Web de Apoio à Análise de Segurança de Aplicações</dc:subject>
  <dc:creator>Ricardo José da Silva e Arthur Vilmar dos Santos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