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z w:val="24"/>
        </w:rPr>
        <w:t>CENTRO UNIVERSITÁRIO LEONARDO DA VINCI — UNIASSELVI</w:t>
      </w:r>
    </w:p>
    <w:p>
      <w:pPr>
        <w:jc w:val="center"/>
      </w:pPr>
      <w:r>
        <w:rPr>
          <w:rFonts w:ascii="Arial" w:hAnsi="Arial"/>
          <w:sz w:val="22"/>
          <w:color w:val="555555"/>
        </w:rPr>
        <w:t>Engenharia de Software — 7º período</w:t>
      </w:r>
    </w:p>
    <w:p/>
    <w:p/>
    <w:p>
      <w:pPr>
        <w:jc w:val="center"/>
      </w:pPr>
      <w:r>
        <w:rPr>
          <w:rFonts w:ascii="Arial" w:hAnsi="Arial"/>
          <w:b/>
          <w:sz w:val="28"/>
          <w:color w:val="0AA69A"/>
        </w:rPr>
        <w:t>Experiência Profissional: Desenvolvimento de Aplicações</w:t>
      </w:r>
    </w:p>
    <w:p>
      <w:pPr>
        <w:pStyle w:val="TitleMain"/>
        <w:jc w:val="center"/>
      </w:pPr>
      <w:r>
        <w:rPr/>
        <w:t>Fase 3 — Arquitetura</w:t>
      </w:r>
    </w:p>
    <w:p>
      <w:pPr>
        <w:jc w:val="center"/>
      </w:pPr>
      <w:r>
        <w:rPr>
          <w:rFonts w:ascii="Arial" w:hAnsi="Arial"/>
          <w:sz w:val="22"/>
        </w:rPr>
        <w:t>SentinelScope — Plataforma Web de Apoio à Análise de Segurança de Aplicações</w:t>
      </w:r>
    </w:p>
    <w:p/>
    <w:p/>
    <w:p>
      <w:pPr>
        <w:jc w:val="center"/>
      </w:pPr>
      <w:r>
        <w:rPr>
          <w:rFonts w:ascii="Arial" w:hAnsi="Arial"/>
          <w:b/>
          <w:sz w:val="22"/>
        </w:rPr>
        <w:t>Ricardo José da Silva, Arthur Vilmar dos Santos e Pedro Vilmar dos Santos</w:t>
      </w:r>
    </w:p>
    <w:p>
      <w:pPr>
        <w:jc w:val="center"/>
      </w:pPr>
      <w:r>
        <w:rPr>
          <w:rFonts w:ascii="Arial" w:hAnsi="Arial"/>
          <w:sz w:val="20"/>
          <w:color w:val="555555"/>
        </w:rPr>
        <w:t>Turma EGS0011  ·  2026</w:t>
      </w:r>
    </w:p>
    <w:p/>
    <w:p/>
    <w:p/>
    <w:p/>
    <w:p/>
    <w:p>
      <w:pPr>
        <w:jc w:val="center"/>
      </w:pPr>
      <w:r>
        <w:rPr>
          <w:rFonts w:ascii="Arial" w:hAnsi="Arial"/>
          <w:i/>
          <w:sz w:val="18"/>
          <w:color w:val="555555"/>
        </w:rPr>
        <w:t>Documento consolidado a partir da arquitetura efetivamente implementada. Cada camada, interface e classe citada existe como arquivo versionado no repositório do projeto.</w:t>
      </w:r>
    </w:p>
    <w:p>
      <w:r>
        <w:br w:type="page"/>
      </w:r>
    </w:p>
    <w:p>
      <w:pPr>
        <w:pStyle w:val="HeadingTeal"/>
      </w:pPr>
      <w:r>
        <w:rPr/>
        <w:t>1. Objetivo e escopo desta fase</w:t>
      </w:r>
    </w:p>
    <w:p>
      <w:pPr>
        <w:spacing w:after="120" w:before="0"/>
        <w:pBdr>
          <w:bottom w:val="single" w:sz="8" w:space="1" w:color="F2C94C"/>
        </w:pBdr>
      </w:pPr>
    </w:p>
    <w:p>
      <w:pPr>
        <w:spacing w:after="160"/>
      </w:pPr>
      <w:r>
        <w:rPr>
          <w:rFonts w:ascii="Arial" w:hAnsi="Arial"/>
        </w:rPr>
        <w:t>Esta fase consolida, em arquitetura executável, as decisões tomadas na Fase 2. O produto desta etapa não é um desenho aspiracional: é o conjunto de camadas, interfaces e classes que existem no repositório, com a regra de dependência verificada automaticamente pela suíte de testes.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Nº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Etapa</w:t>
            </w:r>
          </w:p>
        </w:tc>
        <w:tc>
          <w:tcPr>
            <w:tcW w:type="dxa" w:w="2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Entrada</w:t>
            </w:r>
          </w:p>
        </w:tc>
        <w:tc>
          <w:tcPr>
            <w:tcW w:type="dxa" w:w="3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Saída</w:t>
            </w:r>
          </w:p>
        </w:tc>
        <w:tc>
          <w:tcPr>
            <w:tcW w:type="dxa" w:w="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Aula</w:t>
            </w:r>
          </w:p>
        </w:tc>
      </w:tr>
      <w:tr>
        <w:tc>
          <w:tcPr>
            <w:tcW w:type="dxa" w:w="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15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Desenhar as camadas e o sentido das dependências</w:t>
            </w:r>
          </w:p>
        </w:tc>
        <w:tc>
          <w:tcPr>
            <w:tcW w:type="dxa" w:w="2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Etapa 14</w:t>
            </w:r>
          </w:p>
        </w:tc>
        <w:tc>
          <w:tcPr>
            <w:tcW w:type="dxa" w:w="3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Diagrama de camadas com as setas apontando para o domínio</w:t>
            </w:r>
          </w:p>
        </w:tc>
        <w:tc>
          <w:tcPr>
            <w:tcW w:type="dxa" w:w="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</w:tr>
      <w:tr>
        <w:tc>
          <w:tcPr>
            <w:tcW w:type="dxa" w:w="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16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Definir a estratégia de persistência e o esquema de dados</w:t>
            </w:r>
          </w:p>
        </w:tc>
        <w:tc>
          <w:tcPr>
            <w:tcW w:type="dxa" w:w="2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Etapas 11, 12 e 15</w:t>
            </w:r>
          </w:p>
        </w:tc>
        <w:tc>
          <w:tcPr>
            <w:tcW w:type="dxa" w:w="3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Alternativa escolhida, esquema, índices e política de sincronização</w:t>
            </w:r>
          </w:p>
        </w:tc>
        <w:tc>
          <w:tcPr>
            <w:tcW w:type="dxa" w:w="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</w:tr>
      <w:tr>
        <w:tc>
          <w:tcPr>
            <w:tcW w:type="dxa" w:w="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17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Declarar as interfaces de contrato entre camadas</w:t>
            </w:r>
          </w:p>
        </w:tc>
        <w:tc>
          <w:tcPr>
            <w:tcW w:type="dxa" w:w="2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Etapas 15 e 16</w:t>
            </w:r>
          </w:p>
        </w:tc>
        <w:tc>
          <w:tcPr>
            <w:tcW w:type="dxa" w:w="3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Interfaces escritas em código, pertencentes ao domínio</w:t>
            </w:r>
          </w:p>
        </w:tc>
        <w:tc>
          <w:tcPr>
            <w:tcW w:type="dxa" w:w="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</w:tr>
      <w:tr>
        <w:tc>
          <w:tcPr>
            <w:tcW w:type="dxa" w:w="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18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Implementar as classes de domínio e testá-las isoladamente</w:t>
            </w:r>
          </w:p>
        </w:tc>
        <w:tc>
          <w:tcPr>
            <w:tcW w:type="dxa" w:w="2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Etapas 14 e 17</w:t>
            </w:r>
          </w:p>
        </w:tc>
        <w:tc>
          <w:tcPr>
            <w:tcW w:type="dxa" w:w="3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Classes com validação no construtor e testes usando repositório em memória</w:t>
            </w:r>
          </w:p>
        </w:tc>
        <w:tc>
          <w:tcPr>
            <w:tcW w:type="dxa" w:w="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</w:tr>
      <w:tr>
        <w:tc>
          <w:tcPr>
            <w:tcW w:type="dxa" w:w="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19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Consolidar o documento de arquitetura</w:t>
            </w:r>
          </w:p>
        </w:tc>
        <w:tc>
          <w:tcPr>
            <w:tcW w:type="dxa" w:w="2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Etapas 12 a 18</w:t>
            </w:r>
          </w:p>
        </w:tc>
        <w:tc>
          <w:tcPr>
            <w:tcW w:type="dxa" w:w="3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Documento com as seis seções e a rastreabilidade dos requisitos de prioridade alta</w:t>
            </w:r>
          </w:p>
        </w:tc>
        <w:tc>
          <w:tcPr>
            <w:tcW w:type="dxa" w:w="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</w:tr>
    </w:tbl>
    <w:p/>
    <w:p>
      <w:pPr>
        <w:spacing w:after="160"/>
      </w:pPr>
      <w:r>
        <w:rPr>
          <w:rFonts w:ascii="Arial" w:hAnsi="Arial"/>
        </w:rPr>
        <w:t>Conforme o Roteiro de Execução do Projeto, as cinco etapas desta fase são tratadas na Aula 7 e o marco correspondente é a Entrega E2 — Documento de arquitetura, prevista para a Aula 9, que é também o prazo registrado para esse produto na seção 4 do Termo de Referência. As etapas são concluídas na Aula 7; a entrega formal do documento ocorre na Aula 9.</w:t>
      </w:r>
    </w:p>
    <w:p>
      <w:pPr>
        <w:pStyle w:val="HeadingTeal"/>
      </w:pPr>
      <w:r>
        <w:rPr/>
        <w:t>2. Etapa 15 — Camadas e sentido das dependências</w:t>
      </w:r>
    </w:p>
    <w:p>
      <w:pPr>
        <w:spacing w:after="120" w:before="0"/>
        <w:pBdr>
          <w:bottom w:val="single" w:sz="8" w:space="1" w:color="F2C94C"/>
        </w:pBdr>
      </w:pPr>
    </w:p>
    <w:p>
      <w:pPr>
        <w:spacing w:after="160"/>
      </w:pPr>
      <w:r>
        <w:rPr>
          <w:rFonts w:ascii="Arial" w:hAnsi="Arial"/>
        </w:rPr>
        <w:t>A aplicação web está dividida em quatro camadas sob app/src/. A regra é única e vale sem exceção: toda seta aponta para o domínio. O domínio não conhece banco de dados, não conhece HTTP e não conhece a interface — ele declara o que precisa, e as camadas externas implementam.</w:t>
      </w:r>
    </w:p>
    <w:p>
      <w:pPr>
        <w:pStyle w:val="SubHeadingTeal"/>
      </w:pPr>
      <w:r>
        <w:rPr/>
        <w:t>2.1 Diagrama de camadas</w:t>
      </w:r>
    </w:p>
    <w:p>
      <w:pPr>
        <w:spacing w:after="0" w:before="0" w:line="240" w:lineRule="auto"/>
      </w:pPr>
      <w:r>
        <w:rPr>
          <w:b/>
          <w:sz w:val="22"/>
          <w:color w:val="08675F"/>
          <w:rFonts w:ascii="Consolas" w:hAnsi="Consolas" w:cs="Consolas" w:eastAsia="Consolas"/>
        </w:rPr>
        <w:t xml:space="preserve">                            public/index.php</w:t>
        <w:br/>
        <w:t xml:space="preserve">                        (controlador frontal: monta</w:t>
        <w:br/>
        <w:t xml:space="preserve">                         adaptadores, despacha, trata erro)</w:t>
        <w:br/>
        <w:t xml:space="preserve">                                    |</w:t>
        <w:br/>
        <w:t xml:space="preserve">        +---------------------------+---------------------------+</w:t>
        <w:br/>
        <w:t xml:space="preserve">        |                                                       |</w:t>
        <w:br/>
        <w:t xml:space="preserve">        v                                                       v</w:t>
        <w:br/>
        <w:t>+------------------+                                  +-------------------+</w:t>
        <w:br/>
        <w:t>|  Presentation    |                                  |     UseCase       |</w:t>
        <w:br/>
        <w:t>|  Views           | ----------------+                |  RegisterApplic.  |</w:t>
        <w:br/>
        <w:t>|  Layout          |                 |                |  RunAnalysis      |</w:t>
        <w:br/>
        <w:t>|  FindingPresenter|                 |                |  CompareAnalyses  |</w:t>
        <w:br/>
        <w:t>|  Html            |                 |                |  ExportAnalysis   |</w:t>
        <w:br/>
        <w:t>+------------------+                 |                +-------------------+</w:t>
        <w:br/>
        <w:t xml:space="preserve">                                     |                          |</w:t>
        <w:br/>
        <w:t xml:space="preserve">                                     v                          v</w:t>
        <w:br/>
        <w:t xml:space="preserve">                            +--------------------------------------+</w:t>
        <w:br/>
        <w:t xml:space="preserve">                            |               Domain                 |</w:t>
        <w:br/>
        <w:t xml:space="preserve">                            |  Model  |  Contract  |  Service  |   |</w:t>
        <w:br/>
        <w:t xml:space="preserve">                            |         |            | Exception |   |</w:t>
        <w:br/>
        <w:t xml:space="preserve">                            |   (não depende de nada externo)      |</w:t>
        <w:br/>
        <w:t xml:space="preserve">                            +--------------------------------------+</w:t>
        <w:br/>
        <w:t xml:space="preserve">                                             ^</w:t>
        <w:br/>
        <w:t xml:space="preserve">                                             |</w:t>
        <w:br/>
        <w:t xml:space="preserve">                            +--------------------------------------+</w:t>
        <w:br/>
        <w:t xml:space="preserve">                            |           Infrastructure             |</w:t>
        <w:br/>
        <w:t xml:space="preserve">                            |  PdoApplicationRepository            |</w:t>
        <w:br/>
        <w:t xml:space="preserve">                            |  PdoAnalysisRepository               |</w:t>
        <w:br/>
        <w:t xml:space="preserve">                            |  PdoFindingRepository                |</w:t>
        <w:br/>
        <w:t xml:space="preserve">                            |  PdoTransactionManager               |</w:t>
        <w:br/>
        <w:t xml:space="preserve">                            |  PythonScannerGateway                |</w:t>
        <w:br/>
        <w:t xml:space="preserve">                            |  Config · Database · Csrf            |</w:t>
        <w:br/>
        <w:t xml:space="preserve">                            +--------------------------------------+</w:t>
        <w:br/>
        <w:t xml:space="preserve">                                     |                  |</w:t>
        <w:br/>
        <w:t xml:space="preserve">                                     v                  v</w:t>
        <w:br/>
        <w:t xml:space="preserve">                              MariaDB 10.4+      scanner/scanner.py (Python)</w:t>
      </w:r>
    </w:p>
    <w:p/>
    <w:p>
      <w:pPr>
        <w:pStyle w:val="SubHeadingTeal"/>
      </w:pPr>
      <w:r>
        <w:rPr/>
        <w:t>2.2 Responsabilidade e dependências permitidas de cada camada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Camada</w:t>
            </w:r>
          </w:p>
        </w:tc>
        <w:tc>
          <w:tcPr>
            <w:tcW w:type="dxa" w:w="2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Diretório</w:t>
            </w:r>
          </w:p>
        </w:tc>
        <w:tc>
          <w:tcPr>
            <w:tcW w:type="dxa" w:w="5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Responsabilidade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Pode depender de</w:t>
            </w:r>
          </w:p>
        </w:tc>
      </w:tr>
      <w:tr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Domain</w:t>
            </w:r>
          </w:p>
        </w:tc>
        <w:tc>
          <w:tcPr>
            <w:tcW w:type="dxa" w:w="2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app/src/Domain/</w:t>
            </w:r>
          </w:p>
        </w:tc>
        <w:tc>
          <w:tcPr>
            <w:tcW w:type="dxa" w:w="5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Entidades, objetos de valor, serviço de comparação, contratos e convenção de erros. Valida no construtor, de modo que um objeto inválido não chega a existir.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nada</w:t>
            </w:r>
          </w:p>
        </w:tc>
      </w:tr>
      <w:tr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UseCase</w:t>
            </w:r>
          </w:p>
        </w:tc>
        <w:tc>
          <w:tcPr>
            <w:tcW w:type="dxa" w:w="2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app/src/UseCase/</w:t>
            </w:r>
          </w:p>
        </w:tc>
        <w:tc>
          <w:tcPr>
            <w:tcW w:type="dxa" w:w="5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Uma classe por operação da aplicação. Orquestra o domínio através dos contratos e é dona da fronteira transacional.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Domain</w:t>
            </w:r>
          </w:p>
        </w:tc>
      </w:tr>
      <w:tr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Infrastructure</w:t>
            </w:r>
          </w:p>
        </w:tc>
        <w:tc>
          <w:tcPr>
            <w:tcW w:type="dxa" w:w="2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app/src/Infrastructure/</w:t>
            </w:r>
          </w:p>
        </w:tc>
        <w:tc>
          <w:tcPr>
            <w:tcW w:type="dxa" w:w="5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Implementa os contratos do domínio. Único lugar onde existe SQL e onde o processo Python é invocado.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Domain</w:t>
            </w:r>
          </w:p>
        </w:tc>
      </w:tr>
      <w:tr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Presentation</w:t>
            </w:r>
          </w:p>
        </w:tc>
        <w:tc>
          <w:tcPr>
            <w:tcW w:type="dxa" w:w="2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app/src/Presentation/</w:t>
            </w:r>
          </w:p>
        </w:tc>
        <w:tc>
          <w:tcPr>
            <w:tcW w:type="dxa" w:w="5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Views (um método por tela), Layout, FindingPresenter e Html. Lê entidades, produz marcação e não decide nada.</w:t>
            </w:r>
          </w:p>
        </w:tc>
        <w:tc>
          <w:tcPr>
            <w:tcW w:type="dxa" w:w="1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Domain, UseCase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7D6"/>
          </w:tcPr>
          <w:p>
            <w:r/>
            <w:r>
              <w:rPr>
                <w:rFonts w:ascii="Arial" w:hAnsi="Arial"/>
                <w:b w:val="0"/>
                <w:sz w:val="18"/>
              </w:rPr>
              <w:t>A regra de dependência é executável, não apenas documentada. A suíte tests/php_test.php percorre todos os arquivos de app/src/Domain/, remove os comentários com token_get_all e falha se qualquer arquivo do domínio referenciar App\Infrastructure, App\Presentation, App\UseCase ou PDO no código. Os comentários são removidos de propósito: um bloco de documentação pode legitimamente citar o adaptador PDO, enquanto uma referência a ele no código inverteria a seta.</w:t>
            </w:r>
          </w:p>
        </w:tc>
      </w:tr>
    </w:tbl>
    <w:p>
      <w:r>
        <w:br w:type="page"/>
      </w:r>
    </w:p>
    <w:p>
      <w:pPr>
        <w:pStyle w:val="HeadingTeal"/>
      </w:pPr>
      <w:r>
        <w:rPr/>
        <w:t>3. Etapa 16 — Estratégia de persistência e esquema de dados</w:t>
      </w:r>
    </w:p>
    <w:p>
      <w:pPr>
        <w:spacing w:after="120" w:before="0"/>
        <w:pBdr>
          <w:bottom w:val="single" w:sz="8" w:space="1" w:color="F2C94C"/>
        </w:pBdr>
      </w:pPr>
    </w:p>
    <w:p>
      <w:pPr>
        <w:pStyle w:val="SubHeadingTeal"/>
      </w:pPr>
      <w:r>
        <w:rPr/>
        <w:t>3.1 Alternativas consideradas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Alternativa</w:t>
            </w:r>
          </w:p>
        </w:tc>
        <w:tc>
          <w:tcPr>
            <w:tcW w:type="dxa" w:w="6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Avaliação</w:t>
            </w:r>
          </w:p>
        </w:tc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Decisão</w:t>
            </w:r>
          </w:p>
        </w:tc>
      </w:tr>
      <w:tr>
        <w:tc>
          <w:tcPr>
            <w:tcW w:type="dxa" w:w="2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Banco relacional (MariaDB/InnoDB) acessado por PDO</w:t>
            </w:r>
          </w:p>
        </w:tc>
        <w:tc>
          <w:tcPr>
            <w:tcW w:type="dxa" w:w="6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As três coleções têm esquema estável e relacionamento claro (1—N—N). As consultas reais são filtro por chave estrangeira com ordenação por data, exatamente o que um índice B-tree atende. A integridade entre análise e achado é garantida por chave estrangeira, e não por código.</w:t>
            </w:r>
          </w:p>
        </w:tc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Escolhida</w:t>
            </w:r>
          </w:p>
        </w:tc>
      </w:tr>
      <w:tr>
        <w:tc>
          <w:tcPr>
            <w:tcW w:type="dxa" w:w="2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Banco documental</w:t>
            </w:r>
          </w:p>
        </w:tc>
        <w:tc>
          <w:tcPr>
            <w:tcW w:type="dxa" w:w="6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A flexibilidade de esquema não é necessária: os campos de um achado são os mesmos desde a primeira versão, e são definidos pelo mecanismo de análise. O custo seria perder a integridade referencial sem ganho correspondente.</w:t>
            </w:r>
          </w:p>
        </w:tc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Descartada</w:t>
            </w:r>
          </w:p>
        </w:tc>
      </w:tr>
      <w:tr>
        <w:tc>
          <w:tcPr>
            <w:tcW w:type="dxa" w:w="2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Arquivos JSON em disco</w:t>
            </w:r>
          </w:p>
        </w:tc>
        <w:tc>
          <w:tcPr>
            <w:tcW w:type="dxa" w:w="6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Simples de implantar, mas a comparação entre análises e o histórico por período exigiriam varrer arquivos a cada consulta, reimplementando em código o que o índice já faz.</w:t>
            </w:r>
          </w:p>
        </w:tc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Descartada</w:t>
            </w:r>
          </w:p>
        </w:tc>
      </w:tr>
      <w:tr>
        <w:tc>
          <w:tcPr>
            <w:tcW w:type="dxa" w:w="2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ORM completo</w:t>
            </w:r>
          </w:p>
        </w:tc>
        <w:tc>
          <w:tcPr>
            <w:tcW w:type="dxa" w:w="6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Introduziria dependência externa e uma camada de mapeamento maior que o próprio domínio, que tem três entidades. A stack do projeto é PHP sem framework e Python sem pacotes externos, conforme registrado no README e na seção 4 do padrão de codificação.</w:t>
            </w:r>
          </w:p>
        </w:tc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Descartada</w:t>
            </w:r>
          </w:p>
        </w:tc>
      </w:tr>
    </w:tbl>
    <w:p/>
    <w:p>
      <w:pPr>
        <w:spacing w:after="160"/>
      </w:pPr>
      <w:r>
        <w:rPr>
          <w:rFonts w:ascii="Arial" w:hAnsi="Arial"/>
        </w:rPr>
        <w:t>A persistência é acessada exclusivamente por PDO com prepared statements nativos (ATTR_EMULATE_PREPARES desligado), o que atende ao NFR-02 e elimina injeção de SQL por construção, não por revisão.</w:t>
      </w:r>
    </w:p>
    <w:p>
      <w:pPr>
        <w:pStyle w:val="SubHeadingTeal"/>
      </w:pPr>
      <w:r>
        <w:rPr/>
        <w:t>3.2 Esquema de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Tabela</w:t>
            </w:r>
          </w:p>
        </w:tc>
        <w:tc>
          <w:tcPr>
            <w:tcW w:type="dxa" w:w="5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Colunas principais</w:t>
            </w:r>
          </w:p>
        </w:tc>
        <w:tc>
          <w:tcPr>
            <w:tcW w:type="dxa" w:w="3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Chaves e restrições</w:t>
            </w:r>
          </w:p>
        </w:tc>
      </w:tr>
      <w:tr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applications</w:t>
            </w:r>
          </w:p>
        </w:tc>
        <w:tc>
          <w:tcPr>
            <w:tcW w:type="dxa" w:w="5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id, name, base_url, authorization_confirmed_at, created_at</w:t>
            </w:r>
          </w:p>
        </w:tc>
        <w:tc>
          <w:tcPr>
            <w:tcW w:type="dxa" w:w="3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PK id; a data de confirmação de autorização é obrigatória (NOT NULL)</w:t>
            </w:r>
          </w:p>
        </w:tc>
      </w:tr>
      <w:tr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analyses</w:t>
            </w:r>
          </w:p>
        </w:tc>
        <w:tc>
          <w:tcPr>
            <w:tcW w:type="dxa" w:w="5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id, application_id, mode, status, security_score, checks_run, duration_ms, http_status, error_message, started_at, completed_at</w:t>
            </w:r>
          </w:p>
        </w:tc>
        <w:tc>
          <w:tcPr>
            <w:tcW w:type="dxa" w:w="3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PK id; FK application_id → applications(id); status restrito a running/completed/failed</w:t>
            </w:r>
          </w:p>
        </w:tc>
      </w:tr>
      <w:tr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findings</w:t>
            </w:r>
          </w:p>
        </w:tc>
        <w:tc>
          <w:tcPr>
            <w:tcW w:type="dxa" w:w="5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id, analysis_id, fingerprint, title, category, cwe, owasp, wstg, severity, confidence, status, description, evidence_summary, affected_url, method, parameter, parameter_location, evidence, developer_impact, remediation, manual_review_required, remediation_example_*</w:t>
            </w:r>
          </w:p>
        </w:tc>
        <w:tc>
          <w:tcPr>
            <w:tcW w:type="dxa" w:w="3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PK id; FK analysis_id → analyses(id) ON DELETE CASCADE; severity restrito a critical/high/medium/low</w:t>
            </w:r>
          </w:p>
        </w:tc>
      </w:tr>
    </w:tbl>
    <w:p/>
    <w:p>
      <w:pPr>
        <w:pStyle w:val="SubHeadingTeal"/>
      </w:pPr>
      <w:r>
        <w:rPr/>
        <w:t>3.3 Índices e o acesso que cada um serve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Índice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Acesso que atende</w:t>
            </w:r>
          </w:p>
        </w:tc>
        <w:tc>
          <w:tcPr>
            <w:tcW w:type="dxa" w:w="4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Por que B-tree e não hash</w:t>
            </w:r>
          </w:p>
        </w:tc>
      </w:tr>
      <w:tr>
        <w:tc>
          <w:tcPr>
            <w:tcW w:type="dxa" w:w="3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idx_analysis_application_date (application_id, started_at)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Histórico de uma aplicação, já ordenado por data</w:t>
            </w:r>
          </w:p>
        </w:tc>
        <w:tc>
          <w:tcPr>
            <w:tcW w:type="dxa" w:w="4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 consulta é uma varredura de intervalo ordenada; um índice hash não preserva ordem e obrigaria a uma ordenação posterior</w:t>
            </w:r>
          </w:p>
        </w:tc>
      </w:tr>
      <w:tr>
        <w:tc>
          <w:tcPr>
            <w:tcW w:type="dxa" w:w="3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idx_finding_analysis (analysis_id)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Carregar todos os achados de uma análise</w:t>
            </w:r>
          </w:p>
        </w:tc>
        <w:tc>
          <w:tcPr>
            <w:tcW w:type="dxa" w:w="4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Leitura de muitas linhas contíguas por chave estrangeira, que o B-tree entrega em sequência</w:t>
            </w:r>
          </w:p>
        </w:tc>
      </w:tr>
      <w:tr>
        <w:tc>
          <w:tcPr>
            <w:tcW w:type="dxa" w:w="3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idx_finding_fingerprint (analysis_id, fingerprint)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Localizar um achado por identidade ao comparar análises</w:t>
            </w:r>
          </w:p>
        </w:tc>
        <w:tc>
          <w:tcPr>
            <w:tcW w:type="dxa" w:w="4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Acesso pontual dentro de uma análise; o mesmo índice serve ao prefixo analysis_id</w:t>
            </w:r>
          </w:p>
        </w:tc>
      </w:tr>
    </w:tbl>
    <w:p/>
    <w:p>
      <w:pPr>
        <w:pStyle w:val="SubHeadingTeal"/>
      </w:pPr>
      <w:r>
        <w:rPr/>
        <w:t>3.4 Política de sincronização e consistência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Situação</w:t>
            </w:r>
          </w:p>
        </w:tc>
        <w:tc>
          <w:tcPr>
            <w:tcW w:type="dxa" w:w="5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Política adotada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Onde está implementada</w:t>
            </w:r>
          </w:p>
        </w:tc>
      </w:tr>
      <w:tr>
        <w:tc>
          <w:tcPr>
            <w:tcW w:type="dxa" w:w="2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Início de uma análise</w:t>
            </w:r>
          </w:p>
        </w:tc>
        <w:tc>
          <w:tcPr>
            <w:tcW w:type="dxa" w:w="5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 análise é gravada com status running antes de a varredura começar, de modo que uma execução interrompida deixa rastro em vez de desaparecer.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RunAnalysis::execute(), antes da chamada ao gateway</w:t>
            </w:r>
          </w:p>
        </w:tc>
      </w:tr>
      <w:tr>
        <w:tc>
          <w:tcPr>
            <w:tcW w:type="dxa" w:w="2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Conclusão de uma análise</w:t>
            </w:r>
          </w:p>
        </w:tc>
        <w:tc>
          <w:tcPr>
            <w:tcW w:type="dxa" w:w="5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Os achados e a atualização da análise para completed são gravados como uma unidade: um item do histórico nunca exibe uma pontuação que seus achados não expliquem.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RunAnalysis::execute(), dentro de TransactionManager::transactional()</w:t>
            </w:r>
          </w:p>
        </w:tc>
      </w:tr>
      <w:tr>
        <w:tc>
          <w:tcPr>
            <w:tcW w:type="dxa" w:w="2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Falha da varredura</w:t>
            </w:r>
          </w:p>
        </w:tc>
        <w:tc>
          <w:tcPr>
            <w:tcW w:type="dxa" w:w="5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 análise é marcada como failed com o motivo registrado; nenhum achado é gravado e nenhuma transação é aberta.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RunAnalysis::execute(), ramo !$result-&gt;ok</w:t>
            </w:r>
          </w:p>
        </w:tc>
      </w:tr>
      <w:tr>
        <w:tc>
          <w:tcPr>
            <w:tcW w:type="dxa" w:w="2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Erro no meio de uma requisição</w:t>
            </w:r>
          </w:p>
        </w:tc>
        <w:tc>
          <w:tcPr>
            <w:tcW w:type="dxa" w:w="5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Uma transação ainda ativa sofre rollback antes de qualquer resposta ser produzida.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public/index.php, nos dois blocos catch; Database::rollBackIfActive()</w:t>
            </w:r>
          </w:p>
        </w:tc>
      </w:tr>
      <w:tr>
        <w:tc>
          <w:tcPr>
            <w:tcW w:type="dxa" w:w="2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Exclusão de uma análise</w:t>
            </w:r>
          </w:p>
        </w:tc>
        <w:tc>
          <w:tcPr>
            <w:tcW w:type="dxa" w:w="5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Os achados correspondentes são removidos pelo próprio banco, sem código de limpeza.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database.sql, ON DELETE CASCADE em fk_finding_analysis</w:t>
            </w:r>
          </w:p>
        </w:tc>
      </w:tr>
      <w:tr>
        <w:tc>
          <w:tcPr>
            <w:tcW w:type="dxa" w:w="2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Reimportação do esquema</w:t>
            </w:r>
          </w:p>
        </w:tc>
        <w:tc>
          <w:tcPr>
            <w:tcW w:type="dxa" w:w="5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Todas as evoluções de esquema são aditivas (ADD COLUMN IF NOT EXISTS), de modo que reexecutar database.sql sobre uma base existente é seguro.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database.sql</w:t>
            </w:r>
          </w:p>
        </w:tc>
      </w:tr>
      <w:tr>
        <w:tc>
          <w:tcPr>
            <w:tcW w:type="dxa" w:w="2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Credencial de sessão para área autenticada</w:t>
            </w:r>
          </w:p>
        </w:tc>
        <w:tc>
          <w:tcPr>
            <w:tcW w:type="dxa" w:w="5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É usada apenas durante aquela varredura, enviada somente ao alvo autorizado, ocultada nos logs e nunca persistida.</w:t>
            </w:r>
          </w:p>
        </w:tc>
        <w:tc>
          <w:tcPr>
            <w:tcW w:type="dxa" w:w="3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ScannerGateway::scan(); SENSITIVE_HEADERS em scanner/engine/safety.py</w:t>
            </w:r>
          </w:p>
        </w:tc>
      </w:tr>
    </w:tbl>
    <w:p>
      <w:r>
        <w:br w:type="page"/>
      </w:r>
    </w:p>
    <w:p>
      <w:pPr>
        <w:pStyle w:val="HeadingTeal"/>
      </w:pPr>
      <w:r>
        <w:rPr/>
        <w:t>4. Etapa 17 — Interfaces de contrato entre camadas</w:t>
      </w:r>
    </w:p>
    <w:p>
      <w:pPr>
        <w:spacing w:after="120" w:before="0"/>
        <w:pBdr>
          <w:bottom w:val="single" w:sz="8" w:space="1" w:color="F2C94C"/>
        </w:pBdr>
      </w:pPr>
    </w:p>
    <w:p>
      <w:pPr>
        <w:spacing w:after="160"/>
      </w:pPr>
      <w:r>
        <w:rPr>
          <w:rFonts w:ascii="Arial" w:hAnsi="Arial"/>
        </w:rPr>
        <w:t>As cinco interfaces abaixo estão escritas em código e pertencem ao domínio: ficam em app/src/Domain/Contract/. É essa localização que inverte a dependência — os casos de uso dependem do nome declarado pelo domínio, não de PDO nem do processo Python; o adaptador de produção e o dublê de teste são apenas duas implementações do mesmo contrato.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Interface (Domain\Contract)</w:t>
            </w:r>
          </w:p>
        </w:tc>
        <w:tc>
          <w:tcPr>
            <w:tcW w:type="dxa" w:w="4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Operações declaradas</w:t>
            </w:r>
          </w:p>
        </w:tc>
        <w:tc>
          <w:tcPr>
            <w:tcW w:type="dxa" w:w="2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Implementação de produção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Implementação de teste</w:t>
            </w:r>
          </w:p>
        </w:tc>
      </w:tr>
      <w:tr>
        <w:tc>
          <w:tcPr>
            <w:tcW w:type="dxa" w:w="2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ApplicationRepository</w:t>
            </w:r>
          </w:p>
        </w:tc>
        <w:tc>
          <w:tcPr>
            <w:tcW w:type="dxa" w:w="4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all(), find(), save()</w:t>
            </w:r>
          </w:p>
        </w:tc>
        <w:tc>
          <w:tcPr>
            <w:tcW w:type="dxa" w:w="2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PdoApplicationRepository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InMemoryApplicationRepository</w:t>
            </w:r>
          </w:p>
        </w:tc>
      </w:tr>
      <w:tr>
        <w:tc>
          <w:tcPr>
            <w:tcW w:type="dxa" w:w="2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AnalysisRepository</w:t>
            </w:r>
          </w:p>
        </w:tc>
        <w:tc>
          <w:tcPr>
            <w:tcW w:type="dxa" w:w="4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find(), listByApplication(), start(), markCompleted(), markFailed()</w:t>
            </w:r>
          </w:p>
        </w:tc>
        <w:tc>
          <w:tcPr>
            <w:tcW w:type="dxa" w:w="2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PdoAnalysisRepository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InMemoryAnalysisRepository</w:t>
            </w:r>
          </w:p>
        </w:tc>
      </w:tr>
      <w:tr>
        <w:tc>
          <w:tcPr>
            <w:tcW w:type="dxa" w:w="2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FindingRepository</w:t>
            </w:r>
          </w:p>
        </w:tc>
        <w:tc>
          <w:tcPr>
            <w:tcW w:type="dxa" w:w="4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byAnalysis(), saveAll()</w:t>
            </w:r>
          </w:p>
        </w:tc>
        <w:tc>
          <w:tcPr>
            <w:tcW w:type="dxa" w:w="2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PdoFindingRepository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InMemoryFindingRepository</w:t>
            </w:r>
          </w:p>
        </w:tc>
      </w:tr>
      <w:tr>
        <w:tc>
          <w:tcPr>
            <w:tcW w:type="dxa" w:w="2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ScannerGateway</w:t>
            </w:r>
          </w:p>
        </w:tc>
        <w:tc>
          <w:tcPr>
            <w:tcW w:type="dxa" w:w="4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scan(TargetUrl, ScanMode, sessionCookie): ScanResult</w:t>
            </w:r>
          </w:p>
        </w:tc>
        <w:tc>
          <w:tcPr>
            <w:tcW w:type="dxa" w:w="2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PythonScannerGateway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FakeScannerGateway</w:t>
            </w:r>
          </w:p>
        </w:tc>
      </w:tr>
      <w:tr>
        <w:tc>
          <w:tcPr>
            <w:tcW w:type="dxa" w:w="2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TransactionManager</w:t>
            </w:r>
          </w:p>
        </w:tc>
        <w:tc>
          <w:tcPr>
            <w:tcW w:type="dxa" w:w="4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transactional(callable)</w:t>
            </w:r>
          </w:p>
        </w:tc>
        <w:tc>
          <w:tcPr>
            <w:tcW w:type="dxa" w:w="2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PdoTransactionManager</w:t>
            </w:r>
          </w:p>
        </w:tc>
        <w:tc>
          <w:tcPr>
            <w:tcW w:type="dxa" w:w="1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ImmediateTransactionManager</w:t>
            </w:r>
          </w:p>
        </w:tc>
      </w:tr>
    </w:tbl>
    <w:p/>
    <w:p>
      <w:pPr>
        <w:spacing w:after="160"/>
      </w:pPr>
      <w:r>
        <w:rPr>
          <w:rFonts w:ascii="Arial" w:hAnsi="Arial"/>
        </w:rPr>
        <w:t>Duas dessas interfaces merecem justificativa explícita. ScannerGateway existe para que o domínio conheça "algo que, dado um alvo autorizado e um modo, devolve um ScanResult" — o fato de a implementação real executar um processo Python é o detalhe que a interface serve para esconder. TransactionManager existe porque "isto tudo ou nada" é uma regra do caso de uso e não do adaptador de banco: expressá-la sem nomear um banco é o que permite testar a regra sem um.</w:t>
      </w:r>
    </w:p>
    <w:p>
      <w:pPr>
        <w:pStyle w:val="SubHeadingTeal"/>
      </w:pPr>
      <w:r>
        <w:rPr/>
        <w:t>Interface do mecanismo de análise</w:t>
      </w:r>
    </w:p>
    <w:p>
      <w:pPr>
        <w:spacing w:after="160"/>
      </w:pPr>
      <w:r>
        <w:rPr>
          <w:rFonts w:ascii="Arial" w:hAnsi="Arial"/>
        </w:rPr>
        <w:t>Do lado Python existe um contrato equivalente, porém interno ao mecanismo: a classe abstrata ScannerPlugin, em scanner/plugins/base.py, com o método analyze(). Toda verificação — as 7 famílias passivas e as 13 ativas seguras — é uma implementação dessa classe, e cada uma declara seus próprios metadados (categoria, CWE, OWASP, WSTG e os check ids que possui). Acrescentar uma verificação nova não exige alterar o orquestrador.</w:t>
      </w:r>
    </w:p>
    <w:p>
      <w:r>
        <w:br w:type="page"/>
      </w:r>
    </w:p>
    <w:p>
      <w:pPr>
        <w:pStyle w:val="HeadingTeal"/>
      </w:pPr>
      <w:r>
        <w:rPr/>
        <w:t>5. Etapa 18 — Classes de domínio e testes isolados</w:t>
      </w:r>
    </w:p>
    <w:p>
      <w:pPr>
        <w:spacing w:after="120" w:before="0"/>
        <w:pBdr>
          <w:bottom w:val="single" w:sz="8" w:space="1" w:color="F2C94C"/>
        </w:pBdr>
      </w:pPr>
    </w:p>
    <w:p>
      <w:pPr>
        <w:pStyle w:val="SubHeadingTeal"/>
      </w:pPr>
      <w:r>
        <w:rPr/>
        <w:t>5.1 Validação no construtor</w:t>
      </w:r>
    </w:p>
    <w:p>
      <w:pPr>
        <w:spacing w:after="160"/>
      </w:pPr>
      <w:r>
        <w:rPr>
          <w:rFonts w:ascii="Arial" w:hAnsi="Arial"/>
        </w:rPr>
        <w:t>Cada classe do domínio recusa, no construtor, os estados que não deveriam existir. A consequência prática é que nenhuma camada posterior precisa reverificar: se o objeto existe, ele é válido.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2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Classe</w:t>
            </w:r>
          </w:p>
        </w:tc>
        <w:tc>
          <w:tcPr>
            <w:tcW w:type="dxa" w:w="7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Invariantes recusadas no construtor</w:t>
            </w:r>
          </w:p>
        </w:tc>
      </w:tr>
      <w:tr>
        <w:tc>
          <w:tcPr>
            <w:tcW w:type="dxa" w:w="2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TargetUrl</w:t>
            </w:r>
          </w:p>
        </w:tc>
        <w:tc>
          <w:tcPr>
            <w:tcW w:type="dxa" w:w="7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Endereço vazio, acima de 2.048 caracteres, malformado, com esquema diferente de HTTP/HTTPS ou com credenciais embutidas</w:t>
            </w:r>
          </w:p>
        </w:tc>
      </w:tr>
      <w:tr>
        <w:tc>
          <w:tcPr>
            <w:tcW w:type="dxa" w:w="2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SecurityScore</w:t>
            </w:r>
          </w:p>
        </w:tc>
        <w:tc>
          <w:tcPr>
            <w:tcW w:type="dxa" w:w="7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Valor fora do intervalo de 0 a 100</w:t>
            </w:r>
          </w:p>
        </w:tc>
      </w:tr>
      <w:tr>
        <w:tc>
          <w:tcPr>
            <w:tcW w:type="dxa" w:w="2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Application</w:t>
            </w:r>
          </w:p>
        </w:tc>
        <w:tc>
          <w:tcPr>
            <w:tcW w:type="dxa" w:w="7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Nome vazio ou só com espaços, nome acima de 120 caracteres, identificador não positivo, contagem de análises negativa</w:t>
            </w:r>
          </w:p>
        </w:tc>
      </w:tr>
      <w:tr>
        <w:tc>
          <w:tcPr>
            <w:tcW w:type="dxa" w:w="2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Analysis</w:t>
            </w:r>
          </w:p>
        </w:tc>
        <w:tc>
          <w:tcPr>
            <w:tcW w:type="dxa" w:w="7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Análise sem aplicação, análise concluída sem pontuação, análise que falhou sem motivo registrado, verificações ou duração negativas</w:t>
            </w:r>
          </w:p>
        </w:tc>
      </w:tr>
      <w:tr>
        <w:tc>
          <w:tcPr>
            <w:tcW w:type="dxa" w:w="2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Finding</w:t>
            </w:r>
          </w:p>
        </w:tc>
        <w:tc>
          <w:tcPr>
            <w:tcW w:type="dxa" w:w="7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Achado sem fingerprint, sem título ou sem URL afetada; confiança fora de 0 a 100</w:t>
            </w:r>
          </w:p>
        </w:tc>
      </w:tr>
      <w:tr>
        <w:tc>
          <w:tcPr>
            <w:tcW w:type="dxa" w:w="2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Severity, ScanMode, AnalysisStatus</w:t>
            </w:r>
          </w:p>
        </w:tc>
        <w:tc>
          <w:tcPr>
            <w:tcW w:type="dxa" w:w="7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Valor textual desconhecido, recusado por fromString()</w:t>
            </w:r>
          </w:p>
        </w:tc>
      </w:tr>
      <w:tr>
        <w:tc>
          <w:tcPr>
            <w:tcW w:type="dxa" w:w="2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ScanResult</w:t>
            </w:r>
          </w:p>
        </w:tc>
        <w:tc>
          <w:tcPr>
            <w:tcW w:type="dxa" w:w="7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Falha registrada sem motivo</w:t>
            </w:r>
          </w:p>
        </w:tc>
      </w:tr>
    </w:tbl>
    <w:p/>
    <w:p>
      <w:pPr>
        <w:pStyle w:val="SubHeadingTeal"/>
      </w:pPr>
      <w:r>
        <w:rPr/>
        <w:t>5.2 Testes com repositório em memória</w:t>
      </w:r>
    </w:p>
    <w:p>
      <w:pPr>
        <w:spacing w:after="160"/>
      </w:pPr>
      <w:r>
        <w:rPr>
          <w:rFonts w:ascii="Arial" w:hAnsi="Arial"/>
        </w:rPr>
        <w:t>A suíte PHP carrega app/autoload.php — e não app/bootstrap.php — de modo que não precisa de banco de dados nem de arquivo .env. Os cinco contratos são substituídos pelas implementações em memória de tests/php/, e os casos de uso são exercitados de ponta a ponta sobre elas. Essa separação entre autoloader e bootstrap foi introduzida nesta fase justamente para tornar o domínio testável de forma isolada.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2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Conjunto de testes</w:t>
            </w:r>
          </w:p>
        </w:tc>
        <w:tc>
          <w:tcPr>
            <w:tcW w:type="dxa" w:w="7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O que é verificado</w:t>
            </w:r>
          </w:p>
        </w:tc>
      </w:tr>
      <w:tr>
        <w:tc>
          <w:tcPr>
            <w:tcW w:type="dxa" w:w="2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Regra de camadas</w:t>
            </w:r>
          </w:p>
        </w:tc>
        <w:tc>
          <w:tcPr>
            <w:tcW w:type="dxa" w:w="7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Nenhum arquivo do domínio referencia camada externa ou PDO no código</w:t>
            </w:r>
          </w:p>
        </w:tc>
      </w:tr>
      <w:tr>
        <w:tc>
          <w:tcPr>
            <w:tcW w:type="dxa" w:w="2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Objetos de valor</w:t>
            </w:r>
          </w:p>
        </w:tc>
        <w:tc>
          <w:tcPr>
            <w:tcW w:type="dxa" w:w="7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TargetUrl, SecurityScore e Severity aceitam o válido e recusam o inválido</w:t>
            </w:r>
          </w:p>
        </w:tc>
      </w:tr>
      <w:tr>
        <w:tc>
          <w:tcPr>
            <w:tcW w:type="dxa" w:w="2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Entidades</w:t>
            </w:r>
          </w:p>
        </w:tc>
        <w:tc>
          <w:tcPr>
            <w:tcW w:type="dxa" w:w="7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Application, Analysis e Finding recusam cada estado inválido listado em 5.1</w:t>
            </w:r>
          </w:p>
        </w:tc>
      </w:tr>
      <w:tr>
        <w:tc>
          <w:tcPr>
            <w:tcW w:type="dxa" w:w="2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Convenção de erros</w:t>
            </w:r>
          </w:p>
        </w:tc>
        <w:tc>
          <w:tcPr>
            <w:tcW w:type="dxa" w:w="7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InvalidInput e NotFound herdam de DomainError e devolvem 400 e 404</w:t>
            </w:r>
          </w:p>
        </w:tc>
      </w:tr>
      <w:tr>
        <w:tc>
          <w:tcPr>
            <w:tcW w:type="dxa" w:w="2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Pontuação de segurança</w:t>
            </w:r>
          </w:p>
        </w:tc>
        <w:tc>
          <w:tcPr>
            <w:tcW w:type="dxa" w:w="7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Regra 30/15/7/2, limite inferior em 0 e severidade desconhecida ignorada</w:t>
            </w:r>
          </w:p>
        </w:tc>
      </w:tr>
      <w:tr>
        <w:tc>
          <w:tcPr>
            <w:tcW w:type="dxa" w:w="2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Apresentação do achado</w:t>
            </w:r>
          </w:p>
        </w:tc>
        <w:tc>
          <w:tcPr>
            <w:tcW w:type="dxa" w:w="7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Rótulos, taxonomia, escape de saída e bloco de exemplo presente ou ausente</w:t>
            </w:r>
          </w:p>
        </w:tc>
      </w:tr>
      <w:tr>
        <w:tc>
          <w:tcPr>
            <w:tcW w:type="dxa" w:w="2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Comparação entre análises</w:t>
            </w:r>
          </w:p>
        </w:tc>
        <w:tc>
          <w:tcPr>
            <w:tcW w:type="dxa" w:w="7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Achados novos, persistentes e corrigidos, incluindo listas idênticas</w:t>
            </w:r>
          </w:p>
        </w:tc>
      </w:tr>
      <w:tr>
        <w:tc>
          <w:tcPr>
            <w:tcW w:type="dxa" w:w="2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Leitura do resultado da varredura</w:t>
            </w:r>
          </w:p>
        </w:tc>
        <w:tc>
          <w:tcPr>
            <w:tcW w:type="dxa" w:w="7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Sucesso e falha do mecanismo, métricas e pontuação derivada</w:t>
            </w:r>
          </w:p>
        </w:tc>
      </w:tr>
      <w:tr>
        <w:tc>
          <w:tcPr>
            <w:tcW w:type="dxa" w:w="2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RegisterApplication</w:t>
            </w:r>
          </w:p>
        </w:tc>
        <w:tc>
          <w:tcPr>
            <w:tcW w:type="dxa" w:w="7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Exige autorização explícita e valida a URL antes de persistir</w:t>
            </w:r>
          </w:p>
        </w:tc>
      </w:tr>
      <w:tr>
        <w:tc>
          <w:tcPr>
            <w:tcW w:type="dxa" w:w="2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RunAnalysis</w:t>
            </w:r>
          </w:p>
        </w:tc>
        <w:tc>
          <w:tcPr>
            <w:tcW w:type="dxa" w:w="7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Conclui e pontua; recusa aplicação inexistente; recusa modo ativo sem a autorização adicional; encaminha modo e cookie de sessão; abre transação exatamente uma vez</w:t>
            </w:r>
          </w:p>
        </w:tc>
      </w:tr>
      <w:tr>
        <w:tc>
          <w:tcPr>
            <w:tcW w:type="dxa" w:w="2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RunAnalysis (falha)</w:t>
            </w:r>
          </w:p>
        </w:tc>
        <w:tc>
          <w:tcPr>
            <w:tcW w:type="dxa" w:w="7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Varredura que falha é registrada com motivo, sem achados e sem transação</w:t>
            </w:r>
          </w:p>
        </w:tc>
      </w:tr>
      <w:tr>
        <w:tc>
          <w:tcPr>
            <w:tcW w:type="dxa" w:w="2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CompareAnalyses</w:t>
            </w:r>
          </w:p>
        </w:tc>
        <w:tc>
          <w:tcPr>
            <w:tcW w:type="dxa" w:w="7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Classifica corretamente e recusa análises de aplicações diferentes</w:t>
            </w:r>
          </w:p>
        </w:tc>
      </w:tr>
      <w:tr>
        <w:tc>
          <w:tcPr>
            <w:tcW w:type="dxa" w:w="2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ExportAnalysis</w:t>
            </w:r>
          </w:p>
        </w:tc>
        <w:tc>
          <w:tcPr>
            <w:tcW w:type="dxa" w:w="7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Documento JSON com identificação, modo, pontuação, taxonomia e exemplo</w:t>
            </w:r>
          </w:p>
        </w:tc>
      </w:tr>
      <w:tr>
        <w:tc>
          <w:tcPr>
            <w:tcW w:type="dxa" w:w="2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RunAnalysis (motor inacessível)</w:t>
            </w:r>
          </w:p>
        </w:tc>
        <w:tc>
          <w:tcPr>
            <w:tcW w:type="dxa" w:w="7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Falha do gateway fecha a análise com o motivo em vez de deixá-la presa em execução; defeito inesperado também fecha o registro e continua propagando</w:t>
            </w:r>
          </w:p>
        </w:tc>
      </w:tr>
      <w:tr>
        <w:tc>
          <w:tcPr>
            <w:tcW w:type="dxa" w:w="2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Padrão de codificação</w:t>
            </w:r>
          </w:p>
        </w:tc>
        <w:tc>
          <w:tcPr>
            <w:tcW w:type="dxa" w:w="7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As regras que o padrão marca como verificadas: strict_types, um tipo por arquivo, classes final, tipo de retorno declarado, SQL apenas em Persistence e contratos declarados como interface</w:t>
            </w:r>
          </w:p>
        </w:tc>
      </w:tr>
      <w:tr>
        <w:tc>
          <w:tcPr>
            <w:tcW w:type="dxa" w:w="2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CA-05 / NFR-01</w:t>
            </w:r>
          </w:p>
        </w:tc>
        <w:tc>
          <w:tcPr>
            <w:tcW w:type="dxa" w:w="7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Renderização de 1.000 achados concluída bem abaixo do limite de 3 segundos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7D6"/>
          </w:tcPr>
          <w:p>
            <w:r/>
            <w:r>
              <w:rPr>
                <w:rFonts w:ascii="Arial" w:hAnsi="Arial"/>
                <w:b w:val="0"/>
                <w:sz w:val="18"/>
              </w:rPr>
              <w:t>Situação das suítes na data deste documento: 106 testes Python (python -m unittest discover -s tests) e 115 verificações PHP (php tests/php_test.php), todos passando. A suíte PHP cobre domínio, casos de uso e apresentação; os adaptadores PDO não são exercitados por ela, pois dependem de uma instância MariaDB, e são cobertos por verificação de sintaxe e pela execução manual descrita no manual de instalação.</w:t>
            </w:r>
          </w:p>
        </w:tc>
      </w:tr>
    </w:tbl>
    <w:p>
      <w:r>
        <w:br w:type="page"/>
      </w:r>
    </w:p>
    <w:p>
      <w:pPr>
        <w:pStyle w:val="HeadingTeal"/>
      </w:pPr>
      <w:r>
        <w:rPr/>
        <w:t>6. Etapa 19 — Documento de arquitetura consolidado</w:t>
      </w:r>
    </w:p>
    <w:p>
      <w:pPr>
        <w:spacing w:after="120" w:before="0"/>
        <w:pBdr>
          <w:bottom w:val="single" w:sz="8" w:space="1" w:color="F2C94C"/>
        </w:pBdr>
      </w:pPr>
    </w:p>
    <w:p>
      <w:pPr>
        <w:spacing w:after="160"/>
      </w:pPr>
      <w:r>
        <w:rPr>
          <w:rFonts w:ascii="Arial" w:hAnsi="Arial"/>
        </w:rPr>
        <w:t>O documento de arquitetura do projeto é docs/ARCHITECTURE.md, versionado junto ao código para que uma alteração de estrutura e a sua descrição andem no mesmo commit. Suas seis seções são as seguintes.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Nº</w:t>
            </w:r>
          </w:p>
        </w:tc>
        <w:tc>
          <w:tcPr>
            <w:tcW w:type="dxa" w:w="2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Seção</w:t>
            </w:r>
          </w:p>
        </w:tc>
        <w:tc>
          <w:tcPr>
            <w:tcW w:type="dxa" w:w="6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Conteúdo</w:t>
            </w:r>
          </w:p>
        </w:tc>
      </w:tr>
      <w:tr>
        <w:tc>
          <w:tcPr>
            <w:tcW w:type="dxa" w:w="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1</w:t>
            </w:r>
          </w:p>
        </w:tc>
        <w:tc>
          <w:tcPr>
            <w:tcW w:type="dxa" w:w="2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Camadas e sentido das dependências</w:t>
            </w:r>
          </w:p>
        </w:tc>
        <w:tc>
          <w:tcPr>
            <w:tcW w:type="dxa" w:w="6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Diagrama, tabela de responsabilidade por camada, tabela de contratos com as duas implementações de cada um, e a convenção de erros</w:t>
            </w:r>
          </w:p>
        </w:tc>
      </w:tr>
      <w:tr>
        <w:tc>
          <w:tcPr>
            <w:tcW w:type="dxa" w:w="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2</w:t>
            </w:r>
          </w:p>
        </w:tc>
        <w:tc>
          <w:tcPr>
            <w:tcW w:type="dxa" w:w="2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Fluxo principal</w:t>
            </w:r>
          </w:p>
        </w:tc>
        <w:tc>
          <w:tcPr>
            <w:tcW w:type="dxa" w:w="6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Os cinco passos desde o cadastro do alvo autorizado até a apresentação do achado com observação, impacto, correção e exemplo prático</w:t>
            </w:r>
          </w:p>
        </w:tc>
      </w:tr>
      <w:tr>
        <w:tc>
          <w:tcPr>
            <w:tcW w:type="dxa" w:w="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3</w:t>
            </w:r>
          </w:p>
        </w:tc>
        <w:tc>
          <w:tcPr>
            <w:tcW w:type="dxa" w:w="2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Interior do mecanismo de análise</w:t>
            </w:r>
          </w:p>
        </w:tc>
        <w:tc>
          <w:tcPr>
            <w:tcW w:type="dxa" w:w="6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Papel de cada módulo de scanner/engine/ e de scanner/plugins/, incluindo rastreamento, normalização, confiança e deduplicação</w:t>
            </w:r>
          </w:p>
        </w:tc>
      </w:tr>
      <w:tr>
        <w:tc>
          <w:tcPr>
            <w:tcW w:type="dxa" w:w="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4</w:t>
            </w:r>
          </w:p>
        </w:tc>
        <w:tc>
          <w:tcPr>
            <w:tcW w:type="dxa" w:w="2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Fronteiras de segurança</w:t>
            </w:r>
          </w:p>
        </w:tc>
        <w:tc>
          <w:tcPr>
            <w:tcW w:type="dxa" w:w="6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Bloqueio de destinos privados, restrição a HTTP(S), limites de resposta e tempo, token CSRF, escape de saída e prepared statements</w:t>
            </w:r>
          </w:p>
        </w:tc>
      </w:tr>
      <w:tr>
        <w:tc>
          <w:tcPr>
            <w:tcW w:type="dxa" w:w="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5</w:t>
            </w:r>
          </w:p>
        </w:tc>
        <w:tc>
          <w:tcPr>
            <w:tcW w:type="dxa" w:w="2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Modelo de dados</w:t>
            </w:r>
          </w:p>
        </w:tc>
        <w:tc>
          <w:tcPr>
            <w:tcW w:type="dxa" w:w="6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Relacionamento 1—N—N, operação predominante de cada tabela e o índice que a atende</w:t>
            </w:r>
          </w:p>
        </w:tc>
      </w:tr>
      <w:tr>
        <w:tc>
          <w:tcPr>
            <w:tcW w:type="dxa" w:w="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6</w:t>
            </w:r>
          </w:p>
        </w:tc>
        <w:tc>
          <w:tcPr>
            <w:tcW w:type="dxa" w:w="2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Decisões medidas</w:t>
            </w:r>
          </w:p>
        </w:tc>
        <w:tc>
          <w:tcPr>
            <w:tcW w:type="dxa" w:w="67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As quatro escolhas estruturais decididas por medição, a alternativa recusada em cada uma e a ligação para docs/ALGORITHM_MEASUREMENTS.md, onde estão o método e os resultados completos</w:t>
            </w:r>
          </w:p>
        </w:tc>
      </w:tr>
    </w:tbl>
    <w:p/>
    <w:p>
      <w:pPr>
        <w:pStyle w:val="SubHeadingTeal"/>
      </w:pPr>
      <w:r>
        <w:rPr/>
        <w:t>6.1 Rastreabilidade dos requisitos de prioridade alta</w:t>
      </w:r>
    </w:p>
    <w:p>
      <w:pPr>
        <w:spacing w:after="160"/>
      </w:pPr>
      <w:r>
        <w:rPr>
          <w:rFonts w:ascii="Arial" w:hAnsi="Arial"/>
        </w:rPr>
        <w:t>A matriz completa, com a prioridade de cada requisito, a pergunta da entrevista que o originou, o item do escopo incluído do Termo de Referência a que pertence e o critério de aceitação que o verifica, está em docs/REQUIREMENTS.md. A tabela abaixo reproduz as quatorze linhas de prioridade alta, acrescidas do componente da arquitetura que realiza cada uma. A coluna Origem aponta para o item do escopo incluído do Termo de Referência de que o requisito decorre — é esse vínculo que atende ao CA-08 e à regra de rastreabilidade verificada antes da Entrega E1.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Req.</w:t>
            </w:r>
          </w:p>
        </w:tc>
        <w:tc>
          <w:tcPr>
            <w:tcW w:type="dxa" w:w="2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Requisito (resumo)</w:t>
            </w:r>
          </w:p>
        </w:tc>
        <w:tc>
          <w:tcPr>
            <w:tcW w:type="dxa" w:w="1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Origem (TR 3.2)</w:t>
            </w:r>
          </w:p>
        </w:tc>
        <w:tc>
          <w:tcPr>
            <w:tcW w:type="dxa" w:w="4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Componente que o realiza</w:t>
            </w:r>
          </w:p>
        </w:tc>
        <w:tc>
          <w:tcPr>
            <w:tcW w:type="dxa" w:w="1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CA</w:t>
            </w:r>
          </w:p>
        </w:tc>
      </w:tr>
      <w:tr>
        <w:tc>
          <w:tcPr>
            <w:tcW w:type="dxa" w:w="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FR-01</w:t>
            </w:r>
          </w:p>
        </w:tc>
        <w:tc>
          <w:tcPr>
            <w:tcW w:type="dxa" w:w="2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Cadastrar aplicação com nome, URL HTTP(S) e confirmação de autorização</w:t>
            </w:r>
          </w:p>
        </w:tc>
        <w:tc>
          <w:tcPr>
            <w:tcW w:type="dxa" w:w="1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4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UseCase\RegisterApplication; Domain\Model\Application e TargetUrl; Infrastructure\Persistence\PdoApplicationRepository</w:t>
            </w:r>
          </w:p>
        </w:tc>
        <w:tc>
          <w:tcPr>
            <w:tcW w:type="dxa" w:w="1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CA-01</w:t>
            </w:r>
          </w:p>
        </w:tc>
      </w:tr>
      <w:tr>
        <w:tc>
          <w:tcPr>
            <w:tcW w:type="dxa" w:w="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FR-02</w:t>
            </w:r>
          </w:p>
        </w:tc>
        <w:tc>
          <w:tcPr>
            <w:tcW w:type="dxa" w:w="2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Executar sob demanda o catálogo de verificações, cada uma como plugin independente</w:t>
            </w:r>
          </w:p>
        </w:tc>
        <w:tc>
          <w:tcPr>
            <w:tcW w:type="dxa" w:w="1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4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UseCase\RunAnalysis; Domain\Contract\ScannerGateway; Infrastructure\Scanner\PythonScannerGateway; scanner/engine/runner.py e scanner/plugins/</w:t>
            </w:r>
          </w:p>
        </w:tc>
        <w:tc>
          <w:tcPr>
            <w:tcW w:type="dxa" w:w="1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CA-01</w:t>
            </w:r>
          </w:p>
        </w:tc>
      </w:tr>
      <w:tr>
        <w:tc>
          <w:tcPr>
            <w:tcW w:type="dxa" w:w="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FR-03</w:t>
            </w:r>
          </w:p>
        </w:tc>
        <w:tc>
          <w:tcPr>
            <w:tcW w:type="dxa" w:w="2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Registrar alvo, categoria, CWE, OWASP, WSTG, evidência, severidade, confiança, status e correção</w:t>
            </w:r>
          </w:p>
        </w:tc>
        <w:tc>
          <w:tcPr>
            <w:tcW w:type="dxa" w:w="1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4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Domain\Model\Finding; Infrastructure\Persistence\PdoFindingRepository; tabela findings</w:t>
            </w:r>
          </w:p>
        </w:tc>
        <w:tc>
          <w:tcPr>
            <w:tcW w:type="dxa" w:w="1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CA-02</w:t>
            </w:r>
          </w:p>
        </w:tc>
      </w:tr>
      <w:tr>
        <w:tc>
          <w:tcPr>
            <w:tcW w:type="dxa" w:w="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FR-05</w:t>
            </w:r>
          </w:p>
        </w:tc>
        <w:tc>
          <w:tcPr>
            <w:tcW w:type="dxa" w:w="2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Explicar impacto e correção de cada achado, com exemplo vulnerável → corrigido</w:t>
            </w:r>
          </w:p>
        </w:tc>
        <w:tc>
          <w:tcPr>
            <w:tcW w:type="dxa" w:w="1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4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Domain\Model\RemediationExample; Presentation\FindingPresenter; scanner/plugins/remediation_examples.py</w:t>
            </w:r>
          </w:p>
        </w:tc>
        <w:tc>
          <w:tcPr>
            <w:tcW w:type="dxa" w:w="1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CA-02</w:t>
            </w:r>
          </w:p>
        </w:tc>
      </w:tr>
      <w:tr>
        <w:tc>
          <w:tcPr>
            <w:tcW w:type="dxa" w:w="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FR-06</w:t>
            </w:r>
          </w:p>
        </w:tc>
        <w:tc>
          <w:tcPr>
            <w:tcW w:type="dxa" w:w="2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Exibir o histórico de análises por aplicação</w:t>
            </w:r>
          </w:p>
        </w:tc>
        <w:tc>
          <w:tcPr>
            <w:tcW w:type="dxa" w:w="1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4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Domain\Contract\AnalysisRepository::listByApplication(); índice idx_analysis_application_date; Presentation\Views::dashboard()</w:t>
            </w:r>
          </w:p>
        </w:tc>
        <w:tc>
          <w:tcPr>
            <w:tcW w:type="dxa" w:w="1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CA-05</w:t>
            </w:r>
          </w:p>
        </w:tc>
      </w:tr>
      <w:tr>
        <w:tc>
          <w:tcPr>
            <w:tcW w:type="dxa" w:w="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FR-07</w:t>
            </w:r>
          </w:p>
        </w:tc>
        <w:tc>
          <w:tcPr>
            <w:tcW w:type="dxa" w:w="2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Comparar duas análises como novos, persistentes e corrigidos</w:t>
            </w:r>
          </w:p>
        </w:tc>
        <w:tc>
          <w:tcPr>
            <w:tcW w:type="dxa" w:w="1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4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UseCase\CompareAnalyses; Domain\Service\AnalysisComparison; índice idx_finding_fingerprint</w:t>
            </w:r>
          </w:p>
        </w:tc>
        <w:tc>
          <w:tcPr>
            <w:tcW w:type="dxa" w:w="1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CA-04</w:t>
            </w:r>
          </w:p>
        </w:tc>
      </w:tr>
      <w:tr>
        <w:tc>
          <w:tcPr>
            <w:tcW w:type="dxa" w:w="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FR-09</w:t>
            </w:r>
          </w:p>
        </w:tc>
        <w:tc>
          <w:tcPr>
            <w:tcW w:type="dxa" w:w="2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Informar confiança separada da severidade e sinalizar revisão manual</w:t>
            </w:r>
          </w:p>
        </w:tc>
        <w:tc>
          <w:tcPr>
            <w:tcW w:type="dxa" w:w="1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4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scanner/engine/confidence.py; Domain\Model\Finding (confidence, status, manualReviewRequired)</w:t>
            </w:r>
          </w:p>
        </w:tc>
        <w:tc>
          <w:tcPr>
            <w:tcW w:type="dxa" w:w="1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CA-02</w:t>
            </w:r>
          </w:p>
        </w:tc>
      </w:tr>
      <w:tr>
        <w:tc>
          <w:tcPr>
            <w:tcW w:type="dxa" w:w="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FR-10</w:t>
            </w:r>
          </w:p>
        </w:tc>
        <w:tc>
          <w:tcPr>
            <w:tcW w:type="dxa" w:w="2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Testar campos de formulário por POST, e não apenas parâmetros de query string</w:t>
            </w:r>
          </w:p>
        </w:tc>
        <w:tc>
          <w:tcPr>
            <w:tcW w:type="dxa" w:w="1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4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testable_inputs e build_probe/send_probe em scanner/plugins/support.py; from_html_forms em scanner/engine/discovery.py</w:t>
            </w:r>
          </w:p>
        </w:tc>
        <w:tc>
          <w:tcPr>
            <w:tcW w:type="dxa" w:w="1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CA-01</w:t>
            </w:r>
          </w:p>
        </w:tc>
      </w:tr>
      <w:tr>
        <w:tc>
          <w:tcPr>
            <w:tcW w:type="dxa" w:w="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FR-13</w:t>
            </w:r>
          </w:p>
        </w:tc>
        <w:tc>
          <w:tcPr>
            <w:tcW w:type="dxa" w:w="2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Expandir o endereço informado para a superfície alcançável da mesma origem, com navegação somente leitura</w:t>
            </w:r>
          </w:p>
        </w:tc>
        <w:tc>
          <w:tcPr>
            <w:tcW w:type="dxa" w:w="1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4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scanner/engine/crawler.py (extract_links, is_followable, page_signature, same_scope); laço de rastreamento em ScanRunner.run(), com fila deque e conjunto de assinaturas</w:t>
            </w:r>
          </w:p>
        </w:tc>
        <w:tc>
          <w:tcPr>
            <w:tcW w:type="dxa" w:w="1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CA-01</w:t>
            </w:r>
          </w:p>
        </w:tc>
      </w:tr>
      <w:tr>
        <w:tc>
          <w:tcPr>
            <w:tcW w:type="dxa" w:w="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NFR-01</w:t>
            </w:r>
          </w:p>
        </w:tc>
        <w:tc>
          <w:tcPr>
            <w:tcW w:type="dxa" w:w="2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Consulta sobre 1.000 achados indexados apresentada em até 3 segundos</w:t>
            </w:r>
          </w:p>
        </w:tc>
        <w:tc>
          <w:tcPr>
            <w:tcW w:type="dxa" w:w="1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6, 7</w:t>
            </w:r>
          </w:p>
        </w:tc>
        <w:tc>
          <w:tcPr>
            <w:tcW w:type="dxa" w:w="4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Índices de findings; Domain\Service\AnalysisComparison (mapa por fingerprint); teste de desempenho de renderização em tests/php_test.php</w:t>
            </w:r>
          </w:p>
        </w:tc>
        <w:tc>
          <w:tcPr>
            <w:tcW w:type="dxa" w:w="1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CA-05</w:t>
            </w:r>
          </w:p>
        </w:tc>
      </w:tr>
      <w:tr>
        <w:tc>
          <w:tcPr>
            <w:tcW w:type="dxa" w:w="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NFR-02</w:t>
            </w:r>
          </w:p>
        </w:tc>
        <w:tc>
          <w:tcPr>
            <w:tcW w:type="dxa" w:w="2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Escape de saída, prepared statements e token CSRF nas ações POST</w:t>
            </w:r>
          </w:p>
        </w:tc>
        <w:tc>
          <w:tcPr>
            <w:tcW w:type="dxa" w:w="1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1, 2</w:t>
            </w:r>
          </w:p>
        </w:tc>
        <w:tc>
          <w:tcPr>
            <w:tcW w:type="dxa" w:w="4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Presentation\Html::escape(); Infrastructure\Database (PDO com prepared statements nativos); Infrastructure\Security\Csrf</w:t>
            </w:r>
          </w:p>
        </w:tc>
        <w:tc>
          <w:tcPr>
            <w:tcW w:type="dxa" w:w="1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CA-02</w:t>
            </w:r>
          </w:p>
        </w:tc>
      </w:tr>
      <w:tr>
        <w:tc>
          <w:tcPr>
            <w:tcW w:type="dxa" w:w="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NFR-03</w:t>
            </w:r>
          </w:p>
        </w:tc>
        <w:tc>
          <w:tcPr>
            <w:tcW w:type="dxa" w:w="2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Duas requisições de baseline, teto de 256 KiB por resposta, tempo limite de 10 segundos e ausência de exploração</w:t>
            </w:r>
          </w:p>
        </w:tc>
        <w:tc>
          <w:tcPr>
            <w:tcW w:type="dxa" w:w="1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4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ScanLimits em scanner/engine/models.py; BASELINE_REQUESTS em scanner/engine/runner.py; HttpTransport e SafetyController</w:t>
            </w:r>
          </w:p>
        </w:tc>
        <w:tc>
          <w:tcPr>
            <w:tcW w:type="dxa" w:w="1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CA-01</w:t>
            </w:r>
          </w:p>
        </w:tc>
      </w:tr>
      <w:tr>
        <w:tc>
          <w:tcPr>
            <w:tcW w:type="dxa" w:w="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NFR-04</w:t>
            </w:r>
          </w:p>
        </w:tc>
        <w:tc>
          <w:tcPr>
            <w:tcW w:type="dxa" w:w="2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Alvos privados e reservados negados por padrão</w:t>
            </w:r>
          </w:p>
        </w:tc>
        <w:tc>
          <w:tcPr>
            <w:tcW w:type="dxa" w:w="1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4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SafetyController em scanner/engine/safety.py; ALLOW_PRIVATE_TARGETS=false em .env.example</w:t>
            </w:r>
          </w:p>
        </w:tc>
        <w:tc>
          <w:tcPr>
            <w:tcW w:type="dxa" w:w="1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CA-01</w:t>
            </w:r>
          </w:p>
        </w:tc>
      </w:tr>
      <w:tr>
        <w:tc>
          <w:tcPr>
            <w:tcW w:type="dxa" w:w="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NFR-07</w:t>
            </w:r>
          </w:p>
        </w:tc>
        <w:tc>
          <w:tcPr>
            <w:tcW w:type="dxa" w:w="2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Cabeçalhos sensíveis ocultados nos registros e nunca persistidos</w:t>
            </w:r>
          </w:p>
        </w:tc>
        <w:tc>
          <w:tcPr>
            <w:tcW w:type="dxa" w:w="1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4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SENSITIVE_HEADERS e redact_headers() em scanner/engine/safety.py; o cookie de sessão é repassado por RunAnalysis apenas durante a execução e não é gravado</w:t>
            </w:r>
          </w:p>
        </w:tc>
        <w:tc>
          <w:tcPr>
            <w:tcW w:type="dxa" w:w="1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CA-02</w:t>
            </w:r>
          </w:p>
        </w:tc>
      </w:tr>
    </w:tbl>
    <w:p/>
    <w:p>
      <w:pPr>
        <w:spacing w:after="160"/>
      </w:pPr>
      <w:r>
        <w:rPr>
          <w:rFonts w:ascii="Arial" w:hAnsi="Arial"/>
        </w:rPr>
        <w:t>Os requisitos de prioridade média — FR-04 (pontuação), FR-08 (relatório para impressão), FR-11 (credencial de sessão), FR-12 (exportação JSON e filtro por severidade), NFR-05 (reprodutibilidade da instalação), NFR-06 (idioma do conteúdo) e NFR-08 (nova verificação como plugin) — estão implementados e aparecem na matriz completa com o mesmo vínculo de escopo e critério de aceitação. Eles não constam da tabela acima porque o CA-08 se refere aos de prioridade alta.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7D6"/>
          </w:tcPr>
          <w:p>
            <w:r/>
            <w:r>
              <w:rPr>
                <w:rFonts w:ascii="Arial" w:hAnsi="Arial"/>
                <w:b w:val="0"/>
                <w:sz w:val="18"/>
              </w:rPr>
              <w:t>Limite de verificação desta entrega. Os adaptadores de persistência não puderam ser exercitados contra uma instância MariaDB em execução durante a elaboração deste documento; foram verificados por análise sintática e pela suíte que cobre domínio, casos de uso e apresentação sobre repositórios em memória. A verificação de ponta a ponta com banco segue prevista pelo plano de testes e pelo manual de instalação.</w:t>
            </w:r>
          </w:p>
        </w:tc>
      </w:tr>
    </w:tbl>
    <w:p/>
    <w:p>
      <w:pPr>
        <w:pStyle w:val="SubHeadingTeal"/>
      </w:pPr>
      <w:r>
        <w:rPr/>
        <w:t>6.2 Verificação antes da Entrega E2</w:t>
      </w:r>
    </w:p>
    <w:p>
      <w:pPr>
        <w:spacing w:after="160"/>
      </w:pPr>
      <w:r>
        <w:rPr>
          <w:rFonts w:ascii="Arial" w:hAnsi="Arial"/>
        </w:rPr>
        <w:t>O Roteiro de Execução do Projeto lista quatro condições a conferir antes da E2. Cada uma é reproduzida abaixo com a evidência que a sustenta no repositório.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Condição a conferir antes da E2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Situação</w:t>
            </w:r>
          </w:p>
        </w:tc>
        <w:tc>
          <w:tcPr>
            <w:tcW w:type="dxa" w:w="5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Evidência no repositório</w:t>
            </w:r>
          </w:p>
        </w:tc>
      </w:tr>
      <w:tr>
        <w:tc>
          <w:tcPr>
            <w:tcW w:type="dxa" w:w="3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As setas do diagrama de camadas apontam para o domínio, e não a partir dele.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Atendida</w:t>
            </w:r>
          </w:p>
        </w:tc>
        <w:tc>
          <w:tcPr>
            <w:tcW w:type="dxa" w:w="5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Seção 2 deste documento e docs/ARCHITECTURE.md. A regra é executável: tests/php_test.php falha se um arquivo de app/src/Domain/ referenciar App\Infrastructure, App\Presentation, App\UseCase ou PDO no código.</w:t>
            </w:r>
          </w:p>
        </w:tc>
      </w:tr>
      <w:tr>
        <w:tc>
          <w:tcPr>
            <w:tcW w:type="dxa" w:w="3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Cada coleção tem volume estimado declarado e estrutura justificada.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Atendida</w:t>
            </w:r>
          </w:p>
        </w:tc>
        <w:tc>
          <w:tcPr>
            <w:tcW w:type="dxa" w:w="5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Seções 4 e 5 do documento da Fase 2: volume por coleção ao final de um ano e a tabela entidade, operação, volume, estrutura e justificativa, com as quatro decisões de desempenho apoiadas em medição.</w:t>
            </w:r>
          </w:p>
        </w:tc>
      </w:tr>
      <w:tr>
        <w:tc>
          <w:tcPr>
            <w:tcW w:type="dxa" w:w="3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As interfaces de repositório estão escritas em código, na camada de domínio.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Atendida</w:t>
            </w:r>
          </w:p>
        </w:tc>
        <w:tc>
          <w:tcPr>
            <w:tcW w:type="dxa" w:w="5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app/src/Domain/Contract/ reúne cinco interfaces: ApplicationRepository, AnalysisRepository, FindingRepository, ScannerGateway e TransactionManager.</w:t>
            </w:r>
          </w:p>
        </w:tc>
      </w:tr>
      <w:tr>
        <w:tc>
          <w:tcPr>
            <w:tcW w:type="dxa" w:w="3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Existe ao menos uma classe de domínio implementada, com validação no construtor e teste passando.</w:t>
            </w:r>
          </w:p>
        </w:tc>
        <w:tc>
          <w:tcPr>
            <w:tcW w:type="dxa" w:w="12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Atendida</w:t>
            </w:r>
          </w:p>
        </w:tc>
        <w:tc>
          <w:tcPr>
            <w:tcW w:type="dxa" w:w="5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Dez tipos em app/src/Domain/Model/ validam no construtor, entre eles Application, Analysis, Finding, TargetUrl e SecurityScore. A suíte php tests/php_test.php exercita cada invariante sobre repositórios em memória.</w:t>
            </w:r>
          </w:p>
        </w:tc>
      </w:tr>
    </w:tbl>
    <w:p/>
    <w:p>
      <w:pPr>
        <w:pStyle w:val="HeadingTeal"/>
      </w:pPr>
      <w:r>
        <w:rPr/>
        <w:t>7. Situação das saídas desta fase</w:t>
      </w:r>
    </w:p>
    <w:p>
      <w:pPr>
        <w:spacing w:after="120" w:before="0"/>
        <w:pBdr>
          <w:bottom w:val="single" w:sz="8" w:space="1" w:color="F2C94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Nº</w:t>
            </w:r>
          </w:p>
        </w:tc>
        <w:tc>
          <w:tcPr>
            <w:tcW w:type="dxa" w:w="3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Saída prevista</w:t>
            </w:r>
          </w:p>
        </w:tc>
        <w:tc>
          <w:tcPr>
            <w:tcW w:type="dxa" w:w="5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Onde está no repositório</w:t>
            </w:r>
          </w:p>
        </w:tc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0AA69A"/>
          </w:tcPr>
          <w:p>
            <w:r/>
            <w:r>
              <w:rPr>
                <w:rFonts w:ascii="Arial" w:hAnsi="Arial"/>
                <w:b/>
                <w:sz w:val="17"/>
                <w:color w:val="FFFFFF"/>
              </w:rPr>
              <w:t>Situação</w:t>
            </w:r>
          </w:p>
        </w:tc>
      </w:tr>
      <w:tr>
        <w:tc>
          <w:tcPr>
            <w:tcW w:type="dxa" w:w="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15</w:t>
            </w:r>
          </w:p>
        </w:tc>
        <w:tc>
          <w:tcPr>
            <w:tcW w:type="dxa" w:w="3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Diagrama de camadas com as setas apontando para o domínio</w:t>
            </w:r>
          </w:p>
        </w:tc>
        <w:tc>
          <w:tcPr>
            <w:tcW w:type="dxa" w:w="5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Seção 2 deste documento; docs/ARCHITECTURE.md; regra verificada em tests/php_test.php</w:t>
            </w:r>
          </w:p>
        </w:tc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Concluída</w:t>
            </w:r>
          </w:p>
        </w:tc>
      </w:tr>
      <w:tr>
        <w:tc>
          <w:tcPr>
            <w:tcW w:type="dxa" w:w="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16</w:t>
            </w:r>
          </w:p>
        </w:tc>
        <w:tc>
          <w:tcPr>
            <w:tcW w:type="dxa" w:w="3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Alternativa escolhida, esquema, índices e política de sincronização</w:t>
            </w:r>
          </w:p>
        </w:tc>
        <w:tc>
          <w:tcPr>
            <w:tcW w:type="dxa" w:w="5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Seção 3 deste documento; database.sql; app/src/Infrastructure/Persistence/</w:t>
            </w:r>
          </w:p>
        </w:tc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Concluída</w:t>
            </w:r>
          </w:p>
        </w:tc>
      </w:tr>
      <w:tr>
        <w:tc>
          <w:tcPr>
            <w:tcW w:type="dxa" w:w="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17</w:t>
            </w:r>
          </w:p>
        </w:tc>
        <w:tc>
          <w:tcPr>
            <w:tcW w:type="dxa" w:w="3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Interfaces escritas em código, pertencentes ao domínio</w:t>
            </w:r>
          </w:p>
        </w:tc>
        <w:tc>
          <w:tcPr>
            <w:tcW w:type="dxa" w:w="5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app/src/Domain/Contract/ (cinco interfaces)</w:t>
            </w:r>
          </w:p>
        </w:tc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Concluída</w:t>
            </w:r>
          </w:p>
        </w:tc>
      </w:tr>
      <w:tr>
        <w:tc>
          <w:tcPr>
            <w:tcW w:type="dxa" w:w="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/>
                <w:sz w:val="17"/>
              </w:rPr>
              <w:t>18</w:t>
            </w:r>
          </w:p>
        </w:tc>
        <w:tc>
          <w:tcPr>
            <w:tcW w:type="dxa" w:w="3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Classes com validação no construtor e testes usando repositório em memória</w:t>
            </w:r>
          </w:p>
        </w:tc>
        <w:tc>
          <w:tcPr>
            <w:tcW w:type="dxa" w:w="5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app/src/Domain/Model/; tests/php/ e tests/php_test.php</w:t>
            </w:r>
          </w:p>
        </w:tc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5F4"/>
          </w:tcPr>
          <w:p>
            <w:r/>
            <w:r>
              <w:rPr>
                <w:rFonts w:ascii="Arial" w:hAnsi="Arial"/>
                <w:b w:val="0"/>
                <w:sz w:val="17"/>
              </w:rPr>
              <w:t>Concluída</w:t>
            </w:r>
          </w:p>
        </w:tc>
      </w:tr>
      <w:tr>
        <w:tc>
          <w:tcPr>
            <w:tcW w:type="dxa" w:w="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19</w:t>
            </w:r>
          </w:p>
        </w:tc>
        <w:tc>
          <w:tcPr>
            <w:tcW w:type="dxa" w:w="3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Documento com as seis seções e a rastreabilidade dos requisitos de prioridade alta</w:t>
            </w:r>
          </w:p>
        </w:tc>
        <w:tc>
          <w:tcPr>
            <w:tcW w:type="dxa" w:w="50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docs/ARCHITECTURE.md; rastreabilidade na seção 6.1 deste documento</w:t>
            </w:r>
          </w:p>
        </w:tc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Concluída</w:t>
            </w:r>
          </w:p>
        </w:tc>
      </w:tr>
    </w:tbl>
    <w:p/>
    <w:p>
      <w:pPr>
        <w:pStyle w:val="HeadingTeal"/>
      </w:pPr>
      <w:r>
        <w:rPr/>
        <w:t>8. Repositório do projeto</w:t>
      </w:r>
    </w:p>
    <w:p>
      <w:pPr>
        <w:spacing w:after="120" w:before="0"/>
        <w:pBdr>
          <w:bottom w:val="single" w:sz="8" w:space="1" w:color="F2C94C"/>
        </w:pBdr>
      </w:pPr>
    </w:p>
    <w:p>
      <w:pPr>
        <w:spacing w:after="160"/>
      </w:pPr>
      <w:r>
        <w:rPr>
          <w:rFonts w:ascii="Arial" w:hAnsi="Arial"/>
        </w:rPr>
        <w:t>Todo o código, os testes e a documentação técnica citados neste documento estão versionados no repositório abaixo. Cada arquivo referenciado nas seções anteriores pode ser conferido diretamente nele.</w:t>
      </w:r>
    </w:p>
    <w:p>
      <w:pPr>
        <w:spacing w:after="0" w:before="0" w:line="240" w:lineRule="auto"/>
        <w:jc w:val="center"/>
      </w:pPr>
      <w:r>
        <w:rPr>
          <w:b/>
          <w:sz w:val="24"/>
          <w:color w:val="08675F"/>
          <w:rFonts w:ascii="Consolas" w:hAnsi="Consolas" w:cs="Consolas" w:eastAsia="Consolas"/>
        </w:rPr>
        <w:t>https://github.com/jdsricardo/Ciber.git</w:t>
      </w:r>
    </w:p>
    <w:p/>
    <w:p>
      <w:pPr>
        <w:spacing w:after="160"/>
      </w:pPr>
      <w:r>
        <w:rPr>
          <w:rFonts w:ascii="Arial" w:hAnsi="Arial"/>
        </w:rPr>
        <w:t>Caminhos citados com mais frequência: app/src/Domain/ (modelo, contratos, serviço e convenção de erros), app/src/UseCase/, app/src/Infrastructure/, scanner/engine/ e scanner/plugins/ (mecanismo de análise), database.sql (esquema e índices), tests/ (as duas suítes) e docs/ (arquitetura, requisitos, padrão de codificação e o relatório de medição).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55555"/>
        <w:sz w:val="16"/>
      </w:rPr>
      <w:t xml:space="preserve">UNIASSELVI — Engenharia de Software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10" w:space="3" w:color="0AA69A"/>
      </w:pBdr>
    </w:pPr>
    <w:r>
      <w:rPr>
        <w:rFonts w:ascii="Arial" w:hAnsi="Arial"/>
        <w:sz w:val="17"/>
        <w:color w:val="555555"/>
      </w:rPr>
      <w:t>Experiência Profissional: Desenvolvimento de Aplicações  |  Fase 3 — Arquitetura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Main">
    <w:name w:val="TitleMain"/>
    <w:pPr>
      <w:spacing w:before="160" w:after="100"/>
    </w:pPr>
    <w:rPr>
      <w:rFonts w:ascii="Arial" w:hAnsi="Arial"/>
      <w:b/>
      <w:color w:val="08675F"/>
      <w:sz w:val="40"/>
    </w:rPr>
  </w:style>
  <w:style w:type="paragraph" w:customStyle="1" w:styleId="HeadingTeal">
    <w:name w:val="HeadingTeal"/>
    <w:pPr>
      <w:spacing w:before="160" w:after="100"/>
    </w:pPr>
    <w:rPr>
      <w:rFonts w:ascii="Arial" w:hAnsi="Arial"/>
      <w:b/>
      <w:color w:val="08675F"/>
      <w:sz w:val="32"/>
    </w:rPr>
  </w:style>
  <w:style w:type="paragraph" w:customStyle="1" w:styleId="SubHeadingTeal">
    <w:name w:val="SubHeadingTeal"/>
    <w:pPr>
      <w:spacing w:before="160" w:after="100"/>
    </w:pPr>
    <w:rPr>
      <w:rFonts w:ascii="Arial" w:hAnsi="Arial"/>
      <w:b/>
      <w:color w:val="0AA69A"/>
      <w:sz w:val="2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3 — Arquitetura</dc:title>
  <dc:subject>Plataforma Web de Apoio à Análise de Segurança de Aplicações</dc:subject>
  <dc:creator>Ricardo José da Silva, Arthur Vilmar dos Santos e Pedro Vilmar dos Santos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