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ind w:firstLine="0"/>
        <w:jc w:val="center"/>
      </w:pPr>
      <w:r>
        <w:rPr>
          <w:b/>
          <w:sz w:val="28"/>
        </w:rPr>
        <w:t>PLATAFORMA WEB DE APOIO À ANÁLISE DE SEGURANÇA DE APLICAÇÕES ORIENTADA AO DESENVOLVEDOR: EXPLICABILIDADE DE ACHADOS E REDUÇÃO DE RUÍDO EM TESTES DINÂMICOS NÃO DESTRUTIVOS</w:t>
      </w:r>
    </w:p>
    <w:p>
      <w:pPr>
        <w:spacing w:line="360" w:lineRule="auto" w:after="120" w:before="0"/>
        <w:ind w:firstLine="0"/>
        <w:jc w:val="both"/>
      </w:pPr>
      <w:r>
        <w:rPr>
          <w:i/>
        </w:rPr>
        <w:t>A developer-oriented web application security analysis platform: finding explainability and noise reduction in non-destructive dynamic testing</w:t>
      </w:r>
    </w:p>
    <w:p>
      <w:pPr>
        <w:spacing w:line="360" w:lineRule="auto" w:after="120" w:before="0"/>
        <w:ind w:firstLine="0"/>
        <w:jc w:val="both"/>
      </w:pPr>
      <w:r>
        <w:t>Ricardo José da Silva</w:t>
      </w:r>
    </w:p>
    <w:p>
      <w:pPr>
        <w:spacing w:line="240" w:lineRule="auto" w:after="120" w:before="0"/>
        <w:ind w:firstLine="0"/>
        <w:jc w:val="left"/>
      </w:pPr>
      <w:r>
        <w:rPr>
          <w:i/>
          <w:sz w:val="20"/>
        </w:rPr>
        <w:t>Acadêmico do curso de Engenharia de Software, Centro Universitário Leonardo da Vinci (UNIASSELVI). Turma EGS0011 — Experiência Profissional (TCC). E-mail institucional do autor. Orientador(a): [inserir nome].</w:t>
      </w:r>
    </w:p>
    <w:p>
      <w:pPr>
        <w:spacing w:line="360" w:lineRule="auto" w:after="120" w:before="240"/>
        <w:ind w:firstLine="0"/>
        <w:jc w:val="left"/>
      </w:pPr>
      <w:r>
        <w:rPr>
          <w:b/>
          <w:color w:val="000000"/>
          <w:sz w:val="24"/>
        </w:rPr>
        <w:t>RESUMO</w:t>
      </w:r>
    </w:p>
    <w:p>
      <w:pPr>
        <w:spacing w:line="360" w:lineRule="auto" w:after="120" w:before="0"/>
        <w:ind w:firstLine="0"/>
        <w:jc w:val="both"/>
      </w:pPr>
      <w:r>
        <w:t xml:space="preserve">A avaliação de segurança de aplicações web frequentemente ocorre de forma tardia e pontual em equipes de desenvolvimento que não dispõem de um profissional dedicado à segurança da informação, o que permite que vulnerabilidades permaneçam desconhecidas até etapas avançadas do ciclo de vida do software, elevando o custo de correção. Ferramentas automatizadas de teste dinâmico (DAST) existem há décadas, mas a literatura registra que desenvolvedores as subutilizam por produzirem grande volume de resultados de difícil interpretação, com muitos falsos positivos e baixa orientação à correção. Este trabalho apresenta o SentinelScope, uma plataforma web de apoio à análise de segurança concebida sob a ótica do desenvolvedor, cujo objetivo é identificar possíveis vulnerabilidades e apresentar cada achado com severidade, confiança, evidência e orientação prática de correção, de modo verificável e não destrutivo. A solução foi construída como uma aplicação PHP sem framework, apoiada por um motor de varredura em Python organizado em camadas, com plugins passivos (34 verificações de transporte, cabeçalhos, cookies, CORS, cache, exposição de informação e de segredos) e plugins ativos seguros (injeção de SQL, XSS refletido, travessia de diretório, redirecionamento aberto, injeção de comando, SSTI, XXE, CRLF, host header, adulteração de verbo HTTP, injeção NoSQL, CORS e SSRF), todos submetidos a salvaguardas de escopo, orçamento de requisições e negação de alvos privados. Um diferencial central é a separação explícita entre </w:t>
      </w:r>
      <w:r>
        <w:rPr>
          <w:i/>
        </w:rPr>
        <w:t>severidade</w:t>
      </w:r>
      <w:r>
        <w:t xml:space="preserve"> (impacto potencial) e </w:t>
      </w:r>
      <w:r>
        <w:rPr>
          <w:i/>
        </w:rPr>
        <w:t>confiança</w:t>
      </w:r>
      <w:r>
        <w:t xml:space="preserve"> (força da evidência), além de uma camada de explicabilidade que traduz cada observação técnica em impacto para a aplicação e recomendação de correção em linguagem acessível, acompanhada de um exemplo de código "vulnerável → corrigido". A ferramenta ainda testa campos de formulário via POST e alcança áreas autenticadas por cabeçalho de sessão. A verificação foi conduzida por meio de uma suíte de 94 testes automatizados que exercitam cada plugin contra fixtures vulneráveis e seguros usando um servidor HTTP local real. Conclui-se que uma ferramenta de apoio orientada à explicabilidade e à redução de ruído é tecnicamente viável no escopo acadêmico e endereça uma lacuna reconhecida entre a capacidade de detecção e a capacidade de ação do desenvolvedor; propõe-se, como continuidade, uma avaliação empírica comparativa contra aplicações deliberadamente vulneráveis.</w:t>
      </w:r>
    </w:p>
    <w:p>
      <w:pPr>
        <w:spacing w:line="360" w:lineRule="auto" w:after="120" w:before="0"/>
        <w:ind w:firstLine="0"/>
        <w:jc w:val="both"/>
      </w:pPr>
      <w:r>
        <w:rPr>
          <w:b/>
        </w:rPr>
        <w:t>Palavras-chave:</w:t>
      </w:r>
      <w:r>
        <w:t xml:space="preserve"> segurança de aplicações web; teste dinâmico de segurança (DAST); OWASP Top 10; usabilidade de ferramentas de segurança; DevSecOps.</w:t>
      </w:r>
    </w:p>
    <w:p>
      <w:pPr>
        <w:spacing w:line="360" w:lineRule="auto" w:after="120" w:before="240"/>
        <w:ind w:firstLine="0"/>
        <w:jc w:val="left"/>
      </w:pPr>
      <w:r>
        <w:rPr>
          <w:b/>
          <w:color w:val="000000"/>
          <w:sz w:val="24"/>
        </w:rPr>
        <w:t>ABSTRACT</w:t>
      </w:r>
    </w:p>
    <w:p>
      <w:pPr>
        <w:spacing w:line="360" w:lineRule="auto" w:after="120" w:before="0"/>
        <w:ind w:firstLine="0"/>
        <w:jc w:val="both"/>
      </w:pPr>
      <w:r>
        <w:t xml:space="preserve">Security assessment of web applications is often performed late and sporadically in development teams that lack a dedicated information-security professional, allowing vulnerabilities to remain unknown until advanced stages of the software life cycle and raising remediation costs. Dynamic Application Security Testing (DAST) tools have existed for decades, yet the literature reports that developers underuse them because they produce large volumes of hard-to-interpret results, many false positives, and little remediation guidance. This work presents SentinelScope, a developer-centered web security analysis support platform whose goal is to identify possible vulnerabilities and present each finding with severity, confidence, evidence, and practical remediation guidance, in a verifiable and non-destructive manner. The solution was built as a framework-less PHP application supported by a layered Python scanning engine, with passive plugins (34 checks over transport, headers, cookies, CORS, cache, information and secrets exposure) and safe-active plugins (SQL injection, reflected XSS, path traversal, open redirect, command injection, SSTI, XXE, CRLF, host header, HTTP verb tampering, NoSQL injection, CORS and SSRF), all subject to scope enforcement, request budgets, and private-target denial. A central contribution is the explicit separation between </w:t>
      </w:r>
      <w:r>
        <w:rPr>
          <w:i/>
        </w:rPr>
        <w:t>severity</w:t>
      </w:r>
      <w:r>
        <w:t xml:space="preserve"> (potential impact) and </w:t>
      </w:r>
      <w:r>
        <w:rPr>
          <w:i/>
        </w:rPr>
        <w:t>confidence</w:t>
      </w:r>
      <w:r>
        <w:t xml:space="preserve"> (evidence strength), plus an explainability layer that translates each technical observation into application impact and a remediation recommendation in accessible language, accompanied by a concrete "vulnerable → fixed" code example. The tool also tests form fields via POST and reaches authenticated areas through a session header. Verification was conducted through a suite of 94 automated tests exercising each plugin against vulnerable and safe fixtures on a real local HTTP server. We conclude that a support tool oriented to explainability and noise reduction is technically feasible within an academic scope and addresses a recognized gap between detection capability and the developer's ability to act; a comparative empirical evaluation against deliberately vulnerable applications is proposed as future work.</w:t>
      </w:r>
    </w:p>
    <w:p>
      <w:pPr>
        <w:spacing w:line="360" w:lineRule="auto" w:after="120" w:before="0"/>
        <w:ind w:firstLine="0"/>
        <w:jc w:val="both"/>
      </w:pPr>
      <w:r>
        <w:rPr>
          <w:b/>
        </w:rPr>
        <w:t>Keywords:</w:t>
      </w:r>
      <w:r>
        <w:t xml:space="preserve"> web application security; dynamic application security testing (DAST); OWASP Top 10; security tooling usability; DevSecOps.</w:t>
      </w:r>
    </w:p>
    <w:p>
      <w:pPr>
        <w:spacing w:line="360" w:lineRule="auto" w:after="120" w:before="240"/>
        <w:ind w:firstLine="0"/>
        <w:jc w:val="left"/>
      </w:pPr>
      <w:r>
        <w:rPr>
          <w:b/>
          <w:color w:val="000000"/>
          <w:sz w:val="24"/>
        </w:rPr>
        <w:t>1 INTRODUÇÃO</w:t>
      </w:r>
    </w:p>
    <w:p>
      <w:pPr>
        <w:spacing w:line="360" w:lineRule="auto" w:after="0" w:before="0"/>
        <w:ind w:firstLine="709"/>
        <w:jc w:val="both"/>
      </w:pPr>
      <w:r>
        <w:t>O software tornou-se o principal meio pelo qual organizações prestam serviços, e a aplicação web permanece uma das superfícies de ataque mais expostas, por ser acessível pela rede pública e por concentrar dados sensíveis. À medida que o número de aplicações mantidas por uma mesma equipe cresce, cresce também a dificuldade de garantir que cada nova versão ou manutenção não introduza falhas de segurança. Em equipes que não contam com um profissional dedicado exclusivamente à segurança da informação — cenário comum em pequenas e médias operações de desenvolvimento —, as verificações de segurança tendem a ocorrer de maneira pontual e não a cada entrega, permitindo que vulnerabilidades permaneçam desconhecidas até etapas posteriores do ciclo de vida do software (McGRAW, 2006).</w:t>
      </w:r>
    </w:p>
    <w:p>
      <w:pPr>
        <w:spacing w:line="360" w:lineRule="auto" w:after="0" w:before="0"/>
        <w:ind w:firstLine="709"/>
        <w:jc w:val="both"/>
      </w:pPr>
      <w:r>
        <w:t xml:space="preserve">Esse adiamento tem custo. É princípio consolidado da engenharia de software que o custo de corrigir um defeito cresce à medida que ele avança pelas fases do ciclo de desenvolvimento, sendo substancialmente maior quando descoberto em produção do que quando detectado durante a construção (BOEHM, 1981). No caso específico da segurança, o defeito tardio não implica apenas retrabalho: implica exposição indevida de informação, correções emergenciais e risco de incidente. Daí decorre o movimento contemporâneo conhecido como </w:t>
      </w:r>
      <w:r>
        <w:rPr>
          <w:i/>
        </w:rPr>
        <w:t>shift-left</w:t>
      </w:r>
      <w:r>
        <w:t>, que propõe antecipar as atividades de verificação de segurança para as fases iniciais e recorrentes do desenvolvimento, aproximando-as da rotina de quem escreve o código (McGRAW, 2006; SHOSTACK, 2014).</w:t>
      </w:r>
    </w:p>
    <w:p>
      <w:pPr>
        <w:spacing w:line="360" w:lineRule="auto" w:after="0" w:before="0"/>
        <w:ind w:firstLine="709"/>
        <w:jc w:val="both"/>
      </w:pPr>
      <w:r>
        <w:t xml:space="preserve">A automação é o instrumento natural dessa antecipação, e as ferramentas de </w:t>
      </w:r>
      <w:r>
        <w:rPr>
          <w:i/>
        </w:rPr>
        <w:t>Dynamic Application Security Testing</w:t>
      </w:r>
      <w:r>
        <w:t xml:space="preserve"> (DAST) — que analisam a aplicação em execução, sem acesso ao código-fonte — existem há décadas. Entretanto, a literatura empírica é consistente ao apontar duas limitações que reduzem sua adoção efetiva pelos desenvolvedores. A primeira é de eficácia: estudos independentes demonstram que scanners de caixa-preta divergem significativamente entre si e deixam de detectar classes inteiras de vulnerabilidade, ao mesmo tempo em que geram falsos positivos (DOUPÉ; COVA; VIGNA, 2010; BAU et al., 2010; FONSECA; VIEIRA; MADEIRA, 2007). A segunda, e mais determinante para este trabalho, é de usabilidade: mesmo quando a ferramenta acerta, seus resultados são frequentemente apresentados em uma linguagem técnica orientada ao especialista em segurança, sem explicar </w:t>
      </w:r>
      <w:r>
        <w:rPr>
          <w:i/>
        </w:rPr>
        <w:t>por que</w:t>
      </w:r>
      <w:r>
        <w:t xml:space="preserve"> aquilo importa para a aplicação específica e </w:t>
      </w:r>
      <w:r>
        <w:rPr>
          <w:i/>
        </w:rPr>
        <w:t>como</w:t>
      </w:r>
      <w:r>
        <w:t xml:space="preserve"> corrigir no código. Johnson et al. (2013), ao investigarem por que desenvolvedores não usam ferramentas de análise estática, identificam justamente o excesso de falsos positivos e a apresentação inadequada dos resultados como barreiras centrais; Green e Smith (2016) argumentam que ferramentas e APIs de segurança precisam ser projetadas para o desenvolvedor comum, e não para o especialista, sob pena de serem ignoradas.</w:t>
      </w:r>
    </w:p>
    <w:p>
      <w:pPr>
        <w:spacing w:line="360" w:lineRule="auto" w:after="0" w:before="0"/>
        <w:ind w:firstLine="709"/>
        <w:jc w:val="both"/>
      </w:pPr>
      <w:r>
        <w:t xml:space="preserve">Há, portanto, uma lacuna entre a </w:t>
      </w:r>
      <w:r>
        <w:rPr>
          <w:b/>
        </w:rPr>
        <w:t>capacidade de detecção</w:t>
      </w:r>
      <w:r>
        <w:t xml:space="preserve"> das ferramentas e a </w:t>
      </w:r>
      <w:r>
        <w:rPr>
          <w:b/>
        </w:rPr>
        <w:t>capacidade de ação</w:t>
      </w:r>
      <w:r>
        <w:t xml:space="preserve"> do desenvolvedor. É essa lacuna que este trabalho endereça.</w:t>
      </w:r>
    </w:p>
    <w:p>
      <w:pPr>
        <w:spacing w:line="360" w:lineRule="auto" w:after="120" w:before="240"/>
        <w:ind w:firstLine="0"/>
        <w:jc w:val="left"/>
      </w:pPr>
      <w:r>
        <w:rPr>
          <w:b/>
          <w:color w:val="000000"/>
          <w:sz w:val="24"/>
        </w:rPr>
        <w:t>1.1 Problema de pesquisa</w:t>
      </w:r>
    </w:p>
    <w:p>
      <w:pPr>
        <w:spacing w:line="360" w:lineRule="auto" w:after="0" w:before="0"/>
        <w:ind w:firstLine="709"/>
        <w:jc w:val="both"/>
      </w:pPr>
      <w:r>
        <w:t>Como oferecer a equipes de desenvolvimento sem especialista dedicado uma avaliação inicial de segurança de aplicações web que seja, simultaneamente, automatizada, não destrutiva, incorporável à rotina e — sobretudo — apresentada de forma que o próprio desenvolvedor compreenda o risco e consiga corrigi-lo?</w:t>
      </w:r>
    </w:p>
    <w:p>
      <w:pPr>
        <w:spacing w:line="360" w:lineRule="auto" w:after="120" w:before="240"/>
        <w:ind w:firstLine="0"/>
        <w:jc w:val="left"/>
      </w:pPr>
      <w:r>
        <w:rPr>
          <w:b/>
          <w:color w:val="000000"/>
          <w:sz w:val="24"/>
        </w:rPr>
        <w:t>1.2 Objetivos</w:t>
      </w:r>
    </w:p>
    <w:p>
      <w:pPr>
        <w:spacing w:line="360" w:lineRule="auto" w:after="0" w:before="0"/>
        <w:ind w:firstLine="709"/>
        <w:jc w:val="both"/>
      </w:pPr>
      <w:r>
        <w:rPr>
          <w:b/>
        </w:rPr>
        <w:t>Objetivo geral.</w:t>
      </w:r>
      <w:r>
        <w:t xml:space="preserve"> Desenvolver e verificar uma plataforma web de apoio à análise de segurança de aplicações, orientada ao desenvolvedor, que identifique possíveis vulnerabilidades por meio de verificações passivas e ativas não destrutivas e apresente cada achado com severidade, confiança, evidência e orientação prática de correção.</w:t>
      </w:r>
    </w:p>
    <w:p>
      <w:pPr>
        <w:spacing w:line="360" w:lineRule="auto" w:after="0" w:before="0"/>
        <w:ind w:firstLine="709"/>
        <w:jc w:val="both"/>
      </w:pPr>
      <w:r>
        <w:rPr>
          <w:b/>
        </w:rPr>
        <w:t>Objetivos específicos.</w:t>
      </w:r>
    </w:p>
    <w:p>
      <w:pPr>
        <w:spacing w:line="360" w:lineRule="auto" w:after="0" w:before="0"/>
        <w:ind w:firstLine="0"/>
        <w:jc w:val="both"/>
      </w:pPr>
      <w:r>
        <w:t>a) Levantar e organizar, a partir de padrões consolidados (OWASP Top 10, CWE, OWASP WSTG), um conjunto mínimo de verificações de segurança relevantes para aplicações web;</w:t>
      </w:r>
    </w:p>
    <w:p>
      <w:pPr>
        <w:spacing w:line="360" w:lineRule="auto" w:after="0" w:before="0"/>
        <w:ind w:firstLine="0"/>
        <w:jc w:val="both"/>
      </w:pPr>
      <w:r>
        <w:t>b) Projetar uma arquitetura em camadas que permita adicionar novas verificações sem alterar o núcleo do sistema e que imponha salvaguardas contra uso indevido (negação de alvos privados, controle de escopo e orçamento de requisições);</w:t>
      </w:r>
    </w:p>
    <w:p>
      <w:pPr>
        <w:spacing w:line="360" w:lineRule="auto" w:after="0" w:before="0"/>
        <w:ind w:firstLine="0"/>
        <w:jc w:val="both"/>
      </w:pPr>
      <w:r>
        <w:t>c) Implementar um modelo de pontuação que distinga explicitamente severidade de confiança, evitando que achados de forte impacto e evidência fraca sejam silenciosamente rebaixados;</w:t>
      </w:r>
    </w:p>
    <w:p>
      <w:pPr>
        <w:spacing w:line="360" w:lineRule="auto" w:after="0" w:before="0"/>
        <w:ind w:firstLine="0"/>
        <w:jc w:val="both"/>
      </w:pPr>
      <w:r>
        <w:t>d) Construir uma camada de apresentação que traduza cada achado em observação, impacto para a aplicação e recomendação de correção em linguagem acessível ao desenvolvedor;</w:t>
      </w:r>
    </w:p>
    <w:p>
      <w:pPr>
        <w:spacing w:line="360" w:lineRule="auto" w:after="0" w:before="0"/>
        <w:ind w:firstLine="0"/>
        <w:jc w:val="both"/>
      </w:pPr>
      <w:r>
        <w:t>e) Verificar o comportamento de cada verificação por meio de testes automatizados contra alvos vulneráveis e seguros controlados.</w:t>
      </w:r>
    </w:p>
    <w:p>
      <w:pPr>
        <w:spacing w:line="360" w:lineRule="auto" w:after="120" w:before="240"/>
        <w:ind w:firstLine="0"/>
        <w:jc w:val="left"/>
      </w:pPr>
      <w:r>
        <w:rPr>
          <w:b/>
          <w:color w:val="000000"/>
          <w:sz w:val="24"/>
        </w:rPr>
        <w:t>1.3 Justificativa</w:t>
      </w:r>
    </w:p>
    <w:p>
      <w:pPr>
        <w:spacing w:line="360" w:lineRule="auto" w:after="0" w:before="0"/>
        <w:ind w:firstLine="709"/>
        <w:jc w:val="both"/>
      </w:pPr>
      <w:r>
        <w:t xml:space="preserve">A relevância do tema decorre da conjunção entre a criticidade das vulnerabilidades web — sistematicamente catalogadas pelo OWASP Top 10 (OWASP, 2021) — e a subutilização documentada das ferramentas que deveriam mitigá-las (JOHNSON et al., 2013; GREEN; SMITH, 2016). Ao deslocar o foco da mera detecção para a </w:t>
      </w:r>
      <w:r>
        <w:rPr>
          <w:i/>
        </w:rPr>
        <w:t>explicabilidade e acionabilidade</w:t>
      </w:r>
      <w:r>
        <w:t xml:space="preserve"> do achado, o trabalho posiciona-se sobre uma lacuna reconhecida na literatura e de valor prático direto para o cenário descrito no termo de referência do projeto: uma equipe que mantém mais de cinco aplicações internas sem apoio especializado em segurança. Academicamente, o trabalho articula três corpos de conhecimento — teste de segurança automatizado, taxonomias de vulnerabilidade e usabilidade de ferramentas de segurança — em um artefato verificável.</w:t>
      </w:r>
    </w:p>
    <w:p>
      <w:pPr>
        <w:spacing w:line="360" w:lineRule="auto" w:after="120" w:before="240"/>
        <w:ind w:firstLine="0"/>
        <w:jc w:val="left"/>
      </w:pPr>
      <w:r>
        <w:rPr>
          <w:b/>
          <w:color w:val="000000"/>
          <w:sz w:val="24"/>
        </w:rPr>
        <w:t>1.4 Delimitação do escopo</w:t>
      </w:r>
    </w:p>
    <w:p>
      <w:pPr>
        <w:spacing w:line="360" w:lineRule="auto" w:after="0" w:before="0"/>
        <w:ind w:firstLine="709"/>
        <w:jc w:val="both"/>
      </w:pPr>
      <w:r>
        <w:t xml:space="preserve">Trata-se de uma ferramenta de </w:t>
      </w:r>
      <w:r>
        <w:rPr>
          <w:b/>
        </w:rPr>
        <w:t>apoio</w:t>
      </w:r>
      <w:r>
        <w:t>, e não de substituição de auditoria especializada ou teste de intrusão profissional. Deliberadamente, exclui-se a exploração automática ou destrutiva das vulnerabilidades (a proposta é comprovar a existência do problema com a evidência mínima necessária, sem comprometer disponibilidade, integridade ou dados), a análise de código-fonte (a solução não pressupõe acesso ao repositório) e o monitoramento contínuo em tempo real. A primeira versão limita-se ao conjunto de verificações implementado e não pretende detectar todas as classes de vulnerabilidade existentes. Estas delimitações são retomadas na Seção 6.</w:t>
      </w:r>
    </w:p>
    <w:p>
      <w:pPr>
        <w:spacing w:line="360" w:lineRule="auto" w:after="120" w:before="240"/>
        <w:ind w:firstLine="0"/>
        <w:jc w:val="left"/>
      </w:pPr>
      <w:r>
        <w:rPr>
          <w:b/>
          <w:color w:val="000000"/>
          <w:sz w:val="24"/>
        </w:rPr>
        <w:t>2 REFERENCIAL TEÓRICO</w:t>
      </w:r>
    </w:p>
    <w:p>
      <w:pPr>
        <w:spacing w:line="360" w:lineRule="auto" w:after="120" w:before="240"/>
        <w:ind w:firstLine="0"/>
        <w:jc w:val="left"/>
      </w:pPr>
      <w:r>
        <w:rPr>
          <w:b/>
          <w:color w:val="000000"/>
          <w:sz w:val="24"/>
        </w:rPr>
        <w:t>2.1 Segurança de aplicações web e o custo do defeito tardio</w:t>
      </w:r>
    </w:p>
    <w:p>
      <w:pPr>
        <w:spacing w:line="240" w:lineRule="auto" w:after="240" w:before="0"/>
        <w:ind w:firstLine="0"/>
        <w:jc w:val="left"/>
      </w:pPr>
      <w:r>
        <w:t xml:space="preserve">Construir segurança </w:t>
      </w:r>
      <w:r>
        <w:rPr>
          <w:i/>
        </w:rPr>
        <w:t>dentro</w:t>
      </w:r>
      <w:r>
        <w:t xml:space="preserve"> do software, em vez de acoplá-la ao final, é a tese central da disciplina de segurança de software (McGRAW, 2006; VIEGA; McGRAW, 2001). Essa perspectiva contrapõe-se ao modelo em que a segurança é tratada como uma etapa de auditoria posterior à construção. O argumento econômico que a sustenta é clássico: o custo de remoção de um defeito cresce de forma acentuada conforme ele progride pelas fases do ciclo de vida (BOEHM, 1981). Transposto para a segurança, isso significa que uma falha detectada durante o desenvolvimento é incomparavelmente mais barata de corrigir do que a mesma falha explorada em produção. O movimento </w:t>
      </w:r>
      <w:r>
        <w:rPr>
          <w:i/>
        </w:rPr>
        <w:t>DevSecOps</w:t>
      </w:r>
      <w:r>
        <w:t xml:space="preserve"> e a prática de </w:t>
      </w:r>
      <w:r>
        <w:rPr>
          <w:i/>
        </w:rPr>
        <w:t>shift-left security</w:t>
      </w:r>
      <w:r>
        <w:t xml:space="preserve"> operacionalizam essa ideia, integrando verificações de segurança automatizadas ao fluxo contínuo de desenvolvimento e entrega (SHOSTACK, 2014).</w:t>
      </w:r>
    </w:p>
    <w:p>
      <w:pPr>
        <w:spacing w:line="360" w:lineRule="auto" w:after="120" w:before="240"/>
        <w:ind w:firstLine="0"/>
        <w:jc w:val="left"/>
      </w:pPr>
      <w:r>
        <w:rPr>
          <w:b/>
          <w:color w:val="000000"/>
          <w:sz w:val="24"/>
        </w:rPr>
        <w:t>2.2 Padrões e taxonomias de vulnerabilidade</w:t>
      </w:r>
    </w:p>
    <w:p>
      <w:pPr>
        <w:spacing w:line="240" w:lineRule="auto" w:after="240" w:before="0"/>
        <w:ind w:firstLine="0"/>
        <w:jc w:val="left"/>
      </w:pPr>
      <w:r>
        <w:t>Para que achados de segurança sejam comparáveis, rastreáveis e verificáveis, é necessário ancorá-los em taxonomias reconhecidas. Quatro referências estruturam este trabalho:</w:t>
      </w:r>
    </w:p>
    <w:p>
      <w:pPr>
        <w:spacing w:line="240" w:lineRule="auto" w:after="240" w:before="0"/>
        <w:ind w:firstLine="0"/>
        <w:jc w:val="left"/>
      </w:pPr>
      <w:r>
        <w:t xml:space="preserve">a) </w:t>
      </w:r>
      <w:r>
        <w:rPr>
          <w:b/>
        </w:rPr>
        <w:t>OWASP Top 10</w:t>
      </w:r>
      <w:r>
        <w:t xml:space="preserve"> — lista consensual das dez categorias de risco mais críticas para aplicações web, amplamente adotada na indústria como linha de base de conscientização e priorização (OWASP, 2021). O SentinelScope mapeia cada achado a uma categoria do Top 10, acompanhando a revisão de 2025 do documento.</w:t>
      </w:r>
    </w:p>
    <w:p>
      <w:pPr>
        <w:spacing w:line="240" w:lineRule="auto" w:after="240" w:before="0"/>
        <w:ind w:firstLine="0"/>
        <w:jc w:val="left"/>
      </w:pPr>
      <w:r>
        <w:t xml:space="preserve">b) </w:t>
      </w:r>
      <w:r>
        <w:rPr>
          <w:b/>
        </w:rPr>
        <w:t>CWE (Common Weakness Enumeration)</w:t>
      </w:r>
      <w:r>
        <w:t xml:space="preserve"> — catálogo mantido pela MITRE que identifica </w:t>
      </w:r>
      <w:r>
        <w:rPr>
          <w:i/>
        </w:rPr>
        <w:t>tipos de fraqueza</w:t>
      </w:r>
      <w:r>
        <w:t xml:space="preserve"> de software por meio de identificadores estáveis (por exemplo, CWE-89 para injeção de SQL), permitindo precisão maior do que a categorização genérica do Top 10 (MITRE, 2024).</w:t>
      </w:r>
    </w:p>
    <w:p>
      <w:pPr>
        <w:spacing w:line="240" w:lineRule="auto" w:after="240" w:before="0"/>
        <w:ind w:firstLine="0"/>
        <w:jc w:val="left"/>
      </w:pPr>
      <w:r>
        <w:t xml:space="preserve">c) </w:t>
      </w:r>
      <w:r>
        <w:rPr>
          <w:b/>
        </w:rPr>
        <w:t>OWASP Web Security Testing Guide (WSTG)</w:t>
      </w:r>
      <w:r>
        <w:t xml:space="preserve"> — guia metodológico que descreve </w:t>
      </w:r>
      <w:r>
        <w:rPr>
          <w:i/>
        </w:rPr>
        <w:t>como testar</w:t>
      </w:r>
      <w:r>
        <w:t xml:space="preserve"> cada classe de vulnerabilidade, com identificadores versionados (por exemplo, WSTG-INPV-05 para injeção de SQL), usado aqui para ancorar a técnica de cada verificação (OWASP, 2020).</w:t>
      </w:r>
    </w:p>
    <w:p>
      <w:pPr>
        <w:spacing w:line="240" w:lineRule="auto" w:after="240" w:before="0"/>
        <w:ind w:firstLine="0"/>
        <w:jc w:val="left"/>
      </w:pPr>
      <w:r>
        <w:t xml:space="preserve">d) </w:t>
      </w:r>
      <w:r>
        <w:rPr>
          <w:b/>
        </w:rPr>
        <w:t>CVSS (Common Vulnerability Scoring System)</w:t>
      </w:r>
      <w:r>
        <w:t xml:space="preserve"> — padrão da FIRST para expressar a severidade de uma vulnerabilidade de modo estruturado (FIRST, 2019). Embora o SentinelScope adote um esquema de severidade simplificado e determinístico (Seção 5.4), a lógica de separar </w:t>
      </w:r>
      <w:r>
        <w:rPr>
          <w:i/>
        </w:rPr>
        <w:t>impacto potencial</w:t>
      </w:r>
      <w:r>
        <w:t xml:space="preserve"> de outras dimensões dialoga diretamente com a filosofia do CVSS.</w:t>
      </w:r>
    </w:p>
    <w:p>
      <w:pPr>
        <w:spacing w:line="240" w:lineRule="auto" w:after="240" w:before="0"/>
        <w:ind w:firstLine="0"/>
        <w:jc w:val="left"/>
      </w:pPr>
      <w:r>
        <w:t>Complementarmente, o NIST SP 800-115 fornece o enquadramento metodológico do teste de segurança técnico, distinguindo técnicas de revisão, identificação de alvos e validação de vulnerabilidades, e enfatizando a necessidade de autorização explícita e de controle de escopo (SCARFONE et al., 2008) — princípio incorporado às salvaguardas da ferramenta.</w:t>
      </w:r>
    </w:p>
    <w:p>
      <w:pPr>
        <w:spacing w:line="360" w:lineRule="auto" w:after="120" w:before="240"/>
        <w:ind w:firstLine="0"/>
        <w:jc w:val="left"/>
      </w:pPr>
      <w:r>
        <w:rPr>
          <w:b/>
          <w:color w:val="000000"/>
          <w:sz w:val="24"/>
        </w:rPr>
        <w:t>2.3 Teste de segurança automatizado: SAST, DAST e os limites do scanner de caixa-preta</w:t>
      </w:r>
    </w:p>
    <w:p>
      <w:pPr>
        <w:spacing w:line="240" w:lineRule="auto" w:after="240" w:before="0"/>
        <w:ind w:firstLine="0"/>
        <w:jc w:val="left"/>
      </w:pPr>
      <w:r>
        <w:t xml:space="preserve">Duas grandes abordagens automatizadas coexistem. O </w:t>
      </w:r>
      <w:r>
        <w:rPr>
          <w:i/>
        </w:rPr>
        <w:t>Static Application Security Testing</w:t>
      </w:r>
      <w:r>
        <w:t xml:space="preserve"> (SAST) analisa o código-fonte sem executá-lo; o </w:t>
      </w:r>
      <w:r>
        <w:rPr>
          <w:i/>
        </w:rPr>
        <w:t>Dynamic Application Security Testing</w:t>
      </w:r>
      <w:r>
        <w:t xml:space="preserve"> (DAST) analisa a aplicação em execução, observando e provocando seu comportamento pela interface externa, sem necessariamente acessar o código (BAU et al., 2010). Cada abordagem tem pontos cegos complementares: o SAST enxerga o código mas não o comportamento em tempo de execução, ao passo que o DAST enxerga o comportamento mas não a causa no código. O SentinelScope situa-se na abordagem DAST, coerente com a delimitação de não pressupor acesso ao repositório.</w:t>
      </w:r>
    </w:p>
    <w:p>
      <w:pPr>
        <w:spacing w:line="240" w:lineRule="auto" w:after="240" w:before="0"/>
        <w:ind w:firstLine="0"/>
        <w:jc w:val="left"/>
      </w:pPr>
      <w:r>
        <w:t xml:space="preserve">A eficácia dos scanners DAST de caixa-preta, contudo, é limitada e desigual. Doupé, Cova e Vigna (2010), em avaliação que ficou conhecida pelo título "Why Johnny Can't Pentest", demonstraram que scanners automáticos falham sistematicamente ao lidar com o estado da aplicação e deixam de alcançar partes relevantes da superfície de ataque. Bau et al. (2010) e Fonseca, Vieira e Madeira (2007) documentaram ampla variação de cobertura entre ferramentas e a coexistência de falsos negativos e falsos positivos, especialmente em injeção de SQL e XSS. Antunes e Vieira (2010) propuseram </w:t>
      </w:r>
      <w:r>
        <w:rPr>
          <w:i/>
        </w:rPr>
        <w:t>benchmarks</w:t>
      </w:r>
      <w:r>
        <w:t xml:space="preserve"> para tornar essa comparação metodologicamente rigorosa. A lição para este trabalho é dupla: (i) nenhuma ferramenta automatizada deve ser apresentada como garantia de ausência de vulnerabilidades — o que fundamenta o posicionamento de </w:t>
      </w:r>
      <w:r>
        <w:rPr>
          <w:i/>
        </w:rPr>
        <w:t>apoio</w:t>
      </w:r>
      <w:r>
        <w:t>; e (ii) a redução de falsos positivos e a qualificação da confiança de cada achado não são refinamentos opcionais, mas requisitos centrais de utilidade.</w:t>
      </w:r>
    </w:p>
    <w:p>
      <w:pPr>
        <w:spacing w:line="360" w:lineRule="auto" w:after="120" w:before="240"/>
        <w:ind w:firstLine="0"/>
        <w:jc w:val="left"/>
      </w:pPr>
      <w:r>
        <w:rPr>
          <w:b/>
          <w:color w:val="000000"/>
          <w:sz w:val="24"/>
        </w:rPr>
        <w:t>2.4 O fator humano: usabilidade das ferramentas de segurança</w:t>
      </w:r>
    </w:p>
    <w:p>
      <w:pPr>
        <w:spacing w:line="240" w:lineRule="auto" w:after="240" w:before="0"/>
        <w:ind w:firstLine="0"/>
        <w:jc w:val="left"/>
      </w:pPr>
      <w:r>
        <w:t xml:space="preserve">A terceira base teórica desloca o foco da máquina para a pessoa. Mesmo ferramentas tecnicamente competentes fracassam quando seus resultados não são acionáveis. Johnson et al. (2013), em estudo qualitativo com desenvolvedores, concluíram que a subutilização de ferramentas de análise decorre principalmente de dois fatores: o volume de falsos positivos e a forma como os resultados são comunicados — sem explicação suficiente e sem integração com o fluxo de trabalho. Bessey et al. (2010), relatando anos de uso industrial de análise estática, reforçam que a confiança do desenvolvedor no resultado é um recurso frágil: poucos falsos positivos ruidosos bastam para que a ferramenta seja abandonada. Smith et al. (2015) mapearam as perguntas que desenvolvedores fazem ao diagnosticar um alerta de segurança, revelando que a informação de que precisam raramente é a mesma que as ferramentas oferecem. Acar et al. (2016) mostraram, experimentalmente, que a </w:t>
      </w:r>
      <w:r>
        <w:rPr>
          <w:i/>
        </w:rPr>
        <w:t>fonte</w:t>
      </w:r>
      <w:r>
        <w:t xml:space="preserve"> de informação usada pelo desenvolvedor influencia diretamente a segurança do código produzido — evidência de que orientação clara e correta embutida na ferramenta tem efeito prático mensurável. Green e Smith (2016) sintetizam esse conjunto em um princípio de projeto: "desenvolvedores não são o inimigo"; a segurança utilizável precisa encontrá-los onde eles estão, com linguagem e exemplos que eles compreendam.</w:t>
      </w:r>
    </w:p>
    <w:p>
      <w:pPr>
        <w:spacing w:line="240" w:lineRule="auto" w:after="240" w:before="0"/>
        <w:ind w:firstLine="0"/>
        <w:jc w:val="left"/>
      </w:pPr>
      <w:r>
        <w:t xml:space="preserve">Essa literatura fundamenta a hipótese de projeto do SentinelScope: </w:t>
      </w:r>
      <w:r>
        <w:rPr>
          <w:b/>
        </w:rPr>
        <w:t>o valor de um achado de segurança para o desenvolvedor não está apenas em detectá-lo, mas em explicá-lo e torná-lo corrigível</w:t>
      </w:r>
      <w:r>
        <w:t>. A separação entre severidade e confiança, a supressão de sinais instáveis e a apresentação em três camadas (o que se observou, por que importa, como corrigir) são respostas diretas às barreiras identificadas por Johnson et al. (2013) e Green e Smith (2016).</w:t>
      </w:r>
    </w:p>
    <w:p>
      <w:pPr>
        <w:spacing w:line="360" w:lineRule="auto" w:after="120" w:before="240"/>
        <w:ind w:firstLine="0"/>
        <w:jc w:val="left"/>
      </w:pPr>
      <w:r>
        <w:rPr>
          <w:b/>
          <w:color w:val="000000"/>
          <w:sz w:val="24"/>
        </w:rPr>
        <w:t>3 METODOLOGIA</w:t>
      </w:r>
    </w:p>
    <w:p>
      <w:pPr>
        <w:spacing w:line="360" w:lineRule="auto" w:after="120" w:before="240"/>
        <w:ind w:firstLine="0"/>
        <w:jc w:val="left"/>
      </w:pPr>
      <w:r>
        <w:rPr>
          <w:b/>
          <w:color w:val="000000"/>
          <w:sz w:val="24"/>
        </w:rPr>
        <w:t>3.1 Classificação da pesquisa</w:t>
      </w:r>
    </w:p>
    <w:p>
      <w:pPr>
        <w:spacing w:line="360" w:lineRule="auto" w:after="0" w:before="0"/>
        <w:ind w:firstLine="709"/>
        <w:jc w:val="both"/>
      </w:pPr>
      <w:r>
        <w:t xml:space="preserve">Quanto à natureza, esta é uma </w:t>
      </w:r>
      <w:r>
        <w:rPr>
          <w:b/>
        </w:rPr>
        <w:t>pesquisa aplicada</w:t>
      </w:r>
      <w:r>
        <w:t xml:space="preserve">, pois gera um artefato de software destinado a uso prático. Quanto aos objetivos, é </w:t>
      </w:r>
      <w:r>
        <w:rPr>
          <w:b/>
        </w:rPr>
        <w:t>exploratória e descritiva</w:t>
      </w:r>
      <w:r>
        <w:t xml:space="preserve">. Quanto ao procedimento, adota o método de </w:t>
      </w:r>
      <w:r>
        <w:rPr>
          <w:b/>
        </w:rPr>
        <w:t>pesquisa de desenvolvimento (ou pesquisa-artefato)</w:t>
      </w:r>
      <w:r>
        <w:t xml:space="preserve">, no qual o conhecimento é produzido pela construção e avaliação de um artefato tecnológico que responde a um problema real. A abordagem é predominantemente </w:t>
      </w:r>
      <w:r>
        <w:rPr>
          <w:b/>
        </w:rPr>
        <w:t>qualitativa</w:t>
      </w:r>
      <w:r>
        <w:t xml:space="preserve"> na concepção e </w:t>
      </w:r>
      <w:r>
        <w:rPr>
          <w:b/>
        </w:rPr>
        <w:t>quantitativa</w:t>
      </w:r>
      <w:r>
        <w:t xml:space="preserve"> na verificação (contagem de verificações, cobertura de testes e, como trabalho futuro, métricas de detecção).</w:t>
      </w:r>
    </w:p>
    <w:p>
      <w:pPr>
        <w:spacing w:line="360" w:lineRule="auto" w:after="120" w:before="240"/>
        <w:ind w:firstLine="0"/>
        <w:jc w:val="left"/>
      </w:pPr>
      <w:r>
        <w:rPr>
          <w:b/>
          <w:color w:val="000000"/>
          <w:sz w:val="24"/>
        </w:rPr>
        <w:t>3.2 Materiais e ambiente</w:t>
      </w:r>
    </w:p>
    <w:p>
      <w:pPr>
        <w:spacing w:line="360" w:lineRule="auto" w:after="0" w:before="0"/>
        <w:ind w:firstLine="709"/>
        <w:jc w:val="both"/>
      </w:pPr>
      <w:r>
        <w:t>A plataforma foi construída com PHP 8.2 (sem framework), Python 3.10 (sem dependências externas ao interpretador padrão), banco de dados MariaDB 10.4 e interface em HTML e CSS sem framework de front-end. A opção deliberada por não utilizar frameworks visou manter o código auditável e explícito, adequado a um trabalho acadêmico em que cada decisão precisa ser justificável, e reduzir a superfície de dependências de terceiros. O ambiente de desenvolvimento e teste utilizou a pilha XAMPP sobre Windows 11. O controle de versão foi feito com Git.</w:t>
      </w:r>
    </w:p>
    <w:p>
      <w:pPr>
        <w:spacing w:line="360" w:lineRule="auto" w:after="120" w:before="240"/>
        <w:ind w:firstLine="0"/>
        <w:jc w:val="left"/>
      </w:pPr>
      <w:r>
        <w:rPr>
          <w:b/>
          <w:color w:val="000000"/>
          <w:sz w:val="24"/>
        </w:rPr>
        <w:t>3.3 Princípios éticos e de segurança do próprio artefato</w:t>
      </w:r>
    </w:p>
    <w:p>
      <w:pPr>
        <w:spacing w:line="360" w:lineRule="auto" w:after="0" w:before="0"/>
        <w:ind w:firstLine="709"/>
        <w:jc w:val="both"/>
      </w:pPr>
      <w:r>
        <w:t xml:space="preserve">Uma ferramenta de teste de segurança é, por definição, de uso dual. Adotaram-se três princípios inegociáveis, alinhados ao NIST SP 800-115 (SCARFONE et al., 2008): (i) </w:t>
      </w:r>
      <w:r>
        <w:rPr>
          <w:b/>
        </w:rPr>
        <w:t>autorização explícita</w:t>
      </w:r>
      <w:r>
        <w:t xml:space="preserve"> — o registro de um alvo exige confirmação de propriedade ou autorização; (ii) </w:t>
      </w:r>
      <w:r>
        <w:rPr>
          <w:b/>
        </w:rPr>
        <w:t>não destrutividade</w:t>
      </w:r>
      <w:r>
        <w:t xml:space="preserve"> — nenhuma verificação explora, enumera ou altera dados, parando na evidência mínima necessária para comprovar a existência da falha; (iii) </w:t>
      </w:r>
      <w:r>
        <w:rPr>
          <w:b/>
        </w:rPr>
        <w:t>contenção técnica</w:t>
      </w:r>
      <w:r>
        <w:t xml:space="preserve"> — alvos em redes privadas, de loopback e reservadas são negados por padrão (mitigando o risco de a própria ferramenta ser usada para SSRF), o escopo é fixado ao host e porta autorizados, e há orçamento máximo de requisições e tempo por análise.</w:t>
      </w:r>
    </w:p>
    <w:p>
      <w:pPr>
        <w:spacing w:line="360" w:lineRule="auto" w:after="120" w:before="240"/>
        <w:ind w:firstLine="0"/>
        <w:jc w:val="left"/>
      </w:pPr>
      <w:r>
        <w:rPr>
          <w:b/>
          <w:color w:val="000000"/>
          <w:sz w:val="24"/>
        </w:rPr>
        <w:t>3.4 Método de verificação</w:t>
      </w:r>
    </w:p>
    <w:p>
      <w:pPr>
        <w:spacing w:line="360" w:lineRule="auto" w:after="0" w:before="0"/>
        <w:ind w:firstLine="709"/>
        <w:jc w:val="both"/>
      </w:pPr>
      <w:r>
        <w:t xml:space="preserve">A verificação seguiu a estratégia de </w:t>
      </w:r>
      <w:r>
        <w:rPr>
          <w:b/>
        </w:rPr>
        <w:t>testes automatizados com fixtures controlados</w:t>
      </w:r>
      <w:r>
        <w:t>: para cada verificação implementada, construiu-se pelo menos um alvo deliberadamente vulnerável e um alvo seguro/endurecido, servidos por um servidor HTTP local real (sockets reais, tempo real, bytes reais na rede), de modo que um teste aprovado signifique que a verificação funciona contra um servidor de fato, e não apenas contra objetos de resposta fabricados em memória. Essa decisão metodológica responde diretamente ao risco de falsos positivos discutido na Seção 2.3. A cobertura e os resultados são apresentados na Seção 5.</w:t>
      </w:r>
    </w:p>
    <w:p>
      <w:pPr>
        <w:spacing w:line="360" w:lineRule="auto" w:after="120" w:before="240"/>
        <w:ind w:firstLine="0"/>
        <w:jc w:val="left"/>
      </w:pPr>
      <w:r>
        <w:rPr>
          <w:b/>
          <w:color w:val="000000"/>
          <w:sz w:val="24"/>
        </w:rPr>
        <w:t>4 DESENVOLVIMENTO: A PLATAFORMA SENTINELSCOPE</w:t>
      </w:r>
    </w:p>
    <w:p>
      <w:pPr>
        <w:spacing w:line="360" w:lineRule="auto" w:after="120" w:before="240"/>
        <w:ind w:firstLine="0"/>
        <w:jc w:val="left"/>
      </w:pPr>
      <w:r>
        <w:rPr>
          <w:b/>
          <w:color w:val="000000"/>
          <w:sz w:val="24"/>
        </w:rPr>
        <w:t>4.1 Visão geral e arquitetura em camadas</w:t>
      </w:r>
    </w:p>
    <w:p>
      <w:pPr>
        <w:spacing w:line="360" w:lineRule="auto" w:after="0" w:before="0"/>
        <w:ind w:firstLine="709"/>
        <w:jc w:val="both"/>
      </w:pPr>
      <w:r>
        <w:t xml:space="preserve">O SentinelScope adota uma arquitetura em camadas com implantação local. O navegador comunica-se com uma aplicação PHP que valida entradas, orquestra as análises, renderiza os resultados e persiste os dados por meio de </w:t>
      </w:r>
      <w:r>
        <w:rPr>
          <w:i/>
        </w:rPr>
        <w:t>prepared statements</w:t>
      </w:r>
      <w:r>
        <w:t xml:space="preserve"> nativos do PDO. Sob demanda, a aplicação PHP invoca um processo Python separado, que executa a requisição HTTP controlada e retorna um documento JSON estruturado. O MariaDB armazena aplicações, análises e achados, em um modelo relacional </w:t>
      </w:r>
      <w:r>
        <w:rPr>
          <w:rFonts w:ascii="Consolas" w:hAnsi="Consolas"/>
          <w:sz w:val="20"/>
        </w:rPr>
        <w:t>aplicações 1—N análises 1—N achados</w:t>
      </w:r>
      <w:r>
        <w:t>, com índices que sustentam a consulta de histórico e a comparação (Seção 4.7).</w:t>
      </w:r>
    </w:p>
    <w:p>
      <w:pPr>
        <w:spacing w:line="360" w:lineRule="auto" w:after="0" w:before="0"/>
        <w:ind w:firstLine="709"/>
        <w:jc w:val="both"/>
      </w:pPr>
      <w:r>
        <w:t>A separação entre a aplicação web (PHP) e o motor de varredura (Python) não é acidental: isola o componente que executa requisições potencialmente sensíveis em um processo com fronteira e orçamento próprios, e permite que o motor evolua e seja testado de forma independente da camada de apresentação.</w:t>
      </w:r>
    </w:p>
    <w:p>
      <w:pPr>
        <w:spacing w:line="360" w:lineRule="auto" w:after="120" w:before="240"/>
        <w:ind w:firstLine="0"/>
        <w:jc w:val="left"/>
      </w:pPr>
      <w:r>
        <w:rPr>
          <w:b/>
          <w:color w:val="000000"/>
          <w:sz w:val="24"/>
        </w:rPr>
        <w:t>4.2 O motor de varredura</w:t>
      </w:r>
    </w:p>
    <w:p>
      <w:pPr>
        <w:spacing w:line="360" w:lineRule="auto" w:after="0" w:before="0"/>
        <w:ind w:firstLine="709"/>
        <w:jc w:val="both"/>
      </w:pPr>
      <w:r>
        <w:t xml:space="preserve">O motor Python foi projetado para que </w:t>
      </w:r>
      <w:r>
        <w:rPr>
          <w:b/>
        </w:rPr>
        <w:t>adicionar uma nova verificação nunca exija tocar no núcleo</w:t>
      </w:r>
      <w:r>
        <w:t>. Ele se organiza nos seguintes módulos:</w:t>
      </w:r>
    </w:p>
    <w:p>
      <w:pPr>
        <w:spacing w:line="360" w:lineRule="auto" w:after="0" w:before="0"/>
        <w:ind w:firstLine="709"/>
        <w:jc w:val="both"/>
      </w:pPr>
      <w:r>
        <w:t xml:space="preserve">- </w:t>
      </w:r>
      <w:r>
        <w:rPr>
          <w:b/>
        </w:rPr>
        <w:t>Modelo de dados tipado</w:t>
      </w:r>
      <w:r>
        <w:t xml:space="preserve"> (</w:t>
      </w:r>
      <w:r>
        <w:rPr>
          <w:rFonts w:ascii="Consolas" w:hAnsi="Consolas"/>
          <w:sz w:val="20"/>
        </w:rPr>
        <w:t>engine/models.py</w:t>
      </w:r>
      <w:r>
        <w:t>): representações compartilhadas de requisição, resposta, ponto de entrada, evidência, achado, contexto de página e limites, usadas por todos os plugins;</w:t>
      </w:r>
    </w:p>
    <w:p>
      <w:pPr>
        <w:spacing w:line="360" w:lineRule="auto" w:after="0" w:before="0"/>
        <w:ind w:firstLine="709"/>
        <w:jc w:val="both"/>
      </w:pPr>
      <w:r>
        <w:t xml:space="preserve">- </w:t>
      </w:r>
      <w:r>
        <w:rPr>
          <w:b/>
        </w:rPr>
        <w:t>Descoberta</w:t>
      </w:r>
      <w:r>
        <w:t xml:space="preserve"> (</w:t>
      </w:r>
      <w:r>
        <w:rPr>
          <w:rFonts w:ascii="Consolas" w:hAnsi="Consolas"/>
          <w:sz w:val="20"/>
        </w:rPr>
        <w:t>engine/discovery.py</w:t>
      </w:r>
      <w:r>
        <w:t xml:space="preserve">): identificação estável de pontos de entrada por localização e nome, a partir da </w:t>
      </w:r>
      <w:r>
        <w:rPr>
          <w:i/>
        </w:rPr>
        <w:t>query string</w:t>
      </w:r>
      <w:r>
        <w:t xml:space="preserve"> e de formulários HTML;</w:t>
      </w:r>
    </w:p>
    <w:p>
      <w:pPr>
        <w:spacing w:line="360" w:lineRule="auto" w:after="0" w:before="0"/>
        <w:ind w:firstLine="709"/>
        <w:jc w:val="both"/>
      </w:pPr>
      <w:r>
        <w:t xml:space="preserve">- </w:t>
      </w:r>
      <w:r>
        <w:rPr>
          <w:b/>
        </w:rPr>
        <w:t>Normalização</w:t>
      </w:r>
      <w:r>
        <w:t xml:space="preserve"> (</w:t>
      </w:r>
      <w:r>
        <w:rPr>
          <w:rFonts w:ascii="Consolas" w:hAnsi="Consolas"/>
          <w:sz w:val="20"/>
        </w:rPr>
        <w:t>engine/normalization.py</w:t>
      </w:r>
      <w:r>
        <w:t xml:space="preserve">): remoção de conteúdo volátil (carimbos de tempo, UUIDs, valores aleatórios longos, </w:t>
      </w:r>
      <w:r>
        <w:rPr>
          <w:i/>
        </w:rPr>
        <w:t>nonces</w:t>
      </w:r>
      <w:r>
        <w:t xml:space="preserve"> e </w:t>
      </w:r>
      <w:r>
        <w:rPr>
          <w:i/>
        </w:rPr>
        <w:t>tokens</w:t>
      </w:r>
      <w:r>
        <w:t xml:space="preserve"> CSRF) antes de qualquer comparação, e inferência do contexto da página (possui formulários, campo de senha, aparenta estar autenticada) para manter a severidade proporcional;</w:t>
      </w:r>
    </w:p>
    <w:p>
      <w:pPr>
        <w:spacing w:line="360" w:lineRule="auto" w:after="0" w:before="0"/>
        <w:ind w:firstLine="709"/>
        <w:jc w:val="both"/>
      </w:pPr>
      <w:r>
        <w:t xml:space="preserve">- </w:t>
      </w:r>
      <w:r>
        <w:rPr>
          <w:b/>
        </w:rPr>
        <w:t>Segurança/transporte</w:t>
      </w:r>
      <w:r>
        <w:t xml:space="preserve"> (</w:t>
      </w:r>
      <w:r>
        <w:rPr>
          <w:rFonts w:ascii="Consolas" w:hAnsi="Consolas"/>
          <w:sz w:val="20"/>
        </w:rPr>
        <w:t>engine/safety.py</w:t>
      </w:r>
      <w:r>
        <w:t xml:space="preserve">, </w:t>
      </w:r>
      <w:r>
        <w:rPr>
          <w:rFonts w:ascii="Consolas" w:hAnsi="Consolas"/>
          <w:sz w:val="20"/>
        </w:rPr>
        <w:t>engine/transport.py</w:t>
      </w:r>
      <w:r>
        <w:t>): o único caminho autorizado a realizar uma requisição HTTP, responsável por fixação de host e porta, verificação de re-resolução de DNS, negação de rede privada, limitação de taxa, orçamentos de requisição e tempo, arquivo de cancelamento, limite de tamanho de resposta e registro de requisições em JSONL com cabeçalhos sensíveis redigidos;</w:t>
      </w:r>
    </w:p>
    <w:p>
      <w:pPr>
        <w:spacing w:line="360" w:lineRule="auto" w:after="0" w:before="0"/>
        <w:ind w:firstLine="709"/>
        <w:jc w:val="both"/>
      </w:pPr>
      <w:r>
        <w:t xml:space="preserve">- </w:t>
      </w:r>
      <w:r>
        <w:rPr>
          <w:b/>
        </w:rPr>
        <w:t>Confiança</w:t>
      </w:r>
      <w:r>
        <w:t xml:space="preserve"> (</w:t>
      </w:r>
      <w:r>
        <w:rPr>
          <w:rFonts w:ascii="Consolas" w:hAnsi="Consolas"/>
          <w:sz w:val="20"/>
        </w:rPr>
        <w:t>engine/confidence.py</w:t>
      </w:r>
      <w:r>
        <w:t xml:space="preserve">): o único ponto que converte força da evidência, reprodutibilidade e ambiguidade em uma pontuação de confiança de 0 a 100 e em um </w:t>
      </w:r>
      <w:r>
        <w:rPr>
          <w:i/>
        </w:rPr>
        <w:t>status</w:t>
      </w:r>
      <w:r>
        <w:t xml:space="preserve"> (Seção 4.4);</w:t>
      </w:r>
    </w:p>
    <w:p>
      <w:pPr>
        <w:spacing w:line="360" w:lineRule="auto" w:after="0" w:before="0"/>
        <w:ind w:firstLine="709"/>
        <w:jc w:val="both"/>
      </w:pPr>
      <w:r>
        <w:t xml:space="preserve">- </w:t>
      </w:r>
      <w:r>
        <w:rPr>
          <w:b/>
        </w:rPr>
        <w:t>Orquestrador</w:t>
      </w:r>
      <w:r>
        <w:t xml:space="preserve"> (</w:t>
      </w:r>
      <w:r>
        <w:rPr>
          <w:rFonts w:ascii="Consolas" w:hAnsi="Consolas"/>
          <w:sz w:val="20"/>
        </w:rPr>
        <w:t>engine/runner.py</w:t>
      </w:r>
      <w:r>
        <w:t xml:space="preserve">): coleta as requisições de </w:t>
      </w:r>
      <w:r>
        <w:rPr>
          <w:i/>
        </w:rPr>
        <w:t>baseline</w:t>
      </w:r>
      <w:r>
        <w:t>, constrói o contexto de página e executa cada plugin registrado; não contém lógica específica de nenhuma vulnerabilidade.</w:t>
      </w:r>
    </w:p>
    <w:p>
      <w:pPr>
        <w:spacing w:line="360" w:lineRule="auto" w:after="120" w:before="240"/>
        <w:ind w:firstLine="0"/>
        <w:jc w:val="left"/>
      </w:pPr>
      <w:r>
        <w:rPr>
          <w:b/>
          <w:color w:val="000000"/>
          <w:sz w:val="24"/>
        </w:rPr>
        <w:t>4.3 Plugins passivos e ativos seguros</w:t>
      </w:r>
    </w:p>
    <w:p>
      <w:pPr>
        <w:spacing w:line="360" w:lineRule="auto" w:after="0" w:before="0"/>
        <w:ind w:firstLine="709"/>
        <w:jc w:val="both"/>
      </w:pPr>
      <w:r>
        <w:t>Cada família de vulnerabilidade é implementada como uma classe de plugin que declara seus próprios metadados (categoria, CWE, OWASP, WSTG, tipo e risco operacional) e o conjunto de identificadores de verificação que possui. Duas modalidades coexistem:</w:t>
      </w:r>
    </w:p>
    <w:p>
      <w:pPr>
        <w:spacing w:line="360" w:lineRule="auto" w:after="0" w:before="0"/>
        <w:ind w:firstLine="0"/>
        <w:jc w:val="both"/>
      </w:pPr>
      <w:r>
        <w:t xml:space="preserve">a) </w:t>
      </w:r>
      <w:r>
        <w:rPr>
          <w:b/>
        </w:rPr>
        <w:t>Passivos</w:t>
      </w:r>
      <w:r>
        <w:t xml:space="preserve"> (34 verificações): observam as respostas de </w:t>
      </w:r>
      <w:r>
        <w:rPr>
          <w:i/>
        </w:rPr>
        <w:t>baseline</w:t>
      </w:r>
      <w:r>
        <w:t xml:space="preserve"> sem enviar cargas de teste. Cobrem segurança de transporte e TLS, cabeçalhos de segurança, atributos de cookies, CORS, políticas de cache, exposição de informação e exposição de segredos (formatos de credencial de alta assinatura mais uma heurística baseada em entropia que ignora tokens rotativos por requisição).</w:t>
      </w:r>
    </w:p>
    <w:p>
      <w:pPr>
        <w:spacing w:line="360" w:lineRule="auto" w:after="0" w:before="0"/>
        <w:ind w:firstLine="0"/>
        <w:jc w:val="both"/>
      </w:pPr>
      <w:r>
        <w:t xml:space="preserve">b) </w:t>
      </w:r>
      <w:r>
        <w:rPr>
          <w:b/>
        </w:rPr>
        <w:t>Ativos seguros</w:t>
      </w:r>
      <w:r>
        <w:t xml:space="preserve"> (</w:t>
      </w:r>
      <w:r>
        <w:rPr>
          <w:i/>
        </w:rPr>
        <w:t>safe-active</w:t>
      </w:r>
      <w:r>
        <w:t xml:space="preserve">): enviam cargas de teste não destrutivas contra parâmetros já descobertos, encerrando na evidência mínima necessária. Estão implementados plugins para injeção de SQL, XSS refletido, travessia de diretório, redirecionamento aberto, injeção de comando, injeção em template do lado do servidor (SSTI), XXE, injeção de CRLF, injeção de </w:t>
      </w:r>
      <w:r>
        <w:rPr>
          <w:i/>
        </w:rPr>
        <w:t>host header</w:t>
      </w:r>
      <w:r>
        <w:t>, adulteração de verbo HTTP, injeção NoSQL, CORS ativo e SSRF.</w:t>
      </w:r>
    </w:p>
    <w:p>
      <w:pPr>
        <w:spacing w:line="360" w:lineRule="auto" w:after="0" w:before="0"/>
        <w:ind w:firstLine="709"/>
        <w:jc w:val="both"/>
      </w:pPr>
      <w:r>
        <w:t>O teste de parâmetros é agnóstico à sua origem: uma abstração central (</w:t>
      </w:r>
      <w:r>
        <w:rPr>
          <w:rFonts w:ascii="Consolas" w:hAnsi="Consolas"/>
          <w:sz w:val="20"/>
        </w:rPr>
        <w:t>send_probe</w:t>
      </w:r>
      <w:r>
        <w:t xml:space="preserve">) roteia o </w:t>
      </w:r>
      <w:r>
        <w:rPr>
          <w:i/>
        </w:rPr>
        <w:t>probe</w:t>
      </w:r>
      <w:r>
        <w:t xml:space="preserve"> para o canal correto — parâmetros de </w:t>
      </w:r>
      <w:r>
        <w:rPr>
          <w:i/>
        </w:rPr>
        <w:t>query string</w:t>
      </w:r>
      <w:r>
        <w:t xml:space="preserve"> trafegam na URL (GET) e campos de formulário são submetidos no corpo (POST) —, de modo que um plugin testa um parâmetro sem precisar saber onde ele reside. Nesta versão, o teste de campos de formulário via POST está habilitado para todos os detectores de injeção de valor — injeção de SQL, XSS refletido, travessia de diretório, redirecionamento aberto, injeção de comando, SSTI e SSRF; os detectores de CRLF (reflexão em cabeçalho) e injeção NoSQL (mutação da chave </w:t>
      </w:r>
      <w:r>
        <w:rPr>
          <w:rFonts w:ascii="Consolas" w:hAnsi="Consolas"/>
          <w:sz w:val="20"/>
        </w:rPr>
        <w:t>campo[$ne]</w:t>
      </w:r>
      <w:r>
        <w:t xml:space="preserve">) permanecem restritos à </w:t>
      </w:r>
      <w:r>
        <w:rPr>
          <w:i/>
        </w:rPr>
        <w:t>query string</w:t>
      </w:r>
      <w:r>
        <w:t xml:space="preserve"> por construírem o </w:t>
      </w:r>
      <w:r>
        <w:rPr>
          <w:i/>
        </w:rPr>
        <w:t>probe</w:t>
      </w:r>
      <w:r>
        <w:t xml:space="preserve"> de forma específica ao canal.</w:t>
      </w:r>
    </w:p>
    <w:p>
      <w:pPr>
        <w:spacing w:line="360" w:lineRule="auto" w:after="0" w:before="0"/>
        <w:ind w:firstLine="709"/>
        <w:jc w:val="both"/>
      </w:pPr>
      <w:r>
        <w:t xml:space="preserve">Como ilustração do rigor do modo ativo, o plugin de injeção de SQL tenta as técnicas em ordem crescente de custo — baseada em erro, diferencial booleano e, por fim, baseada em tempo — e </w:t>
      </w:r>
      <w:r>
        <w:rPr>
          <w:b/>
        </w:rPr>
        <w:t>para na primeira técnica que produz evidência confirmada</w:t>
      </w:r>
      <w:r>
        <w:t>, sem jamais enumerar tabelas ou extrair registros. A técnica de diferencial booleano emprega o contraste entre uma condição logicamente verdadeira (</w:t>
      </w:r>
      <w:r>
        <w:rPr>
          <w:rFonts w:ascii="Consolas" w:hAnsi="Consolas"/>
          <w:sz w:val="20"/>
        </w:rPr>
        <w:t>' AND '1'='1</w:t>
      </w:r>
      <w:r>
        <w:t xml:space="preserve">), que deve manter a resposta equivalente à </w:t>
      </w:r>
      <w:r>
        <w:rPr>
          <w:i/>
        </w:rPr>
        <w:t>baseline</w:t>
      </w:r>
      <w:r>
        <w:t>, e uma condição falsa (</w:t>
      </w:r>
      <w:r>
        <w:rPr>
          <w:rFonts w:ascii="Consolas" w:hAnsi="Consolas"/>
          <w:sz w:val="20"/>
        </w:rPr>
        <w:t>' AND '1'='2</w:t>
      </w:r>
      <w:r>
        <w:t xml:space="preserve">), que deve divergir, acompanhado de um </w:t>
      </w:r>
      <w:r>
        <w:rPr>
          <w:i/>
        </w:rPr>
        <w:t>probe</w:t>
      </w:r>
      <w:r>
        <w:t xml:space="preserve"> de controle inócuo — construção que evita o erro comum de usar </w:t>
      </w:r>
      <w:r>
        <w:rPr>
          <w:rFonts w:ascii="Consolas" w:hAnsi="Consolas"/>
          <w:sz w:val="20"/>
        </w:rPr>
        <w:t>OR '1'='1'</w:t>
      </w:r>
      <w:r>
        <w:t xml:space="preserve"> sobre um parâmetro cujo valor de </w:t>
      </w:r>
      <w:r>
        <w:rPr>
          <w:i/>
        </w:rPr>
        <w:t>baseline</w:t>
      </w:r>
      <w:r>
        <w:t xml:space="preserve"> já é verdadeiro, o que nunca divergiria e produziria conclusão inválida.</w:t>
      </w:r>
    </w:p>
    <w:p>
      <w:pPr>
        <w:spacing w:line="360" w:lineRule="auto" w:after="120" w:before="240"/>
        <w:ind w:firstLine="0"/>
        <w:jc w:val="left"/>
      </w:pPr>
      <w:r>
        <w:rPr>
          <w:b/>
          <w:color w:val="000000"/>
          <w:sz w:val="24"/>
        </w:rPr>
        <w:t>4.4 Confiança separada de severidade</w:t>
      </w:r>
    </w:p>
    <w:p>
      <w:pPr>
        <w:spacing w:line="360" w:lineRule="auto" w:after="0" w:before="0"/>
        <w:ind w:firstLine="709"/>
        <w:jc w:val="both"/>
      </w:pPr>
      <w:r>
        <w:t xml:space="preserve">Um dos contributos centrais do trabalho é tratar </w:t>
      </w:r>
      <w:r>
        <w:rPr>
          <w:b/>
        </w:rPr>
        <w:t>severidade</w:t>
      </w:r>
      <w:r>
        <w:t xml:space="preserve"> e </w:t>
      </w:r>
      <w:r>
        <w:rPr>
          <w:b/>
        </w:rPr>
        <w:t>confiança</w:t>
      </w:r>
      <w:r>
        <w:t xml:space="preserve"> como dimensões independentes. Severidade responde "quão grave seria isto se fosse verdadeiro"; confiança responde "quão seguro o detector está de que é verdadeiro". Um achado crítico com evidência fraca permanece </w:t>
      </w:r>
      <w:r>
        <w:rPr>
          <w:i/>
        </w:rPr>
        <w:t>crítico de baixa confiança</w:t>
      </w:r>
      <w:r>
        <w:t xml:space="preserve"> — nunca é rebaixado silenciosamente para uma severidade menor para "compensar" a incerteza, prática que ocultaria riscos reais do desenvolvedor.</w:t>
      </w:r>
    </w:p>
    <w:p>
      <w:pPr>
        <w:spacing w:line="360" w:lineRule="auto" w:after="0" w:before="0"/>
        <w:ind w:firstLine="709"/>
        <w:jc w:val="both"/>
      </w:pPr>
      <w:r>
        <w:t>A confiança é calculada por uma combinação ponderada de fatores de evidência e de instabilidade:</w:t>
      </w:r>
    </w:p>
    <w:p>
      <w:pPr>
        <w:spacing w:line="360" w:lineRule="auto" w:after="0" w:before="0"/>
        <w:ind w:firstLine="709"/>
        <w:jc w:val="both"/>
      </w:pPr>
      <w:r>
        <w:t>confiança = 0,35·(força da evidência) + 0,25·(reprodutibilidade) + 0,20·(qualidade diferencial) + 0,20·(confirmação independente) − 0,30·(instabilidade) − 0,20·(ambiguidade)</w:t>
      </w:r>
    </w:p>
    <w:p>
      <w:pPr>
        <w:spacing w:line="360" w:lineRule="auto" w:after="0" w:before="0"/>
        <w:ind w:firstLine="709"/>
        <w:jc w:val="both"/>
      </w:pPr>
      <w:r>
        <w:t xml:space="preserve">O resultado, limitado a 0–100, é mapeado para um </w:t>
      </w:r>
      <w:r>
        <w:rPr>
          <w:i/>
        </w:rPr>
        <w:t>status</w:t>
      </w:r>
      <w:r>
        <w:t xml:space="preserve"> legível (</w:t>
      </w:r>
      <w:r>
        <w:rPr>
          <w:i/>
        </w:rPr>
        <w:t>confirmado</w:t>
      </w:r>
      <w:r>
        <w:t xml:space="preserve">, </w:t>
      </w:r>
      <w:r>
        <w:rPr>
          <w:i/>
        </w:rPr>
        <w:t>alta confiança</w:t>
      </w:r>
      <w:r>
        <w:t xml:space="preserve">, </w:t>
      </w:r>
      <w:r>
        <w:rPr>
          <w:i/>
        </w:rPr>
        <w:t>provável</w:t>
      </w:r>
      <w:r>
        <w:t xml:space="preserve">, </w:t>
      </w:r>
      <w:r>
        <w:rPr>
          <w:i/>
        </w:rPr>
        <w:t>possível</w:t>
      </w:r>
      <w:r>
        <w:t xml:space="preserve">, </w:t>
      </w:r>
      <w:r>
        <w:rPr>
          <w:i/>
        </w:rPr>
        <w:t>informativo</w:t>
      </w:r>
      <w:r>
        <w:t xml:space="preserve"> ou </w:t>
      </w:r>
      <w:r>
        <w:rPr>
          <w:i/>
        </w:rPr>
        <w:t>revisão manual necessária</w:t>
      </w:r>
      <w:r>
        <w:t xml:space="preserve">). Por construção, verificações puramente passivas e de observação única não alcançam o </w:t>
      </w:r>
      <w:r>
        <w:rPr>
          <w:i/>
        </w:rPr>
        <w:t>status</w:t>
      </w:r>
      <w:r>
        <w:t xml:space="preserve"> "confirmado", reservado a detecções ativas que reproduzem o resultado por uma técnica independente. Esse desenho é a resposta direta do trabalho à advertência de Bessey et al. (2010) e Johnson et al. (2013) sobre o custo dos falsos positivos: em vez de afirmar mais do que a evidência sustenta, a ferramenta comunica explicitamente seu grau de certeza e sinaliza o que requer revisão humana.</w:t>
      </w:r>
    </w:p>
    <w:p>
      <w:pPr>
        <w:spacing w:line="360" w:lineRule="auto" w:after="120" w:before="240"/>
        <w:ind w:firstLine="0"/>
        <w:jc w:val="left"/>
      </w:pPr>
      <w:r>
        <w:rPr>
          <w:b/>
          <w:color w:val="000000"/>
          <w:sz w:val="24"/>
        </w:rPr>
        <w:t>4.5 Redução de ruído e proporcionalidade</w:t>
      </w:r>
    </w:p>
    <w:p>
      <w:pPr>
        <w:spacing w:line="360" w:lineRule="auto" w:after="0" w:before="0"/>
        <w:ind w:firstLine="709"/>
        <w:jc w:val="both"/>
      </w:pPr>
      <w:r>
        <w:t xml:space="preserve">Antes de qualquer comparação entre respostas, a normalização remove o conteúdo volátil que, se ignorado, geraria diferenças espúrias e, portanto, falsos positivos. Sinais instáveis — por exemplo, um texto de erro presente em apenas uma de duas requisições de </w:t>
      </w:r>
      <w:r>
        <w:rPr>
          <w:i/>
        </w:rPr>
        <w:t>baseline</w:t>
      </w:r>
      <w:r>
        <w:t xml:space="preserve">, ou um valor de alta entropia que muda entre requisições (token rotativo) — são rebaixados a "revisão manual necessária" ou excluídos, em vez de confirmados. O contexto de página mantém a severidade proporcional: uma resposta que não é HTML não é penalizada por ausência de </w:t>
      </w:r>
      <w:r>
        <w:rPr>
          <w:i/>
        </w:rPr>
        <w:t>Content-Security-Policy</w:t>
      </w:r>
      <w:r>
        <w:t>, por exemplo. Essas decisões implementam, no plano técnico, o requisito de utilidade discutido na Seção 2.4.</w:t>
      </w:r>
    </w:p>
    <w:p>
      <w:pPr>
        <w:spacing w:line="360" w:lineRule="auto" w:after="120" w:before="240"/>
        <w:ind w:firstLine="0"/>
        <w:jc w:val="left"/>
      </w:pPr>
      <w:r>
        <w:rPr>
          <w:b/>
          <w:color w:val="000000"/>
          <w:sz w:val="24"/>
        </w:rPr>
        <w:t>4.6 Camada de explicabilidade</w:t>
      </w:r>
    </w:p>
    <w:p>
      <w:pPr>
        <w:spacing w:line="360" w:lineRule="auto" w:after="0" w:before="0"/>
        <w:ind w:firstLine="709"/>
        <w:jc w:val="both"/>
      </w:pPr>
      <w:r>
        <w:t>A interface apresenta cada achado em três camadas de leitura crescente, deliberadamente ordenadas para o desenvolvedor:</w:t>
      </w:r>
    </w:p>
    <w:p>
      <w:pPr>
        <w:spacing w:line="360" w:lineRule="auto" w:after="0" w:before="0"/>
        <w:ind w:firstLine="709"/>
        <w:jc w:val="both"/>
      </w:pPr>
      <w:r>
        <w:t xml:space="preserve">1. </w:t>
      </w:r>
      <w:r>
        <w:rPr>
          <w:b/>
        </w:rPr>
        <w:t>O que o scanner observou</w:t>
      </w:r>
      <w:r>
        <w:t xml:space="preserve"> — a evidência factual, sem jargão;</w:t>
      </w:r>
    </w:p>
    <w:p>
      <w:pPr>
        <w:spacing w:line="360" w:lineRule="auto" w:after="0" w:before="0"/>
        <w:ind w:firstLine="709"/>
        <w:jc w:val="both"/>
      </w:pPr>
      <w:r>
        <w:t xml:space="preserve">2. </w:t>
      </w:r>
      <w:r>
        <w:rPr>
          <w:b/>
        </w:rPr>
        <w:t>Por que isso importa para sua aplicação</w:t>
      </w:r>
      <w:r>
        <w:t xml:space="preserve"> — o impacto traduzido para consequência prática;</w:t>
      </w:r>
    </w:p>
    <w:p>
      <w:pPr>
        <w:spacing w:line="360" w:lineRule="auto" w:after="0" w:before="0"/>
        <w:ind w:firstLine="709"/>
        <w:jc w:val="both"/>
      </w:pPr>
      <w:r>
        <w:t xml:space="preserve">3. </w:t>
      </w:r>
      <w:r>
        <w:rPr>
          <w:b/>
        </w:rPr>
        <w:t>Como corrigir</w:t>
      </w:r>
      <w:r>
        <w:t xml:space="preserve"> — a recomendação de mitigação acionável, acompanhada de um </w:t>
      </w:r>
      <w:r>
        <w:rPr>
          <w:b/>
        </w:rPr>
        <w:t>exemplo concreto de código "vulnerável → corrigido"</w:t>
      </w:r>
      <w:r>
        <w:t xml:space="preserve"> (código de aplicação em PHP ou configuração de servidor em </w:t>
      </w:r>
      <w:r>
        <w:rPr>
          <w:rFonts w:ascii="Consolas" w:hAnsi="Consolas"/>
          <w:sz w:val="20"/>
        </w:rPr>
        <w:t>.htaccess</w:t>
      </w:r>
      <w:r>
        <w:t>, conforme a natureza do achado).</w:t>
      </w:r>
    </w:p>
    <w:p>
      <w:pPr>
        <w:spacing w:line="360" w:lineRule="auto" w:after="0" w:before="0"/>
        <w:ind w:firstLine="709"/>
        <w:jc w:val="both"/>
      </w:pPr>
      <w:r>
        <w:t xml:space="preserve">O exemplo de correção é o elemento que distingue a explicabilidade proposta: em vez de descrever a correção em abstrato, a ferramenta a </w:t>
      </w:r>
      <w:r>
        <w:rPr>
          <w:i/>
        </w:rPr>
        <w:t>mostra</w:t>
      </w:r>
      <w:r>
        <w:t>. Cada uma das verificações que um plugin pode emitir possui um par de trechos autorado uma única vez em uma tabela central (</w:t>
      </w:r>
      <w:r>
        <w:rPr>
          <w:rFonts w:ascii="Consolas" w:hAnsi="Consolas"/>
          <w:sz w:val="20"/>
        </w:rPr>
        <w:t>plugins/remediation_examples.py</w:t>
      </w:r>
      <w:r>
        <w:t>) e mesclado a todo achado no momento de sua construção. Essa decisão responde diretamente às conclusões de Smith et al. (2015) sobre as perguntas que o desenvolvedor faz diante de um alerta — frequentemente "como eu conserto isto no meu código?" — e ao efeito, demonstrado por Acar et al. (2016), de que a fonte de informação embutida na ferramenta influencia a segurança do código produzido.</w:t>
      </w:r>
    </w:p>
    <w:p>
      <w:pPr>
        <w:spacing w:line="360" w:lineRule="auto" w:after="0" w:before="0"/>
        <w:ind w:firstLine="709"/>
        <w:jc w:val="both"/>
      </w:pPr>
      <w:r>
        <w:t xml:space="preserve">Abaixo dessas camadas, um painel recolhível de </w:t>
      </w:r>
      <w:r>
        <w:rPr>
          <w:i/>
        </w:rPr>
        <w:t>contexto técnico</w:t>
      </w:r>
      <w:r>
        <w:t xml:space="preserve"> expõe o identificador da verificação, a taxonomia completa (categoria, CWE, OWASP, WSTG), a URL/parâmetro afetado e a evidência estruturada em JSON, para quem quiser aprofundar. Severidade e confiança são exibidas como selos distintos. Esse formato materializa o princípio de Green e Smith (2016): a informação de que o desenvolvedor precisa vem primeiro, em sua linguagem; o detalhe para o especialista fica disponível, mas subordinado.</w:t>
      </w:r>
    </w:p>
    <w:p>
      <w:pPr>
        <w:spacing w:line="360" w:lineRule="auto" w:after="120" w:before="240"/>
        <w:ind w:firstLine="0"/>
        <w:jc w:val="left"/>
      </w:pPr>
      <w:r>
        <w:rPr>
          <w:b/>
          <w:color w:val="000000"/>
          <w:sz w:val="24"/>
        </w:rPr>
        <w:t>4.7 Varredura autenticada</w:t>
      </w:r>
    </w:p>
    <w:p>
      <w:pPr>
        <w:spacing w:line="360" w:lineRule="auto" w:after="0" w:before="0"/>
        <w:ind w:firstLine="709"/>
        <w:jc w:val="both"/>
      </w:pPr>
      <w:r>
        <w:t xml:space="preserve">Boa parte da superfície de risco de uma aplicação só é acessível após autenticação. Para alcançá-la sem acoplar um mecanismo de </w:t>
      </w:r>
      <w:r>
        <w:rPr>
          <w:i/>
        </w:rPr>
        <w:t>login</w:t>
      </w:r>
      <w:r>
        <w:t xml:space="preserve"> específico, o motor aceita cabeçalhos de autenticação (tipicamente um </w:t>
      </w:r>
      <w:r>
        <w:rPr>
          <w:i/>
        </w:rPr>
        <w:t>cookie</w:t>
      </w:r>
      <w:r>
        <w:t xml:space="preserve"> de sessão ou um </w:t>
      </w:r>
      <w:r>
        <w:rPr>
          <w:i/>
        </w:rPr>
        <w:t>token</w:t>
      </w:r>
      <w:r>
        <w:t xml:space="preserve"> Bearer) que são anexados a toda requisição — passiva ou ativa — no único ponto de saída HTTP autorizado. Por construção, esses cabeçalhos só trafegam para o host e a porta fixados pelo controle de escopo, são redigidos no registro de requisições e, na aplicação web, são usados de forma transitória em uma análise e nunca persistidos. Assim, uma única extensão localizada habilita a varredura autenticada para todas as verificações existentes de uma vez, sem alterar nenhum plugin.</w:t>
      </w:r>
    </w:p>
    <w:p>
      <w:pPr>
        <w:spacing w:line="360" w:lineRule="auto" w:after="120" w:before="240"/>
        <w:ind w:firstLine="0"/>
        <w:jc w:val="left"/>
      </w:pPr>
      <w:r>
        <w:rPr>
          <w:b/>
          <w:color w:val="000000"/>
          <w:sz w:val="24"/>
        </w:rPr>
        <w:t>4.8 Pontuação, histórico e comparação</w:t>
      </w:r>
    </w:p>
    <w:p>
      <w:pPr>
        <w:spacing w:line="360" w:lineRule="auto" w:after="0" w:before="0"/>
        <w:ind w:firstLine="709"/>
        <w:jc w:val="both"/>
      </w:pPr>
      <w:r>
        <w:t xml:space="preserve">Cada análise concluída recebe uma </w:t>
      </w:r>
      <w:r>
        <w:rPr>
          <w:b/>
        </w:rPr>
        <w:t>Pontuação de Segurança</w:t>
      </w:r>
      <w:r>
        <w:t xml:space="preserve"> de 0 a 100, calculada por uma regra determinística: a pontuação parte de 100 e cada achado crítico, alto, médio ou baixo desconta, respectivamente, 30, 15, 7 e 2 pontos, com resultado limitado a 0–100. A regra é intencionalmente simples e reprodutível, adequada à </w:t>
      </w:r>
      <w:r>
        <w:rPr>
          <w:i/>
        </w:rPr>
        <w:t>comparação</w:t>
      </w:r>
      <w:r>
        <w:t xml:space="preserve"> entre análises da mesma aplicação; não pretende ser uma medida universal de segurança — limitação assumida explicitamente na interface e nesta monografia. O histórico por aplicação e a comparação entre duas análises (classificando achados em </w:t>
      </w:r>
      <w:r>
        <w:rPr>
          <w:i/>
        </w:rPr>
        <w:t>novos</w:t>
      </w:r>
      <w:r>
        <w:t xml:space="preserve">, </w:t>
      </w:r>
      <w:r>
        <w:rPr>
          <w:i/>
        </w:rPr>
        <w:t>ainda presentes</w:t>
      </w:r>
      <w:r>
        <w:t xml:space="preserve"> e </w:t>
      </w:r>
      <w:r>
        <w:rPr>
          <w:i/>
        </w:rPr>
        <w:t>corrigidos</w:t>
      </w:r>
      <w:r>
        <w:t xml:space="preserve">, por meio de uma impressão digital estável de cada achado) sustentam o uso incremental da ferramenta ao longo das entregas. Para integração com o fluxo de trabalho da equipe, a interface ainda permite filtrar os achados por severidade, copiar o exemplo de correção com um clique e exportar a análise concluída em JSON legível por máquina, adequado a </w:t>
      </w:r>
      <w:r>
        <w:rPr>
          <w:i/>
        </w:rPr>
        <w:t>pipelines</w:t>
      </w:r>
      <w:r>
        <w:t xml:space="preserve"> de integração contínua e a sistemas de tíquetes.</w:t>
      </w:r>
    </w:p>
    <w:p>
      <w:pPr>
        <w:spacing w:line="360" w:lineRule="auto" w:after="120" w:before="240"/>
        <w:ind w:firstLine="0"/>
        <w:jc w:val="left"/>
      </w:pPr>
      <w:r>
        <w:rPr>
          <w:b/>
          <w:color w:val="000000"/>
          <w:sz w:val="24"/>
        </w:rPr>
        <w:t>4.9 Salvaguardas de segurança da aplicação</w:t>
      </w:r>
    </w:p>
    <w:p>
      <w:pPr>
        <w:spacing w:line="360" w:lineRule="auto" w:after="0" w:before="0"/>
        <w:ind w:firstLine="709"/>
        <w:jc w:val="both"/>
      </w:pPr>
      <w:r>
        <w:t xml:space="preserve">A própria aplicação foi construída sob as práticas que ela verifica: mutações exigem </w:t>
      </w:r>
      <w:r>
        <w:rPr>
          <w:i/>
        </w:rPr>
        <w:t>token</w:t>
      </w:r>
      <w:r>
        <w:t xml:space="preserve"> CSRF vinculado à sessão; toda a saída passa por codificação para mitigar XSS armazenado; todo acesso ao banco usa </w:t>
      </w:r>
      <w:r>
        <w:rPr>
          <w:i/>
        </w:rPr>
        <w:t>prepared statements</w:t>
      </w:r>
      <w:r>
        <w:t xml:space="preserve"> nativos, prevenindo injeção de SQL. A versão acadêmica assume instalação local monousuário confiável; autenticação e controle de acesso por papéis são recomendados antes de qualquer implantação compartilhada.</w:t>
      </w:r>
    </w:p>
    <w:p>
      <w:pPr>
        <w:spacing w:line="360" w:lineRule="auto" w:after="120" w:before="240"/>
        <w:ind w:firstLine="0"/>
        <w:jc w:val="left"/>
      </w:pPr>
      <w:r>
        <w:rPr>
          <w:b/>
          <w:color w:val="000000"/>
          <w:sz w:val="24"/>
        </w:rPr>
        <w:t>5 AVALIAÇÃO E DISCUSSÃO</w:t>
      </w:r>
    </w:p>
    <w:p>
      <w:pPr>
        <w:spacing w:line="360" w:lineRule="auto" w:after="120" w:before="240"/>
        <w:ind w:firstLine="0"/>
        <w:jc w:val="left"/>
      </w:pPr>
      <w:r>
        <w:rPr>
          <w:b/>
          <w:color w:val="000000"/>
          <w:sz w:val="24"/>
        </w:rPr>
        <w:t>5.1 Estratégia de verificação e resultados dos testes automatizados</w:t>
      </w:r>
    </w:p>
    <w:p>
      <w:pPr>
        <w:spacing w:line="360" w:lineRule="auto" w:after="0" w:before="0"/>
        <w:ind w:firstLine="709"/>
        <w:jc w:val="both"/>
      </w:pPr>
      <w:r>
        <w:t xml:space="preserve">A verificação funcional foi conduzida por uma suíte de </w:t>
      </w:r>
      <w:r>
        <w:rPr>
          <w:b/>
        </w:rPr>
        <w:t>94 testes automatizados</w:t>
      </w:r>
      <w:r>
        <w:t xml:space="preserve"> em Python (framework </w:t>
      </w:r>
      <w:r>
        <w:rPr>
          <w:rFonts w:ascii="Consolas" w:hAnsi="Consolas"/>
          <w:sz w:val="20"/>
        </w:rPr>
        <w:t>unittest</w:t>
      </w:r>
      <w:r>
        <w:t xml:space="preserve">), complementada por </w:t>
      </w:r>
      <w:r>
        <w:rPr>
          <w:b/>
        </w:rPr>
        <w:t>40 verificações no lado PHP</w:t>
      </w:r>
      <w:r>
        <w:t>. A suíte cobre vários níveis: a fundação do motor (</w:t>
      </w:r>
      <w:r>
        <w:rPr>
          <w:rFonts w:ascii="Consolas" w:hAnsi="Consolas"/>
          <w:sz w:val="20"/>
        </w:rPr>
        <w:t>test_engine.py</w:t>
      </w:r>
      <w:r>
        <w:t>), cada plugin contra fixtures vulnerável e seguro (</w:t>
      </w:r>
      <w:r>
        <w:rPr>
          <w:rFonts w:ascii="Consolas" w:hAnsi="Consolas"/>
          <w:sz w:val="20"/>
        </w:rPr>
        <w:t>test_plugins.py</w:t>
      </w:r>
      <w:r>
        <w:t xml:space="preserve"> e os testes por plugin ativo), a integração catálogo/orquestrador (</w:t>
      </w:r>
      <w:r>
        <w:rPr>
          <w:rFonts w:ascii="Consolas" w:hAnsi="Consolas"/>
          <w:sz w:val="20"/>
        </w:rPr>
        <w:t>test_scanner.py</w:t>
      </w:r>
      <w:r>
        <w:t>), a camada de exemplos de correção (</w:t>
      </w:r>
      <w:r>
        <w:rPr>
          <w:rFonts w:ascii="Consolas" w:hAnsi="Consolas"/>
          <w:sz w:val="20"/>
        </w:rPr>
        <w:t>test_remediation_examples.py</w:t>
      </w:r>
      <w:r>
        <w:t>), o arcabouço de avaliação empírica (</w:t>
      </w:r>
      <w:r>
        <w:rPr>
          <w:rFonts w:ascii="Consolas" w:hAnsi="Consolas"/>
          <w:sz w:val="20"/>
        </w:rPr>
        <w:t>test_evaluation.py</w:t>
      </w:r>
      <w:r>
        <w:t>), a varredura autenticada e o teste de formulários via POST (</w:t>
      </w:r>
      <w:r>
        <w:rPr>
          <w:rFonts w:ascii="Consolas" w:hAnsi="Consolas"/>
          <w:sz w:val="20"/>
        </w:rPr>
        <w:t>test_authenticated_and_forms.py</w:t>
      </w:r>
      <w:r>
        <w:t>), o retry do transporte em falhas transitórias (</w:t>
      </w:r>
      <w:r>
        <w:rPr>
          <w:rFonts w:ascii="Consolas" w:hAnsi="Consolas"/>
          <w:sz w:val="20"/>
        </w:rPr>
        <w:t>test_transport.py</w:t>
      </w:r>
      <w:r>
        <w:t>), e as classes puras do lado PHP — renderização, exemplos de código, cálculo de pontuação, comparação de análises e um benchmark de 1.000 achados (</w:t>
      </w:r>
      <w:r>
        <w:rPr>
          <w:rFonts w:ascii="Consolas" w:hAnsi="Consolas"/>
          <w:sz w:val="20"/>
        </w:rPr>
        <w:t>php_test.php</w:t>
      </w:r>
      <w:r>
        <w:t>). Na execução de referência, os 94 testes Python foram aprovados (resultado "OK"), em tempo total da ordem de 180 segundos — tempo dominado pelos testes de detecção baseada em tempo, que empregam atrasos reais na rede para exercitar a lógica temporal de forma fidedigna.</w:t>
      </w:r>
    </w:p>
    <w:p>
      <w:pPr>
        <w:spacing w:line="360" w:lineRule="auto" w:after="0" w:before="0"/>
        <w:ind w:firstLine="709"/>
        <w:jc w:val="both"/>
      </w:pPr>
      <w:r>
        <w:t xml:space="preserve">Cada plugin passivo é testado, no mínimo, com: um fixture vulnerável, um fixture endurecido e um caso sensível ao contexto (por exemplo, uma resposta não-HTML não é penalizada por ausência de CSP; um padrão de </w:t>
      </w:r>
      <w:r>
        <w:rPr>
          <w:i/>
        </w:rPr>
        <w:t>stack trace</w:t>
      </w:r>
      <w:r>
        <w:t xml:space="preserve"> visto em apenas uma de duas </w:t>
      </w:r>
      <w:r>
        <w:rPr>
          <w:i/>
        </w:rPr>
        <w:t>baselines</w:t>
      </w:r>
      <w:r>
        <w:t xml:space="preserve"> é rebaixado a "revisão manual necessária" em vez de confirmado; um valor de alta entropia que muda entre </w:t>
      </w:r>
      <w:r>
        <w:rPr>
          <w:i/>
        </w:rPr>
        <w:t>baselines</w:t>
      </w:r>
      <w:r>
        <w:t xml:space="preserve"> é tratado como token rotativo, e não como segredo estático). Essa cobertura evidencia empiricamente o comportamento de </w:t>
      </w:r>
      <w:r>
        <w:rPr>
          <w:b/>
        </w:rPr>
        <w:t>redução de falsos positivos</w:t>
      </w:r>
      <w:r>
        <w:t xml:space="preserve"> descrito na Seção 4.5.</w:t>
      </w:r>
    </w:p>
    <w:p>
      <w:pPr>
        <w:spacing w:line="360" w:lineRule="auto" w:after="0" w:before="0"/>
        <w:ind w:firstLine="709"/>
        <w:jc w:val="both"/>
      </w:pPr>
      <w:r>
        <w:t>Quadro 1 — Casos de teste representativos e resultado.</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spacing w:line="240" w:lineRule="auto" w:after="0" w:before="0"/>
              <w:ind w:firstLine="0"/>
              <w:jc w:val="center"/>
            </w:pPr>
            <w:r>
              <w:rPr>
                <w:b/>
                <w:sz w:val="20"/>
              </w:rPr>
              <w:t>Caso</w:t>
            </w:r>
          </w:p>
        </w:tc>
        <w:tc>
          <w:tcPr>
            <w:tcW w:type="dxa" w:w="3135"/>
          </w:tcPr>
          <w:p>
            <w:pPr>
              <w:spacing w:line="240" w:lineRule="auto" w:after="0" w:before="0"/>
              <w:ind w:firstLine="0"/>
              <w:jc w:val="center"/>
            </w:pPr>
            <w:r>
              <w:rPr>
                <w:b/>
                <w:sz w:val="20"/>
              </w:rPr>
              <w:t>Resultado esperado</w:t>
            </w:r>
          </w:p>
        </w:tc>
        <w:tc>
          <w:tcPr>
            <w:tcW w:type="dxa" w:w="3135"/>
          </w:tcPr>
          <w:p>
            <w:pPr>
              <w:spacing w:line="240" w:lineRule="auto" w:after="0" w:before="0"/>
              <w:ind w:firstLine="0"/>
              <w:jc w:val="center"/>
            </w:pPr>
            <w:r>
              <w:rPr>
                <w:b/>
                <w:sz w:val="20"/>
              </w:rPr>
              <w:t>Situação</w:t>
            </w:r>
          </w:p>
        </w:tc>
      </w:tr>
      <w:tr>
        <w:tc>
          <w:tcPr>
            <w:tcW w:type="dxa" w:w="3135"/>
          </w:tcPr>
          <w:p>
            <w:pPr>
              <w:spacing w:line="240" w:lineRule="auto" w:after="0" w:before="0"/>
              <w:ind w:firstLine="0"/>
              <w:jc w:val="left"/>
            </w:pPr>
            <w:r>
              <w:rPr>
                <w:sz w:val="20"/>
              </w:rPr>
              <w:t>Varredura passiva de resposta controlada</w:t>
            </w:r>
          </w:p>
        </w:tc>
        <w:tc>
          <w:tcPr>
            <w:tcW w:type="dxa" w:w="3135"/>
          </w:tcPr>
          <w:p>
            <w:pPr>
              <w:spacing w:line="240" w:lineRule="auto" w:after="0" w:before="0"/>
              <w:ind w:firstLine="0"/>
              <w:jc w:val="left"/>
            </w:pPr>
            <w:r>
              <w:rPr>
                <w:sz w:val="20"/>
              </w:rPr>
              <w:t>34 verificações concluídas; achados persistidos com severidade, confiança e status</w:t>
            </w:r>
          </w:p>
        </w:tc>
        <w:tc>
          <w:tcPr>
            <w:tcW w:type="dxa" w:w="3135"/>
          </w:tcPr>
          <w:p>
            <w:pPr>
              <w:spacing w:line="240" w:lineRule="auto" w:after="0" w:before="0"/>
              <w:ind w:firstLine="0"/>
              <w:jc w:val="left"/>
            </w:pPr>
            <w:r>
              <w:rPr>
                <w:sz w:val="20"/>
              </w:rPr>
              <w:t>Teste automatizado fornecido — aprovado</w:t>
            </w:r>
          </w:p>
        </w:tc>
      </w:tr>
      <w:tr>
        <w:tc>
          <w:tcPr>
            <w:tcW w:type="dxa" w:w="3135"/>
          </w:tcPr>
          <w:p>
            <w:pPr>
              <w:spacing w:line="240" w:lineRule="auto" w:after="0" w:before="0"/>
              <w:ind w:firstLine="0"/>
              <w:jc w:val="left"/>
            </w:pPr>
            <w:r>
              <w:rPr>
                <w:sz w:val="20"/>
              </w:rPr>
              <w:t>Verificação de completude do achado</w:t>
            </w:r>
          </w:p>
        </w:tc>
        <w:tc>
          <w:tcPr>
            <w:tcW w:type="dxa" w:w="3135"/>
          </w:tcPr>
          <w:p>
            <w:pPr>
              <w:spacing w:line="240" w:lineRule="auto" w:after="0" w:before="0"/>
              <w:ind w:firstLine="0"/>
              <w:jc w:val="left"/>
            </w:pPr>
            <w:r>
              <w:rPr>
                <w:sz w:val="20"/>
              </w:rPr>
              <w:t>Categoria, CWE, OWASP, WSTG, severidade, confiança, evidência, impacto e remediação presentes</w:t>
            </w:r>
          </w:p>
        </w:tc>
        <w:tc>
          <w:tcPr>
            <w:tcW w:type="dxa" w:w="3135"/>
          </w:tcPr>
          <w:p>
            <w:pPr>
              <w:spacing w:line="240" w:lineRule="auto" w:after="0" w:before="0"/>
              <w:ind w:firstLine="0"/>
              <w:jc w:val="left"/>
            </w:pPr>
            <w:r>
              <w:rPr>
                <w:sz w:val="20"/>
              </w:rPr>
              <w:t>Testes de plugin/scanner fornecidos — aprovados</w:t>
            </w:r>
          </w:p>
        </w:tc>
      </w:tr>
      <w:tr>
        <w:tc>
          <w:tcPr>
            <w:tcW w:type="dxa" w:w="3135"/>
          </w:tcPr>
          <w:p>
            <w:pPr>
              <w:spacing w:line="240" w:lineRule="auto" w:after="0" w:before="0"/>
              <w:ind w:firstLine="0"/>
              <w:jc w:val="left"/>
            </w:pPr>
            <w:r>
              <w:rPr>
                <w:sz w:val="20"/>
              </w:rPr>
              <w:t>Proteção contra SSRF</w:t>
            </w:r>
          </w:p>
        </w:tc>
        <w:tc>
          <w:tcPr>
            <w:tcW w:type="dxa" w:w="3135"/>
          </w:tcPr>
          <w:p>
            <w:pPr>
              <w:spacing w:line="240" w:lineRule="auto" w:after="0" w:before="0"/>
              <w:ind w:firstLine="0"/>
              <w:jc w:val="left"/>
            </w:pPr>
            <w:r>
              <w:rPr>
                <w:sz w:val="20"/>
              </w:rPr>
              <w:t>Alvo privado negado por padrão</w:t>
            </w:r>
          </w:p>
        </w:tc>
        <w:tc>
          <w:tcPr>
            <w:tcW w:type="dxa" w:w="3135"/>
          </w:tcPr>
          <w:p>
            <w:pPr>
              <w:spacing w:line="240" w:lineRule="auto" w:after="0" w:before="0"/>
              <w:ind w:firstLine="0"/>
              <w:jc w:val="left"/>
            </w:pPr>
            <w:r>
              <w:rPr>
                <w:sz w:val="20"/>
              </w:rPr>
              <w:t>Teste automatizado fornecido — aprovado</w:t>
            </w:r>
          </w:p>
        </w:tc>
      </w:tr>
      <w:tr>
        <w:tc>
          <w:tcPr>
            <w:tcW w:type="dxa" w:w="3135"/>
          </w:tcPr>
          <w:p>
            <w:pPr>
              <w:spacing w:line="240" w:lineRule="auto" w:after="0" w:before="0"/>
              <w:ind w:firstLine="0"/>
              <w:jc w:val="left"/>
            </w:pPr>
            <w:r>
              <w:rPr>
                <w:sz w:val="20"/>
              </w:rPr>
              <w:t>Redução de falso positivo</w:t>
            </w:r>
          </w:p>
        </w:tc>
        <w:tc>
          <w:tcPr>
            <w:tcW w:type="dxa" w:w="3135"/>
          </w:tcPr>
          <w:p>
            <w:pPr>
              <w:spacing w:line="240" w:lineRule="auto" w:after="0" w:before="0"/>
              <w:ind w:firstLine="0"/>
              <w:jc w:val="left"/>
            </w:pPr>
            <w:r>
              <w:rPr>
                <w:sz w:val="20"/>
              </w:rPr>
              <w:t>Sinal instável (erro em uma só baseline, token rotativo) rebaixado ou excluído, não confirmado</w:t>
            </w:r>
          </w:p>
        </w:tc>
        <w:tc>
          <w:tcPr>
            <w:tcW w:type="dxa" w:w="3135"/>
          </w:tcPr>
          <w:p>
            <w:pPr>
              <w:spacing w:line="240" w:lineRule="auto" w:after="0" w:before="0"/>
              <w:ind w:firstLine="0"/>
              <w:jc w:val="left"/>
            </w:pPr>
            <w:r>
              <w:rPr>
                <w:sz w:val="20"/>
              </w:rPr>
              <w:t>Testes de plugin fornecidos — aprovados</w:t>
            </w:r>
          </w:p>
        </w:tc>
      </w:tr>
      <w:tr>
        <w:tc>
          <w:tcPr>
            <w:tcW w:type="dxa" w:w="3135"/>
          </w:tcPr>
          <w:p>
            <w:pPr>
              <w:spacing w:line="240" w:lineRule="auto" w:after="0" w:before="0"/>
              <w:ind w:firstLine="0"/>
              <w:jc w:val="left"/>
            </w:pPr>
            <w:r>
              <w:rPr>
                <w:sz w:val="20"/>
              </w:rPr>
              <w:t>Consistência plugin/catálogo</w:t>
            </w:r>
          </w:p>
        </w:tc>
        <w:tc>
          <w:tcPr>
            <w:tcW w:type="dxa" w:w="3135"/>
          </w:tcPr>
          <w:p>
            <w:pPr>
              <w:spacing w:line="240" w:lineRule="auto" w:after="0" w:before="0"/>
              <w:ind w:firstLine="0"/>
              <w:jc w:val="left"/>
            </w:pPr>
            <w:r>
              <w:rPr>
                <w:sz w:val="20"/>
              </w:rPr>
              <w:t>Cada entrada do catálogo é declarada por exatamente um plugin; todo plugin declara metadados completos</w:t>
            </w:r>
          </w:p>
        </w:tc>
        <w:tc>
          <w:tcPr>
            <w:tcW w:type="dxa" w:w="3135"/>
          </w:tcPr>
          <w:p>
            <w:pPr>
              <w:spacing w:line="240" w:lineRule="auto" w:after="0" w:before="0"/>
              <w:ind w:firstLine="0"/>
              <w:jc w:val="left"/>
            </w:pPr>
            <w:r>
              <w:rPr>
                <w:sz w:val="20"/>
              </w:rPr>
              <w:t>Teste automatizado fornecido — aprovado</w:t>
            </w:r>
          </w:p>
        </w:tc>
      </w:tr>
    </w:tbl>
    <w:p>
      <w:pPr>
        <w:spacing w:line="360" w:lineRule="auto" w:after="0" w:before="0"/>
        <w:ind w:firstLine="709"/>
        <w:jc w:val="both"/>
      </w:pPr>
      <w:r>
        <w:t>Fonte: o autor (2026).</w:t>
      </w:r>
    </w:p>
    <w:p>
      <w:pPr>
        <w:spacing w:line="360" w:lineRule="auto" w:after="120" w:before="240"/>
        <w:ind w:firstLine="0"/>
        <w:jc w:val="left"/>
      </w:pPr>
      <w:r>
        <w:rPr>
          <w:b/>
          <w:color w:val="000000"/>
          <w:sz w:val="24"/>
        </w:rPr>
        <w:t>5.2 Discussão</w:t>
      </w:r>
    </w:p>
    <w:p>
      <w:pPr>
        <w:spacing w:line="360" w:lineRule="auto" w:after="0" w:before="0"/>
        <w:ind w:firstLine="709"/>
        <w:jc w:val="both"/>
      </w:pPr>
      <w:r>
        <w:t xml:space="preserve">Os resultados sustentam a viabilidade técnica da proposta e, sobretudo, a viabilidade do seu diferencial: é possível construir, no escopo de um trabalho acadêmico, um motor DAST não destrutivo que qualifica a confiança de cada achado e reduz ruído por normalização e verificação de estabilidade. A cobertura de testes contra fixtures seguros — e não apenas vulneráveis — é a evidência de que a ferramenta foi projetada para </w:t>
      </w:r>
      <w:r>
        <w:rPr>
          <w:i/>
        </w:rPr>
        <w:t>não gritar</w:t>
      </w:r>
      <w:r>
        <w:t xml:space="preserve"> diante de configurações corretas, requisito que a literatura aponta como decisivo para a adoção (JOHNSON et al., 2013; BESSEY et al., 2010).</w:t>
      </w:r>
    </w:p>
    <w:p>
      <w:pPr>
        <w:spacing w:line="360" w:lineRule="auto" w:after="0" w:before="0"/>
        <w:ind w:firstLine="709"/>
        <w:jc w:val="both"/>
      </w:pPr>
      <w:r>
        <w:t xml:space="preserve">Cabe, porém, distinguir com honestidade o que foi verificado do que ainda não foi. Os testes comprovam que cada verificação </w:t>
      </w:r>
      <w:r>
        <w:rPr>
          <w:b/>
        </w:rPr>
        <w:t>funciona como especificado contra alvos controlados</w:t>
      </w:r>
      <w:r>
        <w:t>. Eles não medem, ainda, o desempenho da ferramenta contra uma aplicação real e desconhecida — isto é, sua taxa de detecção (recall) e sua taxa de falsos positivos (precision) em condições não controladas. Essa é a fronteira entre o que este trabalho entrega e o que a Seção 5.3 propõe.</w:t>
      </w:r>
    </w:p>
    <w:p>
      <w:pPr>
        <w:spacing w:line="360" w:lineRule="auto" w:after="120" w:before="240"/>
        <w:ind w:firstLine="0"/>
        <w:jc w:val="left"/>
      </w:pPr>
      <w:r>
        <w:rPr>
          <w:b/>
          <w:color w:val="000000"/>
          <w:sz w:val="24"/>
        </w:rPr>
        <w:t>5.3 Proposta de avaliação empírica (trabalho de continuidade)</w:t>
      </w:r>
    </w:p>
    <w:p>
      <w:pPr>
        <w:spacing w:line="360" w:lineRule="auto" w:after="0" w:before="0"/>
        <w:ind w:firstLine="709"/>
        <w:jc w:val="both"/>
      </w:pPr>
      <w:r>
        <w:t>Para elevar a evidência de "funciona como especificado" a "detecta com que eficácia", propõe-se uma avaliação empírica comparativa, seguindo a tradição metodológica de Fonseca, Vieira e Madeira (2007), Bau et al. (2010) e Antunes e Vieira (2010):</w:t>
      </w:r>
    </w:p>
    <w:p>
      <w:pPr>
        <w:spacing w:line="360" w:lineRule="auto" w:after="0" w:before="0"/>
        <w:ind w:firstLine="0"/>
        <w:jc w:val="both"/>
      </w:pPr>
      <w:r>
        <w:t xml:space="preserve">a) </w:t>
      </w:r>
      <w:r>
        <w:rPr>
          <w:b/>
        </w:rPr>
        <w:t>Alvos.</w:t>
      </w:r>
      <w:r>
        <w:t xml:space="preserve"> Aplicações deliberadamente vulneráveis de referência — </w:t>
      </w:r>
      <w:r>
        <w:rPr>
          <w:i/>
        </w:rPr>
        <w:t>Damn Vulnerable Web Application</w:t>
      </w:r>
      <w:r>
        <w:t xml:space="preserve"> (DVWA), </w:t>
      </w:r>
      <w:r>
        <w:rPr>
          <w:i/>
        </w:rPr>
        <w:t>OWASP Juice Shop</w:t>
      </w:r>
      <w:r>
        <w:t xml:space="preserve"> e </w:t>
      </w:r>
      <w:r>
        <w:rPr>
          <w:i/>
        </w:rPr>
        <w:t>OWASP WebGoat</w:t>
      </w:r>
      <w:r>
        <w:t xml:space="preserve"> — executadas em laboratório isolado e autorizado;</w:t>
      </w:r>
    </w:p>
    <w:p>
      <w:pPr>
        <w:spacing w:line="360" w:lineRule="auto" w:after="0" w:before="0"/>
        <w:ind w:firstLine="0"/>
        <w:jc w:val="both"/>
      </w:pPr>
      <w:r>
        <w:t xml:space="preserve">b) </w:t>
      </w:r>
      <w:r>
        <w:rPr>
          <w:b/>
        </w:rPr>
        <w:t>Base de comparação (baseline).</w:t>
      </w:r>
      <w:r>
        <w:t xml:space="preserve"> OWASP ZAP em modo </w:t>
      </w:r>
      <w:r>
        <w:rPr>
          <w:i/>
        </w:rPr>
        <w:t>baseline</w:t>
      </w:r>
      <w:r>
        <w:t>, ferramenta livre amplamente utilizada, como referência de mercado;</w:t>
      </w:r>
    </w:p>
    <w:p>
      <w:pPr>
        <w:spacing w:line="360" w:lineRule="auto" w:after="0" w:before="0"/>
        <w:ind w:firstLine="0"/>
        <w:jc w:val="both"/>
      </w:pPr>
      <w:r>
        <w:t xml:space="preserve">c) </w:t>
      </w:r>
      <w:r>
        <w:rPr>
          <w:b/>
        </w:rPr>
        <w:t>Métricas.</w:t>
      </w:r>
      <w:r>
        <w:t xml:space="preserve"> Para cada classe de vulnerabilidade conhecida no alvo, apurar verdadeiros positivos, falsos positivos e falsos negativos, derivando </w:t>
      </w:r>
      <w:r>
        <w:rPr>
          <w:i/>
        </w:rPr>
        <w:t>precision</w:t>
      </w:r>
      <w:r>
        <w:t xml:space="preserve">, </w:t>
      </w:r>
      <w:r>
        <w:rPr>
          <w:i/>
        </w:rPr>
        <w:t>recall</w:t>
      </w:r>
      <w:r>
        <w:t xml:space="preserve"> e </w:t>
      </w:r>
      <w:r>
        <w:rPr>
          <w:i/>
        </w:rPr>
        <w:t>F1</w:t>
      </w:r>
      <w:r>
        <w:t>, além do tempo de execução e do número de requisições emitidas;</w:t>
      </w:r>
    </w:p>
    <w:p>
      <w:pPr>
        <w:spacing w:line="360" w:lineRule="auto" w:after="0" w:before="0"/>
        <w:ind w:firstLine="0"/>
        <w:jc w:val="both"/>
      </w:pPr>
      <w:r>
        <w:t xml:space="preserve">d) </w:t>
      </w:r>
      <w:r>
        <w:rPr>
          <w:b/>
        </w:rPr>
        <w:t>Variável qualitativa (o diferencial da tese).</w:t>
      </w:r>
      <w:r>
        <w:t xml:space="preserve"> Avaliação da explicabilidade dos achados por um pequeno grupo de desenvolvedores, medindo se a apresentação em três camadas reduz o tempo até a compreensão do risco e da correção em relação à saída de uma ferramenta convencional — instrumento inspirado nas questões levantadas por Smith et al. (2015) e no princípio de Green e Smith (2016).</w:t>
      </w:r>
    </w:p>
    <w:p>
      <w:pPr>
        <w:spacing w:line="360" w:lineRule="auto" w:after="0" w:before="0"/>
        <w:ind w:firstLine="709"/>
        <w:jc w:val="both"/>
      </w:pPr>
      <w:r>
        <w:t>O Quadro 2 apresenta a estrutura de coleta a ser preenchida com os dados reais dessa etapa.</w:t>
      </w:r>
    </w:p>
    <w:p>
      <w:pPr>
        <w:spacing w:line="360" w:lineRule="auto" w:after="0" w:before="0"/>
        <w:ind w:firstLine="709"/>
        <w:jc w:val="both"/>
      </w:pPr>
      <w:r>
        <w:t>Quadro 2 — Modelo de tabulação da avaliação empírica proposta (a preencher).</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pPr>
              <w:spacing w:line="240" w:lineRule="auto" w:after="0" w:before="0"/>
              <w:ind w:firstLine="0"/>
              <w:jc w:val="center"/>
            </w:pPr>
            <w:r>
              <w:rPr>
                <w:b/>
                <w:sz w:val="20"/>
              </w:rPr>
              <w:t>Classe (CWE)</w:t>
            </w:r>
          </w:p>
        </w:tc>
        <w:tc>
          <w:tcPr>
            <w:tcW w:type="dxa" w:w="1881"/>
          </w:tcPr>
          <w:p>
            <w:pPr>
              <w:spacing w:line="240" w:lineRule="auto" w:after="0" w:before="0"/>
              <w:ind w:firstLine="0"/>
              <w:jc w:val="center"/>
            </w:pPr>
            <w:r>
              <w:rPr>
                <w:b/>
                <w:sz w:val="20"/>
              </w:rPr>
              <w:t>Presente no alvo</w:t>
            </w:r>
          </w:p>
        </w:tc>
        <w:tc>
          <w:tcPr>
            <w:tcW w:type="dxa" w:w="1881"/>
          </w:tcPr>
          <w:p>
            <w:pPr>
              <w:spacing w:line="240" w:lineRule="auto" w:after="0" w:before="0"/>
              <w:ind w:firstLine="0"/>
              <w:jc w:val="center"/>
            </w:pPr>
            <w:r>
              <w:rPr>
                <w:b/>
                <w:sz w:val="20"/>
              </w:rPr>
              <w:t>SentinelScope: VP/FP/FN</w:t>
            </w:r>
          </w:p>
        </w:tc>
        <w:tc>
          <w:tcPr>
            <w:tcW w:type="dxa" w:w="1881"/>
          </w:tcPr>
          <w:p>
            <w:pPr>
              <w:spacing w:line="240" w:lineRule="auto" w:after="0" w:before="0"/>
              <w:ind w:firstLine="0"/>
              <w:jc w:val="center"/>
            </w:pPr>
            <w:r>
              <w:rPr>
                <w:b/>
                <w:sz w:val="20"/>
              </w:rPr>
              <w:t>ZAP baseline: VP/FP/FN</w:t>
            </w:r>
          </w:p>
        </w:tc>
        <w:tc>
          <w:tcPr>
            <w:tcW w:type="dxa" w:w="1881"/>
          </w:tcPr>
          <w:p>
            <w:pPr>
              <w:spacing w:line="240" w:lineRule="auto" w:after="0" w:before="0"/>
              <w:ind w:firstLine="0"/>
              <w:jc w:val="center"/>
            </w:pPr>
            <w:r>
              <w:rPr>
                <w:b/>
                <w:sz w:val="20"/>
              </w:rPr>
              <w:t>Precision/Recall/F1</w:t>
            </w:r>
          </w:p>
        </w:tc>
      </w:tr>
      <w:tr>
        <w:tc>
          <w:tcPr>
            <w:tcW w:type="dxa" w:w="1881"/>
          </w:tcPr>
          <w:p>
            <w:pPr>
              <w:spacing w:line="240" w:lineRule="auto" w:after="0" w:before="0"/>
              <w:ind w:firstLine="0"/>
              <w:jc w:val="left"/>
            </w:pPr>
            <w:r>
              <w:rPr>
                <w:sz w:val="20"/>
              </w:rPr>
              <w:t>Injeção de SQL (CWE-89)</w:t>
            </w:r>
          </w:p>
        </w:tc>
        <w:tc>
          <w:tcPr>
            <w:tcW w:type="dxa" w:w="1881"/>
          </w:tcPr>
          <w:p>
            <w:pPr>
              <w:spacing w:line="240" w:lineRule="auto" w:after="0" w:before="0"/>
              <w:ind w:firstLine="0"/>
              <w:jc w:val="left"/>
            </w:pPr>
            <w:r>
              <w:rPr>
                <w:sz w:val="20"/>
              </w:rPr>
              <w:t>—</w:t>
            </w:r>
          </w:p>
        </w:tc>
        <w:tc>
          <w:tcPr>
            <w:tcW w:type="dxa" w:w="1881"/>
          </w:tcPr>
          <w:p>
            <w:pPr>
              <w:spacing w:line="240" w:lineRule="auto" w:after="0" w:before="0"/>
              <w:ind w:firstLine="0"/>
              <w:jc w:val="left"/>
            </w:pPr>
            <w:r>
              <w:rPr>
                <w:sz w:val="20"/>
              </w:rPr>
              <w:t>—</w:t>
            </w:r>
          </w:p>
        </w:tc>
        <w:tc>
          <w:tcPr>
            <w:tcW w:type="dxa" w:w="1881"/>
          </w:tcPr>
          <w:p>
            <w:pPr>
              <w:spacing w:line="240" w:lineRule="auto" w:after="0" w:before="0"/>
              <w:ind w:firstLine="0"/>
              <w:jc w:val="left"/>
            </w:pPr>
            <w:r>
              <w:rPr>
                <w:sz w:val="20"/>
              </w:rPr>
              <w:t>—</w:t>
            </w:r>
          </w:p>
        </w:tc>
        <w:tc>
          <w:tcPr>
            <w:tcW w:type="dxa" w:w="1881"/>
          </w:tcPr>
          <w:p>
            <w:pPr>
              <w:spacing w:line="240" w:lineRule="auto" w:after="0" w:before="0"/>
              <w:ind w:firstLine="0"/>
              <w:jc w:val="left"/>
            </w:pPr>
            <w:r>
              <w:rPr>
                <w:sz w:val="20"/>
              </w:rPr>
              <w:t>—</w:t>
            </w:r>
          </w:p>
        </w:tc>
      </w:tr>
      <w:tr>
        <w:tc>
          <w:tcPr>
            <w:tcW w:type="dxa" w:w="1881"/>
          </w:tcPr>
          <w:p>
            <w:pPr>
              <w:spacing w:line="240" w:lineRule="auto" w:after="0" w:before="0"/>
              <w:ind w:firstLine="0"/>
              <w:jc w:val="left"/>
            </w:pPr>
            <w:r>
              <w:rPr>
                <w:sz w:val="20"/>
              </w:rPr>
              <w:t>XSS refletido (CWE-79)</w:t>
            </w:r>
          </w:p>
        </w:tc>
        <w:tc>
          <w:tcPr>
            <w:tcW w:type="dxa" w:w="1881"/>
          </w:tcPr>
          <w:p>
            <w:pPr>
              <w:spacing w:line="240" w:lineRule="auto" w:after="0" w:before="0"/>
              <w:ind w:firstLine="0"/>
              <w:jc w:val="left"/>
            </w:pPr>
            <w:r>
              <w:rPr>
                <w:sz w:val="20"/>
              </w:rPr>
              <w:t>—</w:t>
            </w:r>
          </w:p>
        </w:tc>
        <w:tc>
          <w:tcPr>
            <w:tcW w:type="dxa" w:w="1881"/>
          </w:tcPr>
          <w:p>
            <w:pPr>
              <w:spacing w:line="240" w:lineRule="auto" w:after="0" w:before="0"/>
              <w:ind w:firstLine="0"/>
              <w:jc w:val="left"/>
            </w:pPr>
            <w:r>
              <w:rPr>
                <w:sz w:val="20"/>
              </w:rPr>
              <w:t>—</w:t>
            </w:r>
          </w:p>
        </w:tc>
        <w:tc>
          <w:tcPr>
            <w:tcW w:type="dxa" w:w="1881"/>
          </w:tcPr>
          <w:p>
            <w:pPr>
              <w:spacing w:line="240" w:lineRule="auto" w:after="0" w:before="0"/>
              <w:ind w:firstLine="0"/>
              <w:jc w:val="left"/>
            </w:pPr>
            <w:r>
              <w:rPr>
                <w:sz w:val="20"/>
              </w:rPr>
              <w:t>—</w:t>
            </w:r>
          </w:p>
        </w:tc>
        <w:tc>
          <w:tcPr>
            <w:tcW w:type="dxa" w:w="1881"/>
          </w:tcPr>
          <w:p>
            <w:pPr>
              <w:spacing w:line="240" w:lineRule="auto" w:after="0" w:before="0"/>
              <w:ind w:firstLine="0"/>
              <w:jc w:val="left"/>
            </w:pPr>
            <w:r>
              <w:rPr>
                <w:sz w:val="20"/>
              </w:rPr>
              <w:t>—</w:t>
            </w:r>
          </w:p>
        </w:tc>
      </w:tr>
      <w:tr>
        <w:tc>
          <w:tcPr>
            <w:tcW w:type="dxa" w:w="1881"/>
          </w:tcPr>
          <w:p>
            <w:pPr>
              <w:spacing w:line="240" w:lineRule="auto" w:after="0" w:before="0"/>
              <w:ind w:firstLine="0"/>
              <w:jc w:val="left"/>
            </w:pPr>
            <w:r>
              <w:rPr>
                <w:sz w:val="20"/>
              </w:rPr>
              <w:t>Travessia de diretório (CWE-22)</w:t>
            </w:r>
          </w:p>
        </w:tc>
        <w:tc>
          <w:tcPr>
            <w:tcW w:type="dxa" w:w="1881"/>
          </w:tcPr>
          <w:p>
            <w:pPr>
              <w:spacing w:line="240" w:lineRule="auto" w:after="0" w:before="0"/>
              <w:ind w:firstLine="0"/>
              <w:jc w:val="left"/>
            </w:pPr>
            <w:r>
              <w:rPr>
                <w:sz w:val="20"/>
              </w:rPr>
              <w:t>—</w:t>
            </w:r>
          </w:p>
        </w:tc>
        <w:tc>
          <w:tcPr>
            <w:tcW w:type="dxa" w:w="1881"/>
          </w:tcPr>
          <w:p>
            <w:pPr>
              <w:spacing w:line="240" w:lineRule="auto" w:after="0" w:before="0"/>
              <w:ind w:firstLine="0"/>
              <w:jc w:val="left"/>
            </w:pPr>
            <w:r>
              <w:rPr>
                <w:sz w:val="20"/>
              </w:rPr>
              <w:t>—</w:t>
            </w:r>
          </w:p>
        </w:tc>
        <w:tc>
          <w:tcPr>
            <w:tcW w:type="dxa" w:w="1881"/>
          </w:tcPr>
          <w:p>
            <w:pPr>
              <w:spacing w:line="240" w:lineRule="auto" w:after="0" w:before="0"/>
              <w:ind w:firstLine="0"/>
              <w:jc w:val="left"/>
            </w:pPr>
            <w:r>
              <w:rPr>
                <w:sz w:val="20"/>
              </w:rPr>
              <w:t>—</w:t>
            </w:r>
          </w:p>
        </w:tc>
        <w:tc>
          <w:tcPr>
            <w:tcW w:type="dxa" w:w="1881"/>
          </w:tcPr>
          <w:p>
            <w:pPr>
              <w:spacing w:line="240" w:lineRule="auto" w:after="0" w:before="0"/>
              <w:ind w:firstLine="0"/>
              <w:jc w:val="left"/>
            </w:pPr>
            <w:r>
              <w:rPr>
                <w:sz w:val="20"/>
              </w:rPr>
              <w:t>—</w:t>
            </w:r>
          </w:p>
        </w:tc>
      </w:tr>
      <w:tr>
        <w:tc>
          <w:tcPr>
            <w:tcW w:type="dxa" w:w="1881"/>
          </w:tcPr>
          <w:p>
            <w:pPr>
              <w:spacing w:line="240" w:lineRule="auto" w:after="0" w:before="0"/>
              <w:ind w:firstLine="0"/>
              <w:jc w:val="left"/>
            </w:pPr>
            <w:r>
              <w:rPr>
                <w:sz w:val="20"/>
              </w:rPr>
              <w:t>...</w:t>
            </w:r>
          </w:p>
        </w:tc>
        <w:tc>
          <w:tcPr>
            <w:tcW w:type="dxa" w:w="1881"/>
          </w:tcPr>
          <w:p>
            <w:pPr>
              <w:spacing w:line="240" w:lineRule="auto" w:after="0" w:before="0"/>
              <w:ind w:firstLine="0"/>
              <w:jc w:val="left"/>
            </w:pPr>
            <w:r>
              <w:rPr>
                <w:sz w:val="20"/>
              </w:rPr>
              <w:t>—</w:t>
            </w:r>
          </w:p>
        </w:tc>
        <w:tc>
          <w:tcPr>
            <w:tcW w:type="dxa" w:w="1881"/>
          </w:tcPr>
          <w:p>
            <w:pPr>
              <w:spacing w:line="240" w:lineRule="auto" w:after="0" w:before="0"/>
              <w:ind w:firstLine="0"/>
              <w:jc w:val="left"/>
            </w:pPr>
            <w:r>
              <w:rPr>
                <w:sz w:val="20"/>
              </w:rPr>
              <w:t>—</w:t>
            </w:r>
          </w:p>
        </w:tc>
        <w:tc>
          <w:tcPr>
            <w:tcW w:type="dxa" w:w="1881"/>
          </w:tcPr>
          <w:p>
            <w:pPr>
              <w:spacing w:line="240" w:lineRule="auto" w:after="0" w:before="0"/>
              <w:ind w:firstLine="0"/>
              <w:jc w:val="left"/>
            </w:pPr>
            <w:r>
              <w:rPr>
                <w:sz w:val="20"/>
              </w:rPr>
              <w:t>—</w:t>
            </w:r>
          </w:p>
        </w:tc>
        <w:tc>
          <w:tcPr>
            <w:tcW w:type="dxa" w:w="1881"/>
          </w:tcPr>
          <w:p>
            <w:pPr>
              <w:spacing w:line="240" w:lineRule="auto" w:after="0" w:before="0"/>
              <w:ind w:firstLine="0"/>
              <w:jc w:val="left"/>
            </w:pPr>
            <w:r>
              <w:rPr>
                <w:sz w:val="20"/>
              </w:rPr>
              <w:t>—</w:t>
            </w:r>
          </w:p>
        </w:tc>
      </w:tr>
    </w:tbl>
    <w:p>
      <w:pPr>
        <w:spacing w:line="360" w:lineRule="auto" w:after="0" w:before="0"/>
        <w:ind w:firstLine="709"/>
        <w:jc w:val="both"/>
      </w:pPr>
      <w:r>
        <w:t>Fonte: o autor (2026).</w:t>
      </w:r>
    </w:p>
    <w:p>
      <w:pPr>
        <w:spacing w:line="360" w:lineRule="auto" w:after="120" w:before="240"/>
        <w:ind w:firstLine="0"/>
        <w:jc w:val="left"/>
      </w:pPr>
      <w:r>
        <w:rPr>
          <w:b/>
          <w:color w:val="000000"/>
          <w:sz w:val="24"/>
        </w:rPr>
        <w:t>5.4 Ameaças à validade e limitações</w:t>
      </w:r>
    </w:p>
    <w:p>
      <w:pPr>
        <w:spacing w:line="360" w:lineRule="auto" w:after="0" w:before="0"/>
        <w:ind w:firstLine="709"/>
        <w:jc w:val="both"/>
      </w:pPr>
      <w:r>
        <w:t xml:space="preserve">Reconhecem-se as seguintes limitações. </w:t>
      </w:r>
      <w:r>
        <w:rPr>
          <w:b/>
        </w:rPr>
        <w:t>De construção:</w:t>
      </w:r>
      <w:r>
        <w:t xml:space="preserve"> o esquema de pontuação é uma heurística de comparação, não uma medida absoluta de segurança. </w:t>
      </w:r>
      <w:r>
        <w:rPr>
          <w:b/>
        </w:rPr>
        <w:t>De cobertura:</w:t>
      </w:r>
      <w:r>
        <w:t xml:space="preserve"> o conjunto de verificações é finito e não detecta todas as classes de vulnerabilidade; falhas de lógica de negócio e vulnerabilidades que dependem de estado autenticado complexo estão além do alcance de um scanner black-box, conforme já demonstrado por Doupé, Cova e Vigna (2010). </w:t>
      </w:r>
      <w:r>
        <w:rPr>
          <w:b/>
        </w:rPr>
        <w:t>De avaliação:</w:t>
      </w:r>
      <w:r>
        <w:t xml:space="preserve"> como discutido, a eficácia em alvos reais ainda não foi medida (Seção 5.3). </w:t>
      </w:r>
      <w:r>
        <w:rPr>
          <w:b/>
        </w:rPr>
        <w:t>De generalização:</w:t>
      </w:r>
      <w:r>
        <w:t xml:space="preserve"> os testes automatizados usam alvos controlados construídos pelo próprio autor, o que exige a avaliação independente proposta para mitigar viés. Essas limitações não invalidam a contribuição, mas delimitam com precisão o alcance das conclusões — postura que a própria literatura de scanners recomenda como antídoto ao exagero de capacidade (BAU et al., 2010).</w:t>
      </w:r>
    </w:p>
    <w:p>
      <w:pPr>
        <w:spacing w:line="360" w:lineRule="auto" w:after="120" w:before="240"/>
        <w:ind w:firstLine="0"/>
        <w:jc w:val="left"/>
      </w:pPr>
      <w:r>
        <w:rPr>
          <w:b/>
          <w:color w:val="000000"/>
          <w:sz w:val="24"/>
        </w:rPr>
        <w:t>6 CONSIDERAÇÕES FINAIS</w:t>
      </w:r>
    </w:p>
    <w:p>
      <w:pPr>
        <w:spacing w:line="360" w:lineRule="auto" w:after="0" w:before="0"/>
        <w:ind w:firstLine="709"/>
        <w:jc w:val="both"/>
      </w:pPr>
      <w:r>
        <w:t xml:space="preserve">Este trabalho partiu de um problema concreto e recorrente — equipes de desenvolvimento sem apoio especializado em segurança, verificando suas aplicações de forma tardia e pontual — e de uma lacuna reconhecida na literatura: a distância entre a capacidade de </w:t>
      </w:r>
      <w:r>
        <w:rPr>
          <w:i/>
        </w:rPr>
        <w:t>detectar</w:t>
      </w:r>
      <w:r>
        <w:t xml:space="preserve"> vulnerabilidades e a capacidade de o desenvolvedor </w:t>
      </w:r>
      <w:r>
        <w:rPr>
          <w:i/>
        </w:rPr>
        <w:t>agir</w:t>
      </w:r>
      <w:r>
        <w:t xml:space="preserve"> sobre elas. A resposta construída, o SentinelScope, é uma plataforma DAST de apoio, não destrutiva, que ancora seus achados em taxonomias consolidadas (OWASP Top 10, CWE, WSTG), separa explicitamente severidade de confiança, reduz ruído por normalização e verificação de estabilidade, e — sobretudo — apresenta cada achado em uma camada de explicabilidade orientada à correção.</w:t>
      </w:r>
    </w:p>
    <w:p>
      <w:pPr>
        <w:spacing w:line="360" w:lineRule="auto" w:after="0" w:before="0"/>
        <w:ind w:firstLine="709"/>
        <w:jc w:val="both"/>
      </w:pPr>
      <w:r>
        <w:t>Os objetivos específicos foram atendidos: levantou-se e organizou-se um conjunto de 34 verificações passivas e 13 famílias de verificações ativas seguras ancoradas em padrões; projetou-se uma arquitetura em camadas extensível e com salvaguardas; implementou-se o modelo de confiança separado da severidade; construiu-se a camada de explicabilidade em três níveis, com exemplos de código de correção; e verificou-se o comportamento por uma suíte de 94 testes automatizados em Python (mais 40 verificações PHP) aprovados contra fixtures vulneráveis e seguros. O objetivo geral — uma avaliação de segurança automatizada, não destrutiva e compreensível pelo desenvolvedor — foi demonstrado como tecnicamente viável no escopo acadêmico.</w:t>
      </w:r>
    </w:p>
    <w:p>
      <w:pPr>
        <w:spacing w:line="360" w:lineRule="auto" w:after="0" w:before="0"/>
        <w:ind w:firstLine="709"/>
        <w:jc w:val="both"/>
      </w:pPr>
      <w:r>
        <w:t xml:space="preserve">A principal contribuição não está em detectar mais do que as ferramentas existentes, mas em </w:t>
      </w:r>
      <w:r>
        <w:rPr>
          <w:b/>
        </w:rPr>
        <w:t>comunicar melhor</w:t>
      </w:r>
      <w:r>
        <w:t xml:space="preserve"> o que se detecta, atacando a barreira de usabilidade que a literatura identifica como causa central da subutilização das ferramentas de segurança (JOHNSON et al., 2013; GREEN; SMITH, 2016). Reforçando essa contribuição, a camada de explicabilidade foi ampliada com exemplos de código "vulnerável → corrigido" por verificação (Seção 4.6), a varredura passou a alcançar áreas autenticadas por meio de cabeçalhos de sessão (Seção 4.7) e o teste de parâmetros passou a cobrir campos de formulário via POST nos detectores de maior valor (Seção 4.3). Como continuidade, destacam-se: (i) a execução da avaliação empírica comparativa proposta na Seção 5.3, com métricas de </w:t>
      </w:r>
      <w:r>
        <w:rPr>
          <w:i/>
        </w:rPr>
        <w:t>precision/recall/F1</w:t>
      </w:r>
      <w:r>
        <w:t xml:space="preserve"> contra alvos de referência e uma baseline de mercado; (ii) a extensão do teste via POST aos demais detectores ativos; (iii) a automação de sequências de </w:t>
      </w:r>
      <w:r>
        <w:rPr>
          <w:i/>
        </w:rPr>
        <w:t>login</w:t>
      </w:r>
      <w:r>
        <w:t xml:space="preserve"> (formulário e OAuth) além do cabeçalho de sessão já suportado; e (iv) a introdução de autenticação e controle de acesso por papéis para uso multiusuário da própria ferramenta. Conclui-se que o tema é relevante, plausível e viável como trabalho de conclusão de curso, e que o artefato produzido oferece base sólida tanto para a defesa acadêmica quanto para evolução prática.</w:t>
      </w:r>
    </w:p>
    <w:p>
      <w:pPr>
        <w:spacing w:line="360" w:lineRule="auto" w:after="120" w:before="240"/>
        <w:ind w:firstLine="0"/>
        <w:jc w:val="left"/>
      </w:pPr>
      <w:r>
        <w:rPr>
          <w:b/>
          <w:color w:val="000000"/>
          <w:sz w:val="24"/>
        </w:rPr>
        <w:t>REFERÊNCIAS</w:t>
      </w:r>
    </w:p>
    <w:p>
      <w:pPr>
        <w:spacing w:line="240" w:lineRule="auto" w:after="240" w:before="0"/>
        <w:ind w:firstLine="0"/>
        <w:jc w:val="left"/>
      </w:pPr>
      <w:r>
        <w:t xml:space="preserve">ACAR, Yasemin et al. You Get Where You're Looking For: The Impact of Information Sources on Code Security. In: IEEE SYMPOSIUM ON SECURITY AND PRIVACY (S&amp;P), 2016, San Jose. </w:t>
      </w:r>
      <w:r>
        <w:rPr>
          <w:b/>
        </w:rPr>
        <w:t>Proceedings</w:t>
      </w:r>
      <w:r>
        <w:t xml:space="preserve"> [...]. Los Alamitos: IEEE, 2016. p. 289-305.</w:t>
      </w:r>
    </w:p>
    <w:p>
      <w:pPr>
        <w:spacing w:line="240" w:lineRule="auto" w:after="240" w:before="0"/>
        <w:ind w:firstLine="0"/>
        <w:jc w:val="left"/>
      </w:pPr>
      <w:r>
        <w:t xml:space="preserve">ANTUNES, Nuno; VIEIRA, Marco. Benchmarking Vulnerability Detection Tools for Web Services. In: IEEE INTERNATIONAL CONFERENCE ON WEB SERVICES (ICWS), 2010, Miami. </w:t>
      </w:r>
      <w:r>
        <w:rPr>
          <w:b/>
        </w:rPr>
        <w:t>Proceedings</w:t>
      </w:r>
      <w:r>
        <w:t xml:space="preserve"> [...]. Los Alamitos: IEEE, 2010. p. 203-210.</w:t>
      </w:r>
    </w:p>
    <w:p>
      <w:pPr>
        <w:spacing w:line="240" w:lineRule="auto" w:after="240" w:before="0"/>
        <w:ind w:firstLine="0"/>
        <w:jc w:val="left"/>
      </w:pPr>
      <w:r>
        <w:t xml:space="preserve">ASSOCIAÇÃO BRASILEIRA DE NORMAS TÉCNICAS. </w:t>
      </w:r>
      <w:r>
        <w:rPr>
          <w:b/>
        </w:rPr>
        <w:t>NBR 6022</w:t>
      </w:r>
      <w:r>
        <w:t>: informação e documentação: artigo em publicação periódica técnica e/ou científica: apresentação. Rio de Janeiro: ABNT, 2018.</w:t>
      </w:r>
    </w:p>
    <w:p>
      <w:pPr>
        <w:spacing w:line="240" w:lineRule="auto" w:after="240" w:before="0"/>
        <w:ind w:firstLine="0"/>
        <w:jc w:val="left"/>
      </w:pPr>
      <w:r>
        <w:t xml:space="preserve">ASSOCIAÇÃO BRASILEIRA DE NORMAS TÉCNICAS. </w:t>
      </w:r>
      <w:r>
        <w:rPr>
          <w:b/>
        </w:rPr>
        <w:t>NBR 6023</w:t>
      </w:r>
      <w:r>
        <w:t>: informação e documentação: referências: elaboração. Rio de Janeiro: ABNT, 2018.</w:t>
      </w:r>
    </w:p>
    <w:p>
      <w:pPr>
        <w:spacing w:line="240" w:lineRule="auto" w:after="240" w:before="0"/>
        <w:ind w:firstLine="0"/>
        <w:jc w:val="left"/>
      </w:pPr>
      <w:r>
        <w:t xml:space="preserve">ASSOCIAÇÃO BRASILEIRA DE NORMAS TÉCNICAS. </w:t>
      </w:r>
      <w:r>
        <w:rPr>
          <w:b/>
        </w:rPr>
        <w:t>NBR 10520</w:t>
      </w:r>
      <w:r>
        <w:t>: informação e documentação: citações em documentos: apresentação. Rio de Janeiro: ABNT, 2023.</w:t>
      </w:r>
    </w:p>
    <w:p>
      <w:pPr>
        <w:spacing w:line="240" w:lineRule="auto" w:after="240" w:before="0"/>
        <w:ind w:firstLine="0"/>
        <w:jc w:val="left"/>
      </w:pPr>
      <w:r>
        <w:t xml:space="preserve">ASSOCIAÇÃO BRASILEIRA DE NORMAS TÉCNICAS. </w:t>
      </w:r>
      <w:r>
        <w:rPr>
          <w:b/>
        </w:rPr>
        <w:t>NBR 14724</w:t>
      </w:r>
      <w:r>
        <w:t>: informação e documentação: trabalhos acadêmicos: apresentação. Rio de Janeiro: ABNT, 2011.</w:t>
      </w:r>
    </w:p>
    <w:p>
      <w:pPr>
        <w:spacing w:line="240" w:lineRule="auto" w:after="240" w:before="0"/>
        <w:ind w:firstLine="0"/>
        <w:jc w:val="left"/>
      </w:pPr>
      <w:r>
        <w:t xml:space="preserve">BAU, Jason et al. State of the Art: Automated Black-Box Web Application Vulnerability Testing. In: IEEE SYMPOSIUM ON SECURITY AND PRIVACY (S&amp;P), 2010, Oakland. </w:t>
      </w:r>
      <w:r>
        <w:rPr>
          <w:b/>
        </w:rPr>
        <w:t>Proceedings</w:t>
      </w:r>
      <w:r>
        <w:t xml:space="preserve"> [...]. Los Alamitos: IEEE, 2010. p. 332-345.</w:t>
      </w:r>
    </w:p>
    <w:p>
      <w:pPr>
        <w:spacing w:line="240" w:lineRule="auto" w:after="240" w:before="0"/>
        <w:ind w:firstLine="0"/>
        <w:jc w:val="left"/>
      </w:pPr>
      <w:r>
        <w:t xml:space="preserve">BESSEY, Al et al. A few billion lines of code later: using static analysis to find bugs in the real world. </w:t>
      </w:r>
      <w:r>
        <w:rPr>
          <w:b/>
        </w:rPr>
        <w:t>Communications of the ACM</w:t>
      </w:r>
      <w:r>
        <w:t>, New York, v. 53, n. 2, p. 66-75, 2010.</w:t>
      </w:r>
    </w:p>
    <w:p>
      <w:pPr>
        <w:spacing w:line="240" w:lineRule="auto" w:after="240" w:before="0"/>
        <w:ind w:firstLine="0"/>
        <w:jc w:val="left"/>
      </w:pPr>
      <w:r>
        <w:t xml:space="preserve">BOEHM, Barry W. </w:t>
      </w:r>
      <w:r>
        <w:rPr>
          <w:b/>
        </w:rPr>
        <w:t>Software Engineering Economics</w:t>
      </w:r>
      <w:r>
        <w:t>. Englewood Cliffs: Prentice-Hall, 1981.</w:t>
      </w:r>
    </w:p>
    <w:p>
      <w:pPr>
        <w:spacing w:line="240" w:lineRule="auto" w:after="240" w:before="0"/>
        <w:ind w:firstLine="0"/>
        <w:jc w:val="left"/>
      </w:pPr>
      <w:r>
        <w:t xml:space="preserve">DOUPÉ, Adam; COVA, Marco; VIGNA, Giovanni. Why Johnny Can't Pentest: An Analysis of Black-Box Web Vulnerability Scanners. In: INTERNATIONAL CONFERENCE ON DETECTION OF INTRUSIONS AND MALWARE, AND VULNERABILITY ASSESSMENT (DIMVA), 7., 2010, Bonn. </w:t>
      </w:r>
      <w:r>
        <w:rPr>
          <w:b/>
        </w:rPr>
        <w:t>Proceedings</w:t>
      </w:r>
      <w:r>
        <w:t xml:space="preserve"> [...]. Berlin: Springer, 2010. p. 111-131.</w:t>
      </w:r>
    </w:p>
    <w:p>
      <w:pPr>
        <w:spacing w:line="240" w:lineRule="auto" w:after="240" w:before="0"/>
        <w:ind w:firstLine="0"/>
        <w:jc w:val="left"/>
      </w:pPr>
      <w:r>
        <w:t xml:space="preserve">FIRST — FORUM OF INCIDENT RESPONSE AND SECURITY TEAMS. </w:t>
      </w:r>
      <w:r>
        <w:rPr>
          <w:b/>
        </w:rPr>
        <w:t>Common Vulnerability Scoring System version 3.1</w:t>
      </w:r>
      <w:r>
        <w:t>: specification document. [S. l.]: FIRST, 2019. Disponível em: https://www.first.org/cvss/. Acesso em: 8 set. 2026.</w:t>
      </w:r>
    </w:p>
    <w:p>
      <w:pPr>
        <w:spacing w:line="240" w:lineRule="auto" w:after="240" w:before="0"/>
        <w:ind w:firstLine="0"/>
        <w:jc w:val="left"/>
      </w:pPr>
      <w:r>
        <w:t xml:space="preserve">FONSECA, José; VIEIRA, Marco; MADEIRA, Henrique. Testing and Comparing Web Vulnerability Scanning Tools for SQL Injection and XSS Attacks. In: IEEE PACIFIC RIM INTERNATIONAL SYMPOSIUM ON DEPENDABLE COMPUTING (PRDC), 13., 2007, Melbourne. </w:t>
      </w:r>
      <w:r>
        <w:rPr>
          <w:b/>
        </w:rPr>
        <w:t>Proceedings</w:t>
      </w:r>
      <w:r>
        <w:t xml:space="preserve"> [...]. Los Alamitos: IEEE, 2007. p. 365-372.</w:t>
      </w:r>
    </w:p>
    <w:p>
      <w:pPr>
        <w:spacing w:line="240" w:lineRule="auto" w:after="240" w:before="0"/>
        <w:ind w:firstLine="0"/>
        <w:jc w:val="left"/>
      </w:pPr>
      <w:r>
        <w:t xml:space="preserve">GREEN, Matthew; SMITH, Matthew. Developers are Not the Enemy!: The Need for Usable Security APIs. </w:t>
      </w:r>
      <w:r>
        <w:rPr>
          <w:b/>
        </w:rPr>
        <w:t>IEEE Security &amp; Privacy</w:t>
      </w:r>
      <w:r>
        <w:t>, Los Alamitos, v. 14, n. 5, p. 40-46, 2016.</w:t>
      </w:r>
    </w:p>
    <w:p>
      <w:pPr>
        <w:spacing w:line="240" w:lineRule="auto" w:after="240" w:before="0"/>
        <w:ind w:firstLine="0"/>
        <w:jc w:val="left"/>
      </w:pPr>
      <w:r>
        <w:t xml:space="preserve">JOHNSON, Brittany et al. Why don't software developers use static analysis tools to find bugs? In: INTERNATIONAL CONFERENCE ON SOFTWARE ENGINEERING (ICSE), 35., 2013, San Francisco. </w:t>
      </w:r>
      <w:r>
        <w:rPr>
          <w:b/>
        </w:rPr>
        <w:t>Proceedings</w:t>
      </w:r>
      <w:r>
        <w:t xml:space="preserve"> [...]. Piscataway: IEEE, 2013. p. 672-681.</w:t>
      </w:r>
    </w:p>
    <w:p>
      <w:pPr>
        <w:spacing w:line="240" w:lineRule="auto" w:after="240" w:before="0"/>
        <w:ind w:firstLine="0"/>
        <w:jc w:val="left"/>
      </w:pPr>
      <w:r>
        <w:t xml:space="preserve">McGRAW, Gary. </w:t>
      </w:r>
      <w:r>
        <w:rPr>
          <w:b/>
        </w:rPr>
        <w:t>Software Security</w:t>
      </w:r>
      <w:r>
        <w:t>: Building Security In. Boston: Addison-Wesley, 2006.</w:t>
      </w:r>
    </w:p>
    <w:p>
      <w:pPr>
        <w:spacing w:line="240" w:lineRule="auto" w:after="240" w:before="0"/>
        <w:ind w:firstLine="0"/>
        <w:jc w:val="left"/>
      </w:pPr>
      <w:r>
        <w:t xml:space="preserve">MITRE CORPORATION. </w:t>
      </w:r>
      <w:r>
        <w:rPr>
          <w:b/>
        </w:rPr>
        <w:t>CWE — Common Weakness Enumeration</w:t>
      </w:r>
      <w:r>
        <w:t>. [S. l.], 2024. Disponível em: https://cwe.mitre.org/. Acesso em: 8 set. 2026.</w:t>
      </w:r>
    </w:p>
    <w:p>
      <w:pPr>
        <w:spacing w:line="240" w:lineRule="auto" w:after="240" w:before="0"/>
        <w:ind w:firstLine="0"/>
        <w:jc w:val="left"/>
      </w:pPr>
      <w:r>
        <w:t xml:space="preserve">OWASP FOUNDATION. </w:t>
      </w:r>
      <w:r>
        <w:rPr>
          <w:b/>
        </w:rPr>
        <w:t>OWASP Top 10 — 2021</w:t>
      </w:r>
      <w:r>
        <w:t>: The Ten Most Critical Web Application Security Risks. [S. l.]: OWASP, 2021. Disponível em: https://owasp.org/Top10/. Acesso em: 8 set. 2026.</w:t>
      </w:r>
    </w:p>
    <w:p>
      <w:pPr>
        <w:spacing w:line="240" w:lineRule="auto" w:after="240" w:before="0"/>
        <w:ind w:firstLine="0"/>
        <w:jc w:val="left"/>
      </w:pPr>
      <w:r>
        <w:t xml:space="preserve">OWASP FOUNDATION. </w:t>
      </w:r>
      <w:r>
        <w:rPr>
          <w:b/>
        </w:rPr>
        <w:t>Web Security Testing Guide (WSTG) v4.2</w:t>
      </w:r>
      <w:r>
        <w:t>. [S. l.]: OWASP, 2020. Disponível em: https://owasp.org/www-project-web-security-testing-guide/. Acesso em: 8 set. 2026.</w:t>
      </w:r>
    </w:p>
    <w:p>
      <w:pPr>
        <w:spacing w:line="240" w:lineRule="auto" w:after="240" w:before="0"/>
        <w:ind w:firstLine="0"/>
        <w:jc w:val="left"/>
      </w:pPr>
      <w:r>
        <w:t xml:space="preserve">OWASP FOUNDATION. </w:t>
      </w:r>
      <w:r>
        <w:rPr>
          <w:b/>
        </w:rPr>
        <w:t>OWASP ZAP — Zed Attack Proxy</w:t>
      </w:r>
      <w:r>
        <w:t>. [S. l.]: OWASP. Disponível em: https://www.zaproxy.org/. Acesso em: 8 set. 2026.</w:t>
      </w:r>
    </w:p>
    <w:p>
      <w:pPr>
        <w:spacing w:line="240" w:lineRule="auto" w:after="240" w:before="0"/>
        <w:ind w:firstLine="0"/>
        <w:jc w:val="left"/>
      </w:pPr>
      <w:r>
        <w:t xml:space="preserve">SCARFONE, Karen et al. </w:t>
      </w:r>
      <w:r>
        <w:rPr>
          <w:b/>
        </w:rPr>
        <w:t>Technical Guide to Information Security Testing and Assessment</w:t>
      </w:r>
      <w:r>
        <w:t>: NIST Special Publication 800-115. Gaithersburg: National Institute of Standards and Technology, 2008.</w:t>
      </w:r>
    </w:p>
    <w:p>
      <w:pPr>
        <w:spacing w:line="240" w:lineRule="auto" w:after="240" w:before="0"/>
        <w:ind w:firstLine="0"/>
        <w:jc w:val="left"/>
      </w:pPr>
      <w:r>
        <w:t xml:space="preserve">SHOSTACK, Adam. </w:t>
      </w:r>
      <w:r>
        <w:rPr>
          <w:b/>
        </w:rPr>
        <w:t>Threat Modeling</w:t>
      </w:r>
      <w:r>
        <w:t>: Designing for Security. Indianapolis: Wiley, 2014.</w:t>
      </w:r>
    </w:p>
    <w:p>
      <w:pPr>
        <w:spacing w:line="240" w:lineRule="auto" w:after="240" w:before="0"/>
        <w:ind w:firstLine="0"/>
        <w:jc w:val="left"/>
      </w:pPr>
      <w:r>
        <w:t xml:space="preserve">SMITH, Justin et al. Questions developers ask while diagnosing potential security vulnerabilities with static analysis. In: JOINT MEETING ON FOUNDATIONS OF SOFTWARE ENGINEERING (ESEC/FSE), 10., 2015, Bergamo. </w:t>
      </w:r>
      <w:r>
        <w:rPr>
          <w:b/>
        </w:rPr>
        <w:t>Proceedings</w:t>
      </w:r>
      <w:r>
        <w:t xml:space="preserve"> [...]. New York: ACM, 2015. p. 248-259.</w:t>
      </w:r>
    </w:p>
    <w:p>
      <w:pPr>
        <w:spacing w:line="240" w:lineRule="auto" w:after="240" w:before="0"/>
        <w:ind w:firstLine="0"/>
        <w:jc w:val="left"/>
      </w:pPr>
      <w:r>
        <w:t xml:space="preserve">VIEGA, John; McGRAW, Gary. </w:t>
      </w:r>
      <w:r>
        <w:rPr>
          <w:b/>
        </w:rPr>
        <w:t>Building Secure Software</w:t>
      </w:r>
      <w:r>
        <w:t>: How to Avoid Security Problems the Right Way. Boston: Addison-Wesley, 2001.</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