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PingFang SC" w:hAnsi="PingFang SC" w:eastAsia="PingFang SC"/>
          <w:b/>
          <w:color w:val="17201F"/>
          <w:sz w:val="52"/>
        </w:rPr>
        <w:t>Evidra</w:t>
      </w:r>
    </w:p>
    <w:p>
      <w:pPr>
        <w:jc w:val="center"/>
      </w:pPr>
      <w:r>
        <w:rPr>
          <w:rFonts w:ascii="PingFang SC" w:hAnsi="PingFang SC" w:eastAsia="PingFang SC"/>
          <w:b/>
          <w:color w:val="0F766E"/>
          <w:sz w:val="30"/>
        </w:rPr>
        <w:t>AI 内容可信度审查项目案例</w:t>
      </w:r>
    </w:p>
    <w:p>
      <w:pPr>
        <w:jc w:val="center"/>
      </w:pPr>
      <w:r>
        <w:rPr>
          <w:rFonts w:ascii="PingFang SC" w:hAnsi="PingFang SC" w:eastAsia="PingFang SC"/>
          <w:b w:val="0"/>
          <w:color w:val="5E6B6A"/>
          <w:sz w:val="21"/>
        </w:rPr>
        <w:t>作品集 / AI 产品岗位面试版</w:t>
      </w:r>
    </w:p>
    <w:p>
      <w:r>
        <w:br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6803"/>
      </w:tblGrid>
      <w:tr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5F3"/>
          </w:tcPr>
          <w:p>
            <w:r>
              <w:rPr>
                <w:rFonts w:ascii="PingFang SC" w:hAnsi="PingFang SC" w:eastAsia="PingFang SC"/>
                <w:b/>
                <w:color w:val="0F766E"/>
                <w:sz w:val="21"/>
              </w:rPr>
              <w:t>项目定位</w:t>
            </w:r>
          </w:p>
        </w:tc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sz w:val="21"/>
              </w:rPr>
              <w:t>面向内容团队的 AI 内容可信度审查工作台</w:t>
            </w:r>
          </w:p>
        </w:tc>
      </w:tr>
      <w:tr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5F3"/>
          </w:tcPr>
          <w:p>
            <w:r>
              <w:rPr>
                <w:rFonts w:ascii="PingFang SC" w:hAnsi="PingFang SC" w:eastAsia="PingFang SC"/>
                <w:b/>
                <w:color w:val="0F766E"/>
                <w:sz w:val="21"/>
              </w:rPr>
              <w:t>核心闭环</w:t>
            </w:r>
          </w:p>
        </w:tc>
        <w:tc>
          <w:tcPr>
            <w:tcW w:type="dxa" w:w="487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PingFang SC" w:hAnsi="PingFang SC" w:eastAsia="PingFang SC"/>
                <w:b w:val="0"/>
                <w:sz w:val="21"/>
              </w:rPr>
              <w:t>分析 -&gt; 编辑 -&gt; 复查</w:t>
            </w:r>
          </w:p>
        </w:tc>
      </w:tr>
    </w:tbl>
    <w:p>
      <w:pPr>
        <w:pStyle w:val="Heading1"/>
      </w:pPr>
      <w:r>
        <w:t>一、项目概述</w:t>
      </w:r>
    </w:p>
    <w:p>
      <w:pPr>
        <w:pStyle w:val="Heading2"/>
      </w:pPr>
      <w:r>
        <w:t>一句话介绍</w:t>
      </w:r>
    </w:p>
    <w:p>
      <w:r>
        <w:rPr>
          <w:rFonts w:ascii="PingFang SC" w:hAnsi="PingFang SC" w:eastAsia="PingFang SC"/>
          <w:b/>
          <w:color w:val="17201F"/>
        </w:rPr>
        <w:t>Evidra 是一个面向内容团队的 AI 内容可信度审查工作台：</w:t>
      </w:r>
      <w:r>
        <w:rPr>
          <w:rFonts w:ascii="PingFang SC" w:hAnsi="PingFang SC" w:eastAsia="PingFang SC"/>
          <w:b w:val="0"/>
        </w:rPr>
        <w:t>在内容发布前，将评分、读者问题、证据缺口与可执行的编辑建议组织成一份可复查报告。</w:t>
      </w:r>
    </w:p>
    <w:p>
      <w:pPr>
        <w:pStyle w:val="Heading2"/>
      </w:pPr>
      <w:r>
        <w:t>要解决的问题</w:t>
      </w:r>
    </w:p>
    <w:p>
      <w:r>
        <w:t>内容团队在发布前通常依赖人工经验检查文章是否讲清楚、有没有依据、能否回应读者问题。这个过程不稳定，也难以向编辑、客户或负责人说明“为什么要改”。</w:t>
      </w:r>
    </w:p>
    <w:p>
      <w:r>
        <w:t>Evidra 不承诺排名或自动改稿，而是让审查过程可追溯：</w:t>
      </w:r>
    </w:p>
    <w:p>
      <w:pPr>
        <w:pStyle w:val="ListBullet"/>
        <w:spacing w:after="80"/>
      </w:pPr>
      <w:r>
        <w:rPr>
          <w:rFonts w:ascii="PingFang SC" w:hAnsi="PingFang SC" w:eastAsia="PingFang SC"/>
          <w:b w:val="0"/>
          <w:sz w:val="21"/>
        </w:rPr>
        <w:t>用结构化维度评估内容的覆盖度、事实完整度、结构和时效性。</w:t>
      </w:r>
    </w:p>
    <w:p>
      <w:pPr>
        <w:pStyle w:val="ListBullet"/>
        <w:spacing w:after="80"/>
      </w:pPr>
      <w:r>
        <w:rPr>
          <w:rFonts w:ascii="PingFang SC" w:hAnsi="PingFang SC" w:eastAsia="PingFang SC"/>
          <w:b w:val="0"/>
          <w:sz w:val="21"/>
        </w:rPr>
        <w:t>预测读者会提出的关键问题。</w:t>
      </w:r>
    </w:p>
    <w:p>
      <w:pPr>
        <w:pStyle w:val="ListBullet"/>
        <w:spacing w:after="80"/>
      </w:pPr>
      <w:r>
        <w:rPr>
          <w:rFonts w:ascii="PingFang SC" w:hAnsi="PingFang SC" w:eastAsia="PingFang SC"/>
          <w:b w:val="0"/>
          <w:sz w:val="21"/>
        </w:rPr>
        <w:t>标出需要补证据或补充边界条件的内容。</w:t>
      </w:r>
    </w:p>
    <w:p>
      <w:pPr>
        <w:pStyle w:val="ListBullet"/>
        <w:spacing w:after="80"/>
      </w:pPr>
      <w:r>
        <w:rPr>
          <w:rFonts w:ascii="PingFang SC" w:hAnsi="PingFang SC" w:eastAsia="PingFang SC"/>
          <w:b w:val="0"/>
          <w:sz w:val="21"/>
        </w:rPr>
        <w:t>生成低风险的编辑提纲，帮助人工完成修改并复查。</w:t>
      </w:r>
    </w:p>
    <w:p>
      <w:pPr>
        <w:pStyle w:val="Heading1"/>
      </w:pPr>
      <w:r>
        <w:t>二、核心用户路径</w:t>
      </w:r>
    </w:p>
    <w:p>
      <w:r>
        <w:t>面试演示时，建议按以下顺序讲解产品闭环：</w:t>
      </w:r>
    </w:p>
    <w:p>
      <w:pPr>
        <w:pStyle w:val="ListNumber"/>
        <w:spacing w:after="100"/>
      </w:pPr>
      <w:r>
        <w:rPr>
          <w:rFonts w:ascii="PingFang SC" w:hAnsi="PingFang SC" w:eastAsia="PingFang SC"/>
          <w:b w:val="0"/>
          <w:sz w:val="21"/>
        </w:rPr>
        <w:t>进入“面试项目演示”，展示已认证工作区与邀请制 Beta 额度。</w:t>
      </w:r>
    </w:p>
    <w:p>
      <w:pPr>
        <w:pStyle w:val="ListNumber"/>
        <w:spacing w:after="100"/>
      </w:pPr>
      <w:r>
        <w:rPr>
          <w:rFonts w:ascii="PingFang SC" w:hAnsi="PingFang SC" w:eastAsia="PingFang SC"/>
          <w:b w:val="0"/>
          <w:sz w:val="21"/>
        </w:rPr>
        <w:t>打开一份已完成报告，先讲评分和“待处理项”。</w:t>
      </w:r>
    </w:p>
    <w:p>
      <w:pPr>
        <w:pStyle w:val="ListNumber"/>
        <w:spacing w:after="100"/>
      </w:pPr>
      <w:r>
        <w:rPr>
          <w:rFonts w:ascii="PingFang SC" w:hAnsi="PingFang SC" w:eastAsia="PingFang SC"/>
          <w:b w:val="0"/>
          <w:sz w:val="21"/>
        </w:rPr>
        <w:t>展开“读者问题”，说明产品不是泛化点评，而是把发布风险转换成需要被回答的问题。</w:t>
      </w:r>
    </w:p>
    <w:p>
      <w:pPr>
        <w:pStyle w:val="ListNumber"/>
        <w:spacing w:after="100"/>
      </w:pPr>
      <w:r>
        <w:rPr>
          <w:rFonts w:ascii="PingFang SC" w:hAnsi="PingFang SC" w:eastAsia="PingFang SC"/>
          <w:b w:val="0"/>
          <w:sz w:val="21"/>
        </w:rPr>
        <w:t>展开“Patch 建议”，说明建议只包含补充证据和调整结构，不会自动编造事实或直接替用户改稿。</w:t>
      </w:r>
    </w:p>
    <w:p>
      <w:pPr>
        <w:pStyle w:val="ListNumber"/>
        <w:spacing w:after="100"/>
      </w:pPr>
      <w:r>
        <w:rPr>
          <w:rFonts w:ascii="PingFang SC" w:hAnsi="PingFang SC" w:eastAsia="PingFang SC"/>
          <w:b w:val="0"/>
          <w:sz w:val="21"/>
        </w:rPr>
        <w:t>说明修改后可再次提交，形成“分析 -&gt; 编辑 -&gt; 复查”的内容质量闭环。</w:t>
      </w:r>
    </w:p>
    <w:p>
      <w:r>
        <w:rPr>
          <w:rFonts w:ascii="PingFang SC" w:hAnsi="PingFang SC" w:eastAsia="PingFang SC"/>
          <w:b/>
          <w:color w:val="0F766E"/>
        </w:rPr>
        <w:t>演示建议：</w:t>
      </w:r>
      <w:r>
        <w:rPr>
          <w:rFonts w:ascii="PingFang SC" w:hAnsi="PingFang SC" w:eastAsia="PingFang SC"/>
          <w:b w:val="0"/>
        </w:rPr>
        <w:t>使用一篇 800 至 1,500 字、有明确事实或案例的中文文章。短文本只适合功能冒烟，不适合证明产品价值。</w:t>
      </w:r>
    </w:p>
    <w:p>
      <w:pPr>
        <w:pStyle w:val="Heading1"/>
      </w:pPr>
      <w:r>
        <w:t>三、产品设计要点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fill="0F766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产品决策</w:t>
            </w:r>
          </w:p>
        </w:tc>
        <w:tc>
          <w:tcPr>
            <w:tcW w:type="dxa" w:w="3249"/>
            <w:shd w:fill="0F766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为什么这样做</w:t>
            </w:r>
          </w:p>
        </w:tc>
        <w:tc>
          <w:tcPr>
            <w:tcW w:type="dxa" w:w="3249"/>
            <w:shd w:fill="0F766E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界面呈现</w:t>
            </w:r>
          </w:p>
        </w:tc>
      </w:tr>
      <w:tr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先展示评分与待处理项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编辑需要先知道是否值得继续审查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报告顶部的评分卡与三个摘要信号</w:t>
            </w:r>
          </w:p>
        </w:tc>
      </w:tr>
      <w:tr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问题与建议采用可展开区域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避免报告首屏被长文本淹没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默认展示摘要，按需阅读详情</w:t>
            </w:r>
          </w:p>
        </w:tc>
      </w:tr>
      <w:tr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将建议限定为编辑方向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防止 AI 越界生成未经验证的事实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清晰标注不会自动改写原文</w:t>
            </w:r>
          </w:p>
        </w:tc>
      </w:tr>
      <w:tr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运行记录与额度服务端保存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让试用、复查与用量具有真实状态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工作区项目、已完成报告和 Beta 用量</w:t>
            </w:r>
          </w:p>
        </w:tc>
      </w:tr>
      <w:tr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模型暂时不可用时安全降级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演示和 Beta 不因供应商瞬时问题中断</w:t>
            </w:r>
          </w:p>
        </w:tc>
        <w:tc>
          <w:tcPr>
            <w:tcW w:type="dxa" w:w="324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PingFang SC" w:hAnsi="PingFang SC" w:eastAsia="PingFang SC"/>
                <w:b w:val="0"/>
                <w:sz w:val="19"/>
              </w:rPr>
              <w:t>明确标记为结构化诊断，不伪装成模型结果</w:t>
            </w:r>
          </w:p>
        </w:tc>
      </w:tr>
    </w:tbl>
    <w:p>
      <w:pPr>
        <w:pStyle w:val="Heading1"/>
      </w:pPr>
      <w:r>
        <w:t>四、技术与产品边界</w:t>
      </w:r>
    </w:p>
    <w:p>
      <w:pPr>
        <w:pStyle w:val="ListBullet"/>
        <w:spacing w:after="80"/>
      </w:pPr>
      <w:r>
        <w:rPr>
          <w:rFonts w:ascii="PingFang SC" w:hAnsi="PingFang SC" w:eastAsia="PingFang SC"/>
          <w:b w:val="0"/>
          <w:sz w:val="21"/>
        </w:rPr>
        <w:t>技术栈：Next.js、Clerk、Neon、Vercel Preview 与 OpenAI-compatible 模型服务。</w:t>
      </w:r>
    </w:p>
    <w:p>
      <w:pPr>
        <w:pStyle w:val="ListBullet"/>
        <w:spacing w:after="80"/>
      </w:pPr>
      <w:r>
        <w:rPr>
          <w:rFonts w:ascii="PingFang SC" w:hAnsi="PingFang SC" w:eastAsia="PingFang SC"/>
          <w:b w:val="0"/>
          <w:sz w:val="21"/>
        </w:rPr>
        <w:t>运行按工作区隔离；私有报告不暴露 Blob key。</w:t>
      </w:r>
    </w:p>
    <w:p>
      <w:pPr>
        <w:pStyle w:val="ListBullet"/>
        <w:spacing w:after="80"/>
      </w:pPr>
      <w:r>
        <w:rPr>
          <w:rFonts w:ascii="PingFang SC" w:hAnsi="PingFang SC" w:eastAsia="PingFang SC"/>
          <w:b w:val="0"/>
          <w:sz w:val="21"/>
        </w:rPr>
        <w:t>配额通过服务端预留与结算，失败的运行释放额度。</w:t>
      </w:r>
    </w:p>
    <w:p>
      <w:pPr>
        <w:pStyle w:val="ListBullet"/>
        <w:spacing w:after="80"/>
      </w:pPr>
      <w:r>
        <w:rPr>
          <w:rFonts w:ascii="PingFang SC" w:hAnsi="PingFang SC" w:eastAsia="PingFang SC"/>
          <w:b w:val="0"/>
          <w:sz w:val="21"/>
        </w:rPr>
        <w:t>模型输出经过结构校验与 Evidence 约束；不合格输出不会作为可信报告展示。</w:t>
      </w:r>
    </w:p>
    <w:p>
      <w:pPr>
        <w:pStyle w:val="ListBullet"/>
        <w:spacing w:after="80"/>
      </w:pPr>
      <w:r>
        <w:rPr>
          <w:rFonts w:ascii="PingFang SC" w:hAnsi="PingFang SC" w:eastAsia="PingFang SC"/>
          <w:b w:val="0"/>
          <w:sz w:val="21"/>
        </w:rPr>
        <w:t>Preview 对供应商超时使用确定性、可标识的安全降级；Production 仍保持失败关闭。</w:t>
      </w:r>
    </w:p>
    <w:p>
      <w:pPr>
        <w:pStyle w:val="Heading1"/>
      </w:pPr>
      <w:r>
        <w:t>五、个人角色与面试表述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5F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PingFang SC" w:hAnsi="PingFang SC" w:eastAsia="PingFang SC"/>
                <w:b w:val="0"/>
                <w:color w:val="17201F"/>
                <w:sz w:val="21"/>
              </w:rPr>
              <w:t>我负责从跨境内容发布经验中提炼“发布前可信度审查”的问题，定义了工作区、额度、项目、分析、报告和复查的闭环；用 AI 编程工具协助完成工程实现，并负责验收、错误定位、关键状态和演示内容的产品判断。</w:t>
            </w:r>
          </w:p>
        </w:tc>
      </w:tr>
    </w:tbl>
    <w:p>
      <w:r>
        <w:t>面试时不要说“独立手写了所有代码”。重点是说明：你提出了什么假设、如何取舍、发现了什么故障、又如何验收修复。</w:t>
      </w:r>
    </w:p>
    <w:p>
      <w:pPr>
        <w:pStyle w:val="Heading1"/>
      </w:pPr>
      <w:r>
        <w:t>六、当前阶段与下一步</w:t>
      </w:r>
    </w:p>
    <w:p>
      <w:r>
        <w:t>当前版本是面试演示型邀请制 Beta，核心闭环已可用。下一步是邀请少量真实内容创作者测试：记录他们是否认可 Evidence、是否采用 Patch、修改后是否愿意复查和继续使用。支付、公开获客和 Production 扩量不是当前面试版本的优先事项。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5E6B6A"/>
        <w:sz w:val="17"/>
      </w:rPr>
      <w:t>Evidra | AI 内容可信度审查 | 项目案例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PingFang SC" w:hAnsi="PingFang SC" w:eastAsia="PingFang SC"/>
      <w:color w:val="1720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720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720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