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4B29" w:rsidRPr="00FB5E8F" w:rsidRDefault="0032374C">
      <w:pPr>
        <w:pStyle w:val="FirstParagraph"/>
        <w:rPr>
          <w:lang w:val="fr-FR"/>
        </w:rPr>
      </w:pPr>
      <w:r w:rsidRPr="00FB5E8F">
        <w:rPr>
          <w:b/>
          <w:bCs/>
          <w:lang w:val="fr-FR"/>
        </w:rPr>
        <w:t>Préparation à l’oral de l’école doctorale – Questions anticipées sur le projet de recherche sur les MpBC</w:t>
      </w:r>
    </w:p>
    <w:p w:rsidR="00F74B29" w:rsidRDefault="0011244D">
      <w:r>
        <w:pict>
          <v:rect id="_x0000_i1025" style="width:0;height:1.5pt" o:hralign="center" o:hrstd="t" o:hr="t"/>
        </w:pict>
      </w:r>
    </w:p>
    <w:p w:rsidR="00F74B29" w:rsidRPr="00FB5E8F" w:rsidRDefault="0032374C">
      <w:pPr>
        <w:pStyle w:val="FirstParagraph"/>
        <w:rPr>
          <w:lang w:val="fr-FR"/>
        </w:rPr>
      </w:pPr>
      <w:r w:rsidRPr="00FB5E8F">
        <w:rPr>
          <w:b/>
          <w:bCs/>
          <w:lang w:val="fr-FR"/>
        </w:rPr>
        <w:t xml:space="preserve">1. Pourquoi ne pas avoir utilisé la technologie </w:t>
      </w:r>
      <w:proofErr w:type="spellStart"/>
      <w:r w:rsidRPr="00FB5E8F">
        <w:rPr>
          <w:b/>
          <w:bCs/>
          <w:lang w:val="fr-FR"/>
        </w:rPr>
        <w:t>Xenium</w:t>
      </w:r>
      <w:proofErr w:type="spellEnd"/>
      <w:r w:rsidRPr="00FB5E8F">
        <w:rPr>
          <w:b/>
          <w:bCs/>
          <w:lang w:val="fr-FR"/>
        </w:rPr>
        <w:t>, qui permet une résolution à l’échelle cellulaire ?</w:t>
      </w:r>
    </w:p>
    <w:p w:rsidR="00F74B29" w:rsidRPr="00FB5E8F" w:rsidRDefault="0032374C">
      <w:pPr>
        <w:pStyle w:val="Corpsdetexte"/>
        <w:rPr>
          <w:lang w:val="fr-FR"/>
        </w:rPr>
      </w:pPr>
      <w:r w:rsidRPr="00FB5E8F">
        <w:rPr>
          <w:lang w:val="fr-FR"/>
        </w:rPr>
        <w:t xml:space="preserve">La technologie </w:t>
      </w:r>
      <w:proofErr w:type="spellStart"/>
      <w:r w:rsidRPr="00FB5E8F">
        <w:rPr>
          <w:lang w:val="fr-FR"/>
        </w:rPr>
        <w:t>Xenium</w:t>
      </w:r>
      <w:proofErr w:type="spellEnd"/>
      <w:r w:rsidRPr="00FB5E8F">
        <w:rPr>
          <w:lang w:val="fr-FR"/>
        </w:rPr>
        <w:t xml:space="preserve"> repose sur l’utilisation de sondes ciblant des transcrits prédéfinis. Cela suppose de disposer d’a priori solides sur les gènes exprimés par les cellules, ce qui n’est pas compatible avec notre objectif exploratoire.</w:t>
      </w:r>
    </w:p>
    <w:p w:rsidR="00F74B29" w:rsidRPr="00FB5E8F" w:rsidRDefault="0032374C">
      <w:pPr>
        <w:pStyle w:val="Corpsdetexte"/>
        <w:rPr>
          <w:lang w:val="fr-FR"/>
        </w:rPr>
      </w:pPr>
      <w:r w:rsidRPr="00FB5E8F">
        <w:rPr>
          <w:lang w:val="fr-FR"/>
        </w:rPr>
        <w:t>Dans notre étude, qui vise à découvrir de nouveaux biomarqueurs et à caractériser des compartiments rares et mal connus des MpBC, une approche sans préjugé moléculaire est nécessaire. Visium est donc mieux adapté à cette phase de découverte.</w:t>
      </w:r>
    </w:p>
    <w:p w:rsidR="00F74B29" w:rsidRDefault="0032374C">
      <w:pPr>
        <w:pStyle w:val="Corpsdetexte"/>
      </w:pPr>
      <w:proofErr w:type="spellStart"/>
      <w:r w:rsidRPr="00FB5E8F">
        <w:rPr>
          <w:lang w:val="fr-FR"/>
        </w:rPr>
        <w:t>Xenium</w:t>
      </w:r>
      <w:proofErr w:type="spellEnd"/>
      <w:r w:rsidRPr="00FB5E8F">
        <w:rPr>
          <w:lang w:val="fr-FR"/>
        </w:rPr>
        <w:t xml:space="preserve"> (450 gènes cibles) ou </w:t>
      </w:r>
      <w:proofErr w:type="spellStart"/>
      <w:r w:rsidRPr="00FB5E8F">
        <w:rPr>
          <w:lang w:val="fr-FR"/>
        </w:rPr>
        <w:t>CosMx</w:t>
      </w:r>
      <w:proofErr w:type="spellEnd"/>
      <w:r w:rsidRPr="00FB5E8F">
        <w:rPr>
          <w:lang w:val="fr-FR"/>
        </w:rPr>
        <w:t xml:space="preserve"> (6000 gènes cibles) pourront être utilisés en aval, pour valider la spécificité et la localisation de biomarqueurs identifiés par Visium (18 000 gènes explorables). </w:t>
      </w:r>
      <w:r>
        <w:t xml:space="preserve">Visium </w:t>
      </w:r>
      <w:proofErr w:type="spellStart"/>
      <w:r>
        <w:t>est</w:t>
      </w:r>
      <w:proofErr w:type="spellEnd"/>
      <w:r>
        <w:t xml:space="preserve"> </w:t>
      </w:r>
      <w:proofErr w:type="spellStart"/>
      <w:r>
        <w:t>également</w:t>
      </w:r>
      <w:proofErr w:type="spellEnd"/>
      <w:r>
        <w:t xml:space="preserve"> plus simple à mettre en œuvre.</w:t>
      </w:r>
    </w:p>
    <w:p w:rsidR="00F74B29" w:rsidRDefault="0011244D">
      <w:r>
        <w:pict>
          <v:rect id="_x0000_i1026" style="width:0;height:1.5pt" o:hralign="center" o:hrstd="t" o:hr="t"/>
        </w:pict>
      </w:r>
    </w:p>
    <w:p w:rsidR="00F74B29" w:rsidRPr="00FB5E8F" w:rsidRDefault="0032374C">
      <w:pPr>
        <w:pStyle w:val="FirstParagraph"/>
        <w:rPr>
          <w:lang w:val="fr-FR"/>
        </w:rPr>
      </w:pPr>
      <w:r w:rsidRPr="00FB5E8F">
        <w:rPr>
          <w:b/>
          <w:bCs/>
          <w:lang w:val="fr-FR"/>
        </w:rPr>
        <w:t>2. Les patientes de la cohorte ont-elles reçu un traitement avant prélèvement ?</w:t>
      </w:r>
    </w:p>
    <w:p w:rsidR="00F74B29" w:rsidRDefault="0032374C">
      <w:pPr>
        <w:pStyle w:val="Corpsdetexte"/>
      </w:pPr>
      <w:r w:rsidRPr="00FB5E8F">
        <w:rPr>
          <w:lang w:val="fr-FR"/>
        </w:rPr>
        <w:t xml:space="preserve">Non. Les prélèvements ont été réalisés avant toute intervention thérapeutique. </w:t>
      </w:r>
      <w:r>
        <w:t xml:space="preserve">Il </w:t>
      </w:r>
      <w:proofErr w:type="spellStart"/>
      <w:r>
        <w:t>s’agit</w:t>
      </w:r>
      <w:proofErr w:type="spellEnd"/>
      <w:r>
        <w:t xml:space="preserve"> </w:t>
      </w:r>
      <w:proofErr w:type="spellStart"/>
      <w:r>
        <w:t>d’échantillons</w:t>
      </w:r>
      <w:proofErr w:type="spellEnd"/>
      <w:r>
        <w:t xml:space="preserve"> </w:t>
      </w:r>
      <w:proofErr w:type="spellStart"/>
      <w:r>
        <w:t>issus</w:t>
      </w:r>
      <w:proofErr w:type="spellEnd"/>
      <w:r>
        <w:t xml:space="preserve"> du diagnostic histopathologique initial.</w:t>
      </w:r>
    </w:p>
    <w:p w:rsidR="00F74B29" w:rsidRDefault="0011244D">
      <w:r>
        <w:pict>
          <v:rect id="_x0000_i1027" style="width:0;height:1.5pt" o:hralign="center" o:hrstd="t" o:hr="t"/>
        </w:pict>
      </w:r>
    </w:p>
    <w:p w:rsidR="00F74B29" w:rsidRPr="00FB5E8F" w:rsidRDefault="0032374C">
      <w:pPr>
        <w:pStyle w:val="FirstParagraph"/>
        <w:rPr>
          <w:lang w:val="fr-FR"/>
        </w:rPr>
      </w:pPr>
      <w:r w:rsidRPr="00FB5E8F">
        <w:rPr>
          <w:b/>
          <w:bCs/>
          <w:lang w:val="fr-FR"/>
        </w:rPr>
        <w:t>3. Quelles sont les caractéristiques cliniques des patientes ?</w:t>
      </w:r>
    </w:p>
    <w:p w:rsidR="00F74B29" w:rsidRPr="00FB5E8F" w:rsidRDefault="0032374C">
      <w:pPr>
        <w:pStyle w:val="Corpsdetexte"/>
        <w:rPr>
          <w:lang w:val="fr-FR"/>
        </w:rPr>
      </w:pPr>
      <w:r w:rsidRPr="00FB5E8F">
        <w:rPr>
          <w:lang w:val="fr-FR"/>
        </w:rPr>
        <w:t>Les MpBC affectent majoritairement des femmes d’environ 60 ans. Notre étude ne se concentre pas sur les métadonnées cliniques, bien que celles-ci soient disponibles.</w:t>
      </w:r>
    </w:p>
    <w:p w:rsidR="00F74B29" w:rsidRDefault="0011244D">
      <w:r>
        <w:pict>
          <v:rect id="_x0000_i1028" style="width:0;height:1.5pt" o:hralign="center" o:hrstd="t" o:hr="t"/>
        </w:pict>
      </w:r>
    </w:p>
    <w:p w:rsidR="00F74B29" w:rsidRPr="00FB5E8F" w:rsidRDefault="0032374C">
      <w:pPr>
        <w:pStyle w:val="FirstParagraph"/>
        <w:rPr>
          <w:lang w:val="fr-FR"/>
        </w:rPr>
      </w:pPr>
      <w:r w:rsidRPr="00FB5E8F">
        <w:rPr>
          <w:b/>
          <w:bCs/>
          <w:lang w:val="fr-FR"/>
        </w:rPr>
        <w:t>4. D’autres cancers présentent-ils une origine commune des cellules transdifférenciées ?</w:t>
      </w:r>
    </w:p>
    <w:p w:rsidR="00F74B29" w:rsidRPr="00FB5E8F" w:rsidRDefault="0032374C">
      <w:pPr>
        <w:pStyle w:val="Corpsdetexte"/>
        <w:rPr>
          <w:lang w:val="fr-FR"/>
        </w:rPr>
      </w:pPr>
      <w:r w:rsidRPr="00FB5E8F">
        <w:rPr>
          <w:lang w:val="fr-FR"/>
        </w:rPr>
        <w:t>Oui, des processus similaires de transdifférenciation ont été observés dans des cancers utérins, pulmonaires, pancréatiques ou colorectaux. Une revue des publications sur l’EMT et la plasticité tumorale le démontre.</w:t>
      </w:r>
    </w:p>
    <w:p w:rsidR="00F74B29" w:rsidRDefault="0011244D">
      <w:r>
        <w:pict>
          <v:rect id="_x0000_i1029" style="width:0;height:1.5pt" o:hralign="center" o:hrstd="t" o:hr="t"/>
        </w:pict>
      </w:r>
    </w:p>
    <w:p w:rsidR="00F74B29" w:rsidRPr="00FB5E8F" w:rsidRDefault="0032374C">
      <w:pPr>
        <w:pStyle w:val="FirstParagraph"/>
        <w:rPr>
          <w:lang w:val="fr-FR"/>
        </w:rPr>
      </w:pPr>
      <w:r w:rsidRPr="00FB5E8F">
        <w:rPr>
          <w:b/>
          <w:bCs/>
          <w:lang w:val="fr-FR"/>
        </w:rPr>
        <w:t>5. Peut-on analyser la trajectoire spatiale des cellules transdifférenciées ?</w:t>
      </w:r>
    </w:p>
    <w:p w:rsidR="00F74B29" w:rsidRPr="00FB5E8F" w:rsidRDefault="0032374C">
      <w:pPr>
        <w:pStyle w:val="Corpsdetexte"/>
        <w:rPr>
          <w:lang w:val="fr-FR"/>
        </w:rPr>
      </w:pPr>
      <w:r w:rsidRPr="00FB5E8F">
        <w:rPr>
          <w:lang w:val="fr-FR"/>
        </w:rPr>
        <w:t>Oui. Une stratification des tumeurs en zones (centre tumoral, bordure, tissu sain péri-tumoral) est envisagée. Elle permet d’étudier l’évolution phénotypique dans leur contexte spatial, à travers le transcriptome et le génome.</w:t>
      </w:r>
    </w:p>
    <w:p w:rsidR="00F74B29" w:rsidRDefault="0011244D">
      <w:r>
        <w:lastRenderedPageBreak/>
        <w:pict>
          <v:rect id="_x0000_i1030" style="width:0;height:1.5pt" o:hralign="center" o:hrstd="t" o:hr="t"/>
        </w:pict>
      </w:r>
    </w:p>
    <w:p w:rsidR="00F74B29" w:rsidRPr="00FB5E8F" w:rsidRDefault="0032374C">
      <w:pPr>
        <w:pStyle w:val="FirstParagraph"/>
        <w:rPr>
          <w:lang w:val="fr-FR"/>
        </w:rPr>
      </w:pPr>
      <w:r w:rsidRPr="00FB5E8F">
        <w:rPr>
          <w:b/>
          <w:bCs/>
          <w:lang w:val="fr-FR"/>
        </w:rPr>
        <w:t>6. Pourquoi ne pas utiliser le Silhouette score pour valider les clusters ?</w:t>
      </w:r>
    </w:p>
    <w:p w:rsidR="00F74B29" w:rsidRPr="00FB5E8F" w:rsidRDefault="0032374C">
      <w:pPr>
        <w:pStyle w:val="Corpsdetexte"/>
        <w:rPr>
          <w:lang w:val="fr-FR"/>
        </w:rPr>
      </w:pPr>
      <w:r w:rsidRPr="00FB5E8F">
        <w:rPr>
          <w:lang w:val="fr-FR"/>
        </w:rPr>
        <w:t>Le Silhouette score est biaisé par les différences de densité entre clusters. Or, les MpBC présentent des sous-types aux densités hétérogènes. Il risque de sous-estimer la validité de clusters biologiquement réels mais diffus.</w:t>
      </w:r>
    </w:p>
    <w:p w:rsidR="00F74B29" w:rsidRDefault="0011244D">
      <w:r>
        <w:pict>
          <v:rect id="_x0000_i1031" style="width:0;height:1.5pt" o:hralign="center" o:hrstd="t" o:hr="t"/>
        </w:pict>
      </w:r>
    </w:p>
    <w:p w:rsidR="00F74B29" w:rsidRPr="00FB5E8F" w:rsidRDefault="0032374C">
      <w:pPr>
        <w:pStyle w:val="FirstParagraph"/>
        <w:rPr>
          <w:lang w:val="fr-FR"/>
        </w:rPr>
      </w:pPr>
      <w:r w:rsidRPr="00FB5E8F">
        <w:rPr>
          <w:b/>
          <w:bCs/>
          <w:lang w:val="fr-FR"/>
        </w:rPr>
        <w:t>7. Pourquoi les outils et méthodologies choisis ?</w:t>
      </w:r>
    </w:p>
    <w:p w:rsidR="00F74B29" w:rsidRPr="00FB5E8F" w:rsidRDefault="0032374C">
      <w:pPr>
        <w:pStyle w:val="Compact"/>
        <w:numPr>
          <w:ilvl w:val="0"/>
          <w:numId w:val="2"/>
        </w:numPr>
        <w:rPr>
          <w:lang w:val="fr-FR"/>
        </w:rPr>
      </w:pPr>
      <w:r w:rsidRPr="00FB5E8F">
        <w:rPr>
          <w:i/>
          <w:iCs/>
          <w:lang w:val="fr-FR"/>
        </w:rPr>
        <w:t>Seurat</w:t>
      </w:r>
      <w:r w:rsidRPr="00FB5E8F">
        <w:rPr>
          <w:lang w:val="fr-FR"/>
        </w:rPr>
        <w:t xml:space="preserve"> : référence pour l’analyse </w:t>
      </w:r>
      <w:proofErr w:type="spellStart"/>
      <w:r w:rsidRPr="00FB5E8F">
        <w:rPr>
          <w:lang w:val="fr-FR"/>
        </w:rPr>
        <w:t>scRNA-seq</w:t>
      </w:r>
      <w:proofErr w:type="spellEnd"/>
      <w:r w:rsidRPr="00FB5E8F">
        <w:rPr>
          <w:lang w:val="fr-FR"/>
        </w:rPr>
        <w:t xml:space="preserve"> et Visium ; pipeline robuste, bonne documentation, visualisation spatiale.</w:t>
      </w:r>
    </w:p>
    <w:p w:rsidR="00F74B29" w:rsidRPr="00FB5E8F" w:rsidRDefault="0032374C">
      <w:pPr>
        <w:pStyle w:val="Compact"/>
        <w:numPr>
          <w:ilvl w:val="0"/>
          <w:numId w:val="2"/>
        </w:numPr>
        <w:rPr>
          <w:lang w:val="fr-FR"/>
        </w:rPr>
      </w:pPr>
      <w:r w:rsidRPr="00FB5E8F">
        <w:rPr>
          <w:i/>
          <w:iCs/>
          <w:lang w:val="fr-FR"/>
        </w:rPr>
        <w:t>Harmony</w:t>
      </w:r>
      <w:r w:rsidRPr="00FB5E8F">
        <w:rPr>
          <w:lang w:val="fr-FR"/>
        </w:rPr>
        <w:t xml:space="preserve"> : correction efficace des </w:t>
      </w:r>
      <w:proofErr w:type="spellStart"/>
      <w:r w:rsidRPr="00FB5E8F">
        <w:rPr>
          <w:lang w:val="fr-FR"/>
        </w:rPr>
        <w:t>batchs</w:t>
      </w:r>
      <w:proofErr w:type="spellEnd"/>
      <w:r w:rsidRPr="00FB5E8F">
        <w:rPr>
          <w:lang w:val="fr-FR"/>
        </w:rPr>
        <w:t xml:space="preserve"> avec </w:t>
      </w:r>
      <w:proofErr w:type="spellStart"/>
      <w:r w:rsidRPr="00FB5E8F">
        <w:rPr>
          <w:lang w:val="fr-FR"/>
        </w:rPr>
        <w:t>covariables</w:t>
      </w:r>
      <w:proofErr w:type="spellEnd"/>
      <w:r w:rsidRPr="00FB5E8F">
        <w:rPr>
          <w:lang w:val="fr-FR"/>
        </w:rPr>
        <w:t xml:space="preserve"> ; meilleure gestion de la variabilité inter-patiente.</w:t>
      </w:r>
    </w:p>
    <w:p w:rsidR="00F74B29" w:rsidRPr="00FB5E8F" w:rsidRDefault="0032374C">
      <w:pPr>
        <w:pStyle w:val="Compact"/>
        <w:numPr>
          <w:ilvl w:val="0"/>
          <w:numId w:val="2"/>
        </w:numPr>
        <w:rPr>
          <w:lang w:val="fr-FR"/>
        </w:rPr>
      </w:pPr>
      <w:proofErr w:type="spellStart"/>
      <w:r w:rsidRPr="00FB5E8F">
        <w:rPr>
          <w:i/>
          <w:iCs/>
          <w:lang w:val="fr-FR"/>
        </w:rPr>
        <w:t>FindIntegrationAnchors</w:t>
      </w:r>
      <w:proofErr w:type="spellEnd"/>
      <w:r w:rsidRPr="00FB5E8F">
        <w:rPr>
          <w:lang w:val="fr-FR"/>
        </w:rPr>
        <w:t xml:space="preserve"> : inefficace ici en raison de l’absence d’ancrage commun (types cellulaires rares et différents).</w:t>
      </w:r>
    </w:p>
    <w:p w:rsidR="00F74B29" w:rsidRPr="00FB5E8F" w:rsidRDefault="0032374C">
      <w:pPr>
        <w:pStyle w:val="Compact"/>
        <w:numPr>
          <w:ilvl w:val="0"/>
          <w:numId w:val="2"/>
        </w:numPr>
        <w:rPr>
          <w:lang w:val="fr-FR"/>
        </w:rPr>
      </w:pPr>
      <w:r w:rsidRPr="00FB5E8F">
        <w:rPr>
          <w:i/>
          <w:iCs/>
          <w:lang w:val="fr-FR"/>
        </w:rPr>
        <w:t>Clustering Multi-Louvain</w:t>
      </w:r>
      <w:r w:rsidRPr="00FB5E8F">
        <w:rPr>
          <w:lang w:val="fr-FR"/>
        </w:rPr>
        <w:t xml:space="preserve"> : adapté à des clusters de taille et de forme variées, comme ceux des MpBC.</w:t>
      </w:r>
    </w:p>
    <w:p w:rsidR="00F74B29" w:rsidRPr="00FB5E8F" w:rsidRDefault="0032374C">
      <w:pPr>
        <w:pStyle w:val="Compact"/>
        <w:numPr>
          <w:ilvl w:val="0"/>
          <w:numId w:val="2"/>
        </w:numPr>
        <w:rPr>
          <w:lang w:val="fr-FR"/>
        </w:rPr>
      </w:pPr>
      <w:r w:rsidRPr="00FB5E8F">
        <w:rPr>
          <w:i/>
          <w:iCs/>
          <w:lang w:val="fr-FR"/>
        </w:rPr>
        <w:t>UMAP</w:t>
      </w:r>
      <w:r w:rsidRPr="00FB5E8F">
        <w:rPr>
          <w:lang w:val="fr-FR"/>
        </w:rPr>
        <w:t xml:space="preserve"> : représentation efficace des structures globales et locales (meilleure que t-SNE).</w:t>
      </w:r>
    </w:p>
    <w:p w:rsidR="00F74B29" w:rsidRPr="00FB5E8F" w:rsidRDefault="0032374C">
      <w:pPr>
        <w:pStyle w:val="Compact"/>
        <w:numPr>
          <w:ilvl w:val="0"/>
          <w:numId w:val="2"/>
        </w:numPr>
        <w:rPr>
          <w:lang w:val="fr-FR"/>
        </w:rPr>
      </w:pPr>
      <w:r w:rsidRPr="00FB5E8F">
        <w:rPr>
          <w:i/>
          <w:iCs/>
          <w:lang w:val="fr-FR"/>
        </w:rPr>
        <w:t>MAST</w:t>
      </w:r>
      <w:r w:rsidRPr="00FB5E8F">
        <w:rPr>
          <w:lang w:val="fr-FR"/>
        </w:rPr>
        <w:t xml:space="preserve"> : modèle </w:t>
      </w:r>
      <w:proofErr w:type="spellStart"/>
      <w:r w:rsidRPr="00FB5E8F">
        <w:rPr>
          <w:lang w:val="fr-FR"/>
        </w:rPr>
        <w:t>hurdle</w:t>
      </w:r>
      <w:proofErr w:type="spellEnd"/>
      <w:r w:rsidRPr="00FB5E8F">
        <w:rPr>
          <w:lang w:val="fr-FR"/>
        </w:rPr>
        <w:t xml:space="preserve"> permettant de séparer les zéros techniques et biologiques ; gestion des effets fixes et aléatoires (ex : type cellulaire vs patient).</w:t>
      </w:r>
    </w:p>
    <w:p w:rsidR="00F74B29" w:rsidRDefault="0011244D">
      <w:r>
        <w:pict>
          <v:rect id="_x0000_i1032" style="width:0;height:1.5pt" o:hralign="center" o:hrstd="t" o:hr="t"/>
        </w:pict>
      </w:r>
    </w:p>
    <w:p w:rsidR="00F74B29" w:rsidRPr="00FB5E8F" w:rsidRDefault="0032374C">
      <w:pPr>
        <w:pStyle w:val="FirstParagraph"/>
        <w:rPr>
          <w:lang w:val="fr-FR"/>
        </w:rPr>
      </w:pPr>
      <w:r w:rsidRPr="00FB5E8F">
        <w:rPr>
          <w:b/>
          <w:bCs/>
          <w:lang w:val="fr-FR"/>
        </w:rPr>
        <w:t>8. Si vous deviez tout recommencer ?</w:t>
      </w:r>
    </w:p>
    <w:p w:rsidR="00F74B29" w:rsidRDefault="0032374C">
      <w:pPr>
        <w:pStyle w:val="Corpsdetexte"/>
      </w:pPr>
      <w:r w:rsidRPr="00FB5E8F">
        <w:rPr>
          <w:lang w:val="fr-FR"/>
        </w:rPr>
        <w:t xml:space="preserve">Deux pistes principales : - Tester plus d’outils pour chaque étape analytique afin de croiser les résultats (ex : </w:t>
      </w:r>
      <w:proofErr w:type="spellStart"/>
      <w:r w:rsidRPr="00FB5E8F">
        <w:rPr>
          <w:lang w:val="fr-FR"/>
        </w:rPr>
        <w:t>XClone</w:t>
      </w:r>
      <w:proofErr w:type="spellEnd"/>
      <w:r w:rsidRPr="00FB5E8F">
        <w:rPr>
          <w:lang w:val="fr-FR"/>
        </w:rPr>
        <w:t xml:space="preserve"> pour les CNA). - Commencer par du single-cell (snRNA-</w:t>
      </w:r>
      <w:proofErr w:type="spellStart"/>
      <w:r w:rsidRPr="00FB5E8F">
        <w:rPr>
          <w:lang w:val="fr-FR"/>
        </w:rPr>
        <w:t>seq</w:t>
      </w:r>
      <w:proofErr w:type="spellEnd"/>
      <w:r w:rsidRPr="00FB5E8F">
        <w:rPr>
          <w:lang w:val="fr-FR"/>
        </w:rPr>
        <w:t xml:space="preserve">), puis utiliser Visium pour l’ancrage spatial via des outils de déconvolution. </w:t>
      </w:r>
      <w:proofErr w:type="spellStart"/>
      <w:r>
        <w:t>Cela</w:t>
      </w:r>
      <w:proofErr w:type="spellEnd"/>
      <w:r>
        <w:t xml:space="preserve"> </w:t>
      </w:r>
      <w:proofErr w:type="spellStart"/>
      <w:r>
        <w:t>aurait</w:t>
      </w:r>
      <w:proofErr w:type="spellEnd"/>
      <w:r>
        <w:t xml:space="preserve"> </w:t>
      </w:r>
      <w:proofErr w:type="spellStart"/>
      <w:r>
        <w:t>permis</w:t>
      </w:r>
      <w:proofErr w:type="spellEnd"/>
      <w:r>
        <w:t xml:space="preserve"> </w:t>
      </w:r>
      <w:proofErr w:type="spellStart"/>
      <w:r>
        <w:t>d’optimiser</w:t>
      </w:r>
      <w:proofErr w:type="spellEnd"/>
      <w:r>
        <w:t xml:space="preserve"> la recherche de marqueurs.</w:t>
      </w:r>
    </w:p>
    <w:p w:rsidR="00F74B29" w:rsidRDefault="0011244D">
      <w:r>
        <w:pict>
          <v:rect id="_x0000_i1033" style="width:0;height:1.5pt" o:hralign="center" o:hrstd="t" o:hr="t"/>
        </w:pict>
      </w:r>
    </w:p>
    <w:p w:rsidR="00F74B29" w:rsidRPr="00FB5E8F" w:rsidRDefault="0032374C">
      <w:pPr>
        <w:pStyle w:val="FirstParagraph"/>
        <w:rPr>
          <w:lang w:val="fr-FR"/>
        </w:rPr>
      </w:pPr>
      <w:r w:rsidRPr="00FB5E8F">
        <w:rPr>
          <w:b/>
          <w:bCs/>
          <w:lang w:val="fr-FR"/>
        </w:rPr>
        <w:t>9. Certains sous-types sont-ils associés à un pire pronostic ?</w:t>
      </w:r>
    </w:p>
    <w:p w:rsidR="00F74B29" w:rsidRPr="00FB5E8F" w:rsidRDefault="0032374C">
      <w:pPr>
        <w:pStyle w:val="Corpsdetexte"/>
        <w:rPr>
          <w:lang w:val="fr-FR"/>
        </w:rPr>
      </w:pPr>
      <w:r w:rsidRPr="00FB5E8F">
        <w:rPr>
          <w:lang w:val="fr-FR"/>
        </w:rPr>
        <w:t>Il n’est pas possible de conclure à ce stade : trop peu de patientes pour une stratification statistique robuste.</w:t>
      </w:r>
    </w:p>
    <w:p w:rsidR="00F74B29" w:rsidRDefault="0011244D">
      <w:r>
        <w:pict>
          <v:rect id="_x0000_i1034" style="width:0;height:1.5pt" o:hralign="center" o:hrstd="t" o:hr="t"/>
        </w:pict>
      </w:r>
    </w:p>
    <w:p w:rsidR="00F74B29" w:rsidRPr="00FB5E8F" w:rsidRDefault="0032374C">
      <w:pPr>
        <w:pStyle w:val="FirstParagraph"/>
        <w:rPr>
          <w:lang w:val="fr-FR"/>
        </w:rPr>
      </w:pPr>
      <w:r w:rsidRPr="00FB5E8F">
        <w:rPr>
          <w:b/>
          <w:bCs/>
          <w:lang w:val="fr-FR"/>
        </w:rPr>
        <w:t>10. Tous les carcinomes épithéliaux sont-ils des MpBC ?</w:t>
      </w:r>
    </w:p>
    <w:p w:rsidR="00F74B29" w:rsidRPr="00FB5E8F" w:rsidRDefault="0032374C">
      <w:pPr>
        <w:pStyle w:val="Corpsdetexte"/>
        <w:rPr>
          <w:lang w:val="fr-FR"/>
        </w:rPr>
      </w:pPr>
      <w:r w:rsidRPr="00FB5E8F">
        <w:rPr>
          <w:lang w:val="fr-FR"/>
        </w:rPr>
        <w:t>Non. Les MpBC peuvent avoir un phénotype épithélial, mais leur définition repose sur la présence d’au moins un compartiment non-épithélial. Certains peuvent exprimer faiblement des récepteurs hormonaux (10% ne sont pas TNBC).</w:t>
      </w:r>
    </w:p>
    <w:p w:rsidR="00F74B29" w:rsidRDefault="0011244D">
      <w:r>
        <w:pict>
          <v:rect id="_x0000_i1035" style="width:0;height:1.5pt" o:hralign="center" o:hrstd="t" o:hr="t"/>
        </w:pict>
      </w:r>
    </w:p>
    <w:p w:rsidR="00F74B29" w:rsidRPr="00FB5E8F" w:rsidRDefault="0032374C">
      <w:pPr>
        <w:pStyle w:val="FirstParagraph"/>
        <w:rPr>
          <w:lang w:val="fr-FR"/>
        </w:rPr>
      </w:pPr>
      <w:r w:rsidRPr="00FB5E8F">
        <w:rPr>
          <w:b/>
          <w:bCs/>
          <w:lang w:val="fr-FR"/>
        </w:rPr>
        <w:lastRenderedPageBreak/>
        <w:t>11. Les trois hypothèses sur l’origine des MpBC</w:t>
      </w:r>
    </w:p>
    <w:p w:rsidR="00F74B29" w:rsidRPr="00FB5E8F" w:rsidRDefault="0032374C">
      <w:pPr>
        <w:pStyle w:val="Compact"/>
        <w:numPr>
          <w:ilvl w:val="0"/>
          <w:numId w:val="3"/>
        </w:numPr>
        <w:rPr>
          <w:lang w:val="fr-FR"/>
        </w:rPr>
      </w:pPr>
      <w:r w:rsidRPr="00FB5E8F">
        <w:rPr>
          <w:i/>
          <w:iCs/>
          <w:lang w:val="fr-FR"/>
        </w:rPr>
        <w:t>Collision tumorale</w:t>
      </w:r>
      <w:r w:rsidRPr="00FB5E8F">
        <w:rPr>
          <w:lang w:val="fr-FR"/>
        </w:rPr>
        <w:t xml:space="preserve"> : peu probable ici.</w:t>
      </w:r>
    </w:p>
    <w:p w:rsidR="00F74B29" w:rsidRPr="00FB5E8F" w:rsidRDefault="0032374C">
      <w:pPr>
        <w:pStyle w:val="Compact"/>
        <w:numPr>
          <w:ilvl w:val="0"/>
          <w:numId w:val="3"/>
        </w:numPr>
        <w:rPr>
          <w:lang w:val="fr-FR"/>
        </w:rPr>
      </w:pPr>
      <w:r w:rsidRPr="00FB5E8F">
        <w:rPr>
          <w:i/>
          <w:iCs/>
          <w:lang w:val="fr-FR"/>
        </w:rPr>
        <w:t>Cellule souche tumorale pluripotente</w:t>
      </w:r>
      <w:r w:rsidRPr="00FB5E8F">
        <w:rPr>
          <w:lang w:val="fr-FR"/>
        </w:rPr>
        <w:t xml:space="preserve"> : hypothèse contestée, peu soutenue par nos données.</w:t>
      </w:r>
    </w:p>
    <w:p w:rsidR="00F74B29" w:rsidRPr="00FB5E8F" w:rsidRDefault="0032374C">
      <w:pPr>
        <w:pStyle w:val="Compact"/>
        <w:numPr>
          <w:ilvl w:val="0"/>
          <w:numId w:val="3"/>
        </w:numPr>
        <w:rPr>
          <w:lang w:val="fr-FR"/>
        </w:rPr>
      </w:pPr>
      <w:r w:rsidRPr="00FB5E8F">
        <w:rPr>
          <w:i/>
          <w:iCs/>
          <w:lang w:val="fr-FR"/>
        </w:rPr>
        <w:t>Cellule épithéliale tumorale subissant une EMT</w:t>
      </w:r>
      <w:r w:rsidRPr="00FB5E8F">
        <w:rPr>
          <w:lang w:val="fr-FR"/>
        </w:rPr>
        <w:t xml:space="preserve"> : hypothèse privilégiée selon les résultats préliminaires.</w:t>
      </w:r>
    </w:p>
    <w:p w:rsidR="00F74B29" w:rsidRDefault="0011244D">
      <w:r>
        <w:pict>
          <v:rect id="_x0000_i1036" style="width:0;height:1.5pt" o:hralign="center" o:hrstd="t" o:hr="t"/>
        </w:pict>
      </w:r>
    </w:p>
    <w:p w:rsidR="00F74B29" w:rsidRDefault="0032374C">
      <w:pPr>
        <w:pStyle w:val="FirstParagraph"/>
      </w:pPr>
      <w:r>
        <w:rPr>
          <w:b/>
          <w:bCs/>
        </w:rPr>
        <w:t>12. Autres questions à anticiper</w:t>
      </w:r>
    </w:p>
    <w:p w:rsidR="00F74B29" w:rsidRPr="00FB5E8F" w:rsidRDefault="0032374C">
      <w:pPr>
        <w:pStyle w:val="Compact"/>
        <w:numPr>
          <w:ilvl w:val="0"/>
          <w:numId w:val="4"/>
        </w:numPr>
        <w:rPr>
          <w:lang w:val="fr-FR"/>
        </w:rPr>
      </w:pPr>
      <w:r w:rsidRPr="00FB5E8F">
        <w:rPr>
          <w:i/>
          <w:iCs/>
          <w:lang w:val="fr-FR"/>
        </w:rPr>
        <w:t>Simulation de données</w:t>
      </w:r>
      <w:r w:rsidRPr="00FB5E8F">
        <w:rPr>
          <w:lang w:val="fr-FR"/>
        </w:rPr>
        <w:t xml:space="preserve"> : via </w:t>
      </w:r>
      <w:proofErr w:type="spellStart"/>
      <w:r w:rsidRPr="00FB5E8F">
        <w:rPr>
          <w:lang w:val="fr-FR"/>
        </w:rPr>
        <w:t>splatter</w:t>
      </w:r>
      <w:proofErr w:type="spellEnd"/>
      <w:r w:rsidRPr="00FB5E8F">
        <w:rPr>
          <w:lang w:val="fr-FR"/>
        </w:rPr>
        <w:t xml:space="preserve"> ou </w:t>
      </w:r>
      <w:proofErr w:type="spellStart"/>
      <w:r w:rsidRPr="00FB5E8F">
        <w:rPr>
          <w:lang w:val="fr-FR"/>
        </w:rPr>
        <w:t>symphony</w:t>
      </w:r>
      <w:proofErr w:type="spellEnd"/>
      <w:r w:rsidRPr="00FB5E8F">
        <w:rPr>
          <w:lang w:val="fr-FR"/>
        </w:rPr>
        <w:t xml:space="preserve"> pour </w:t>
      </w:r>
      <w:proofErr w:type="spellStart"/>
      <w:r w:rsidRPr="00FB5E8F">
        <w:rPr>
          <w:lang w:val="fr-FR"/>
        </w:rPr>
        <w:t>scRNA-seq</w:t>
      </w:r>
      <w:proofErr w:type="spellEnd"/>
      <w:r w:rsidRPr="00FB5E8F">
        <w:rPr>
          <w:lang w:val="fr-FR"/>
        </w:rPr>
        <w:t>.</w:t>
      </w:r>
    </w:p>
    <w:p w:rsidR="00F74B29" w:rsidRPr="00FB5E8F" w:rsidRDefault="0032374C">
      <w:pPr>
        <w:pStyle w:val="Compact"/>
        <w:numPr>
          <w:ilvl w:val="0"/>
          <w:numId w:val="4"/>
        </w:numPr>
        <w:rPr>
          <w:lang w:val="fr-FR"/>
        </w:rPr>
      </w:pPr>
      <w:r w:rsidRPr="00FB5E8F">
        <w:rPr>
          <w:i/>
          <w:iCs/>
          <w:lang w:val="fr-FR"/>
        </w:rPr>
        <w:t>Taille des spots Visium</w:t>
      </w:r>
      <w:r w:rsidRPr="00FB5E8F">
        <w:rPr>
          <w:lang w:val="fr-FR"/>
        </w:rPr>
        <w:t xml:space="preserve"> : environ 55 µm, contenant 5-10 cellules.</w:t>
      </w:r>
    </w:p>
    <w:p w:rsidR="00F74B29" w:rsidRPr="00FB5E8F" w:rsidRDefault="0032374C">
      <w:pPr>
        <w:pStyle w:val="Compact"/>
        <w:numPr>
          <w:ilvl w:val="0"/>
          <w:numId w:val="4"/>
        </w:numPr>
        <w:rPr>
          <w:lang w:val="fr-FR"/>
        </w:rPr>
      </w:pPr>
      <w:r w:rsidRPr="00FB5E8F">
        <w:rPr>
          <w:i/>
          <w:iCs/>
          <w:lang w:val="fr-FR"/>
        </w:rPr>
        <w:t>Ambiguïté des spots</w:t>
      </w:r>
      <w:r w:rsidRPr="00FB5E8F">
        <w:rPr>
          <w:lang w:val="fr-FR"/>
        </w:rPr>
        <w:t xml:space="preserve"> : tri manuel assisté par annotations pathologiques.</w:t>
      </w:r>
    </w:p>
    <w:p w:rsidR="00F74B29" w:rsidRPr="00FB5E8F" w:rsidRDefault="0032374C">
      <w:pPr>
        <w:pStyle w:val="Compact"/>
        <w:numPr>
          <w:ilvl w:val="0"/>
          <w:numId w:val="4"/>
        </w:numPr>
        <w:rPr>
          <w:lang w:val="fr-FR"/>
        </w:rPr>
      </w:pPr>
      <w:r w:rsidRPr="00FB5E8F">
        <w:rPr>
          <w:i/>
          <w:iCs/>
          <w:lang w:val="fr-FR"/>
        </w:rPr>
        <w:t>Difficultés rencontrées</w:t>
      </w:r>
      <w:r w:rsidRPr="00FB5E8F">
        <w:rPr>
          <w:lang w:val="fr-FR"/>
        </w:rPr>
        <w:t xml:space="preserve"> : peu d’ancrage commun entre patients, correction de batch difficile.</w:t>
      </w:r>
    </w:p>
    <w:p w:rsidR="00F74B29" w:rsidRPr="00FB5E8F" w:rsidRDefault="0032374C">
      <w:pPr>
        <w:pStyle w:val="Compact"/>
        <w:numPr>
          <w:ilvl w:val="0"/>
          <w:numId w:val="4"/>
        </w:numPr>
        <w:rPr>
          <w:lang w:val="fr-FR"/>
        </w:rPr>
      </w:pPr>
      <w:r w:rsidRPr="00FB5E8F">
        <w:rPr>
          <w:i/>
          <w:iCs/>
          <w:lang w:val="fr-FR"/>
        </w:rPr>
        <w:t>Fiabilité des CNA</w:t>
      </w:r>
      <w:r w:rsidRPr="00FB5E8F">
        <w:rPr>
          <w:lang w:val="fr-FR"/>
        </w:rPr>
        <w:t xml:space="preserve"> : moindres dans les régions génomiques riches en répétitions ou déséquilibrées.</w:t>
      </w:r>
    </w:p>
    <w:p w:rsidR="00F74B29" w:rsidRPr="00FB5E8F" w:rsidRDefault="0032374C">
      <w:pPr>
        <w:pStyle w:val="Compact"/>
        <w:numPr>
          <w:ilvl w:val="0"/>
          <w:numId w:val="4"/>
        </w:numPr>
        <w:rPr>
          <w:lang w:val="fr-FR"/>
        </w:rPr>
      </w:pPr>
      <w:r w:rsidRPr="00FB5E8F">
        <w:rPr>
          <w:i/>
          <w:iCs/>
          <w:lang w:val="fr-FR"/>
        </w:rPr>
        <w:t>Nombre de probes Visium</w:t>
      </w:r>
      <w:r w:rsidRPr="00FB5E8F">
        <w:rPr>
          <w:lang w:val="fr-FR"/>
        </w:rPr>
        <w:t xml:space="preserve"> : capture des ARNm codants (~18 000 gènes).</w:t>
      </w:r>
    </w:p>
    <w:p w:rsidR="00F74B29" w:rsidRPr="00FB5E8F" w:rsidRDefault="0032374C">
      <w:pPr>
        <w:pStyle w:val="Compact"/>
        <w:numPr>
          <w:ilvl w:val="0"/>
          <w:numId w:val="4"/>
        </w:numPr>
        <w:rPr>
          <w:lang w:val="fr-FR"/>
        </w:rPr>
      </w:pPr>
      <w:r w:rsidRPr="00FB5E8F">
        <w:rPr>
          <w:i/>
          <w:iCs/>
          <w:lang w:val="fr-FR"/>
        </w:rPr>
        <w:t>Relations évolutives entre sous-types</w:t>
      </w:r>
      <w:r w:rsidRPr="00FB5E8F">
        <w:rPr>
          <w:lang w:val="fr-FR"/>
        </w:rPr>
        <w:t xml:space="preserve"> : via analyses phylogénétiques, évolution clonale ou RNA </w:t>
      </w:r>
      <w:proofErr w:type="spellStart"/>
      <w:r w:rsidRPr="00FB5E8F">
        <w:rPr>
          <w:lang w:val="fr-FR"/>
        </w:rPr>
        <w:t>velocity</w:t>
      </w:r>
      <w:proofErr w:type="spellEnd"/>
      <w:r w:rsidRPr="00FB5E8F">
        <w:rPr>
          <w:lang w:val="fr-FR"/>
        </w:rPr>
        <w:t>.</w:t>
      </w:r>
    </w:p>
    <w:p w:rsidR="00F74B29" w:rsidRPr="00FB5E8F" w:rsidRDefault="0032374C">
      <w:pPr>
        <w:pStyle w:val="Compact"/>
        <w:numPr>
          <w:ilvl w:val="0"/>
          <w:numId w:val="4"/>
        </w:numPr>
        <w:rPr>
          <w:lang w:val="fr-FR"/>
        </w:rPr>
      </w:pPr>
      <w:r w:rsidRPr="00FB5E8F">
        <w:rPr>
          <w:i/>
          <w:iCs/>
          <w:lang w:val="fr-FR"/>
        </w:rPr>
        <w:t>Pourquoi perte d’échantillons</w:t>
      </w:r>
      <w:r w:rsidRPr="00FB5E8F">
        <w:rPr>
          <w:lang w:val="fr-FR"/>
        </w:rPr>
        <w:t xml:space="preserve"> : qualité RNA, prétraitements variables, présence de tissu tumoral insuffisante.</w:t>
      </w:r>
    </w:p>
    <w:p w:rsidR="00F74B29" w:rsidRDefault="0011244D">
      <w:r>
        <w:pict>
          <v:rect id="_x0000_i1037" style="width:0;height:1.5pt" o:hralign="center" o:hrstd="t" o:hr="t"/>
        </w:pict>
      </w:r>
    </w:p>
    <w:p w:rsidR="00F74B29" w:rsidRPr="00FB5E8F" w:rsidRDefault="0032374C">
      <w:pPr>
        <w:pStyle w:val="FirstParagraph"/>
        <w:rPr>
          <w:lang w:val="fr-FR"/>
        </w:rPr>
      </w:pPr>
      <w:r w:rsidRPr="00FB5E8F">
        <w:rPr>
          <w:b/>
          <w:bCs/>
          <w:lang w:val="fr-FR"/>
        </w:rPr>
        <w:t>13. Questions spécifiques à certains membres du jury</w:t>
      </w:r>
    </w:p>
    <w:p w:rsidR="00F74B29" w:rsidRPr="00FB5E8F" w:rsidRDefault="0032374C">
      <w:pPr>
        <w:pStyle w:val="Compact"/>
        <w:numPr>
          <w:ilvl w:val="0"/>
          <w:numId w:val="5"/>
        </w:numPr>
        <w:rPr>
          <w:lang w:val="fr-FR"/>
        </w:rPr>
      </w:pPr>
      <w:proofErr w:type="spellStart"/>
      <w:r w:rsidRPr="00FB5E8F">
        <w:rPr>
          <w:i/>
          <w:iCs/>
          <w:lang w:val="fr-FR"/>
        </w:rPr>
        <w:t>Moyret-Lalle</w:t>
      </w:r>
      <w:proofErr w:type="spellEnd"/>
      <w:r w:rsidRPr="00FB5E8F">
        <w:rPr>
          <w:i/>
          <w:iCs/>
          <w:lang w:val="fr-FR"/>
        </w:rPr>
        <w:t xml:space="preserve"> (biologie mol)</w:t>
      </w:r>
      <w:r w:rsidRPr="00FB5E8F">
        <w:rPr>
          <w:lang w:val="fr-FR"/>
        </w:rPr>
        <w:t xml:space="preserve"> : Attentes sur intégration multi-omique, rigueur statistique.</w:t>
      </w:r>
    </w:p>
    <w:p w:rsidR="00F74B29" w:rsidRPr="00FB5E8F" w:rsidRDefault="0032374C">
      <w:pPr>
        <w:pStyle w:val="Compact"/>
        <w:numPr>
          <w:ilvl w:val="0"/>
          <w:numId w:val="5"/>
        </w:numPr>
        <w:rPr>
          <w:lang w:val="fr-FR"/>
        </w:rPr>
      </w:pPr>
      <w:r w:rsidRPr="00FB5E8F">
        <w:rPr>
          <w:i/>
          <w:iCs/>
          <w:lang w:val="fr-FR"/>
        </w:rPr>
        <w:t>Autre jury (modèles)</w:t>
      </w:r>
      <w:r w:rsidRPr="00FB5E8F">
        <w:rPr>
          <w:lang w:val="fr-FR"/>
        </w:rPr>
        <w:t xml:space="preserve"> : Questions sur futurs modèles PDX ou organoïdes.</w:t>
      </w:r>
    </w:p>
    <w:p w:rsidR="00F74B29" w:rsidRDefault="0011244D">
      <w:r>
        <w:pict>
          <v:rect id="_x0000_i1038" style="width:0;height:1.5pt" o:hralign="center" o:hrstd="t" o:hr="t"/>
        </w:pict>
      </w:r>
    </w:p>
    <w:p w:rsidR="00F74B29" w:rsidRPr="00FB5E8F" w:rsidRDefault="0032374C">
      <w:pPr>
        <w:pStyle w:val="FirstParagraph"/>
        <w:rPr>
          <w:lang w:val="fr-FR"/>
        </w:rPr>
      </w:pPr>
      <w:r w:rsidRPr="00FB5E8F">
        <w:rPr>
          <w:b/>
          <w:bCs/>
          <w:lang w:val="fr-FR"/>
        </w:rPr>
        <w:t>14. Pourquoi la single-cell classique est-elle inadaptée sur nos échantillons FFPE ?</w:t>
      </w:r>
    </w:p>
    <w:p w:rsidR="00F74B29" w:rsidRDefault="0032374C">
      <w:pPr>
        <w:pStyle w:val="Corpsdetexte"/>
      </w:pPr>
      <w:r w:rsidRPr="00FB5E8F">
        <w:rPr>
          <w:lang w:val="fr-FR"/>
        </w:rPr>
        <w:t xml:space="preserve">Les tissus FFPE préservent mal l’intégrité des cellules. L’ARN est fragmenté, avec de nombreux cross-links ADN/ARN dus au formol. Les technologies bulk sont adaptées, mais les techniques single-cell classiques n’ont pas un rendement suffisant. </w:t>
      </w:r>
      <w:proofErr w:type="spellStart"/>
      <w:r>
        <w:t>D’où</w:t>
      </w:r>
      <w:proofErr w:type="spellEnd"/>
      <w:r>
        <w:t xml:space="preserve"> </w:t>
      </w:r>
      <w:proofErr w:type="spellStart"/>
      <w:r>
        <w:t>l’utilisation</w:t>
      </w:r>
      <w:proofErr w:type="spellEnd"/>
      <w:r>
        <w:t xml:space="preserve"> du snRNA-seq.</w:t>
      </w:r>
    </w:p>
    <w:p w:rsidR="00692287" w:rsidRDefault="0011244D">
      <w:pPr>
        <w:pStyle w:val="Corpsdetexte"/>
      </w:pPr>
      <w:r>
        <w:pict>
          <v:rect id="_x0000_i1039" style="width:0;height:1.5pt" o:hralign="center" o:hrstd="t" o:hr="t"/>
        </w:pict>
      </w:r>
    </w:p>
    <w:p w:rsidR="00692287" w:rsidRPr="00FB5E8F" w:rsidRDefault="00692287" w:rsidP="00692287">
      <w:pPr>
        <w:pStyle w:val="Corpsdetexte"/>
        <w:rPr>
          <w:b/>
          <w:bCs/>
          <w:lang w:val="fr-FR"/>
        </w:rPr>
      </w:pPr>
      <w:r>
        <w:rPr>
          <w:b/>
          <w:bCs/>
          <w:lang w:val="fr-FR"/>
        </w:rPr>
        <w:t xml:space="preserve">15. </w:t>
      </w:r>
      <w:r w:rsidRPr="00692287">
        <w:rPr>
          <w:b/>
          <w:bCs/>
          <w:lang w:val="fr-FR"/>
        </w:rPr>
        <w:t>Critères de qualité (QC) :</w:t>
      </w:r>
      <w:r>
        <w:rPr>
          <w:b/>
          <w:bCs/>
          <w:lang w:val="fr-FR"/>
        </w:rPr>
        <w:t xml:space="preserve"> </w:t>
      </w:r>
      <w:r w:rsidRPr="00FB5E8F">
        <w:rPr>
          <w:b/>
          <w:bCs/>
          <w:lang w:val="fr-FR"/>
        </w:rPr>
        <w:t>Pourquoi avoir choisi ces seuils (pourcentages de mitochondrial, nombre minimum/g maximum de gènes détectés…) et comment les avez-vous optimisés pour éviter l’exclusion de sous-populations rares ?</w:t>
      </w:r>
    </w:p>
    <w:p w:rsidR="00692287" w:rsidRPr="00692287" w:rsidRDefault="00692287" w:rsidP="00692287">
      <w:pPr>
        <w:pStyle w:val="Corpsdetexte"/>
        <w:rPr>
          <w:bCs/>
          <w:lang w:val="fr-FR"/>
        </w:rPr>
      </w:pPr>
      <w:r w:rsidRPr="00692287">
        <w:rPr>
          <w:bCs/>
          <w:u w:val="single"/>
          <w:lang w:val="fr-FR"/>
        </w:rPr>
        <w:t>Pourcentage de gènes mitochondriaux</w:t>
      </w:r>
      <w:r w:rsidRPr="00692287">
        <w:rPr>
          <w:bCs/>
          <w:lang w:val="fr-FR"/>
        </w:rPr>
        <w:t xml:space="preserve"> : nous avons fixé un seuil de 5 % de reads mitochondriaux ; au-delà, le risque est d’inclure des noyaux endommagés. Ce seuil a été validé </w:t>
      </w:r>
      <w:r w:rsidRPr="00692287">
        <w:rPr>
          <w:bCs/>
          <w:lang w:val="fr-FR"/>
        </w:rPr>
        <w:lastRenderedPageBreak/>
        <w:t>en comparant la distribution des pourcentages dans plusieurs échantillons pilotes pour maximiser la rétention des sous-populations rares tout en excluant les artefacts.</w:t>
      </w:r>
    </w:p>
    <w:p w:rsidR="00692287" w:rsidRPr="00692287" w:rsidRDefault="00692287" w:rsidP="00692287">
      <w:pPr>
        <w:pStyle w:val="Corpsdetexte"/>
        <w:rPr>
          <w:bCs/>
          <w:lang w:val="fr-FR"/>
        </w:rPr>
      </w:pPr>
      <w:r w:rsidRPr="00692287">
        <w:rPr>
          <w:bCs/>
          <w:u w:val="single"/>
          <w:lang w:val="fr-FR"/>
        </w:rPr>
        <w:t>Nombre de gènes détectés</w:t>
      </w:r>
      <w:r w:rsidRPr="00692287">
        <w:rPr>
          <w:bCs/>
          <w:lang w:val="fr-FR"/>
        </w:rPr>
        <w:t xml:space="preserve"> : on retient les noyaux ayant entre 200 et 5 000 gènes détectés. En dessous de 200, le noyau est trop « creux » (dropout excessif) ; au-dessus de 5 000, il peut s’agir d’un doublet. Ces bornes proviennent d’analyses exploratoires (</w:t>
      </w:r>
      <w:proofErr w:type="spellStart"/>
      <w:r w:rsidRPr="00692287">
        <w:rPr>
          <w:bCs/>
          <w:lang w:val="fr-FR"/>
        </w:rPr>
        <w:t>inflection</w:t>
      </w:r>
      <w:proofErr w:type="spellEnd"/>
      <w:r w:rsidRPr="00692287">
        <w:rPr>
          <w:bCs/>
          <w:lang w:val="fr-FR"/>
        </w:rPr>
        <w:t xml:space="preserve"> plot) et ont été ajustées pour chaque lot.</w:t>
      </w:r>
    </w:p>
    <w:p w:rsidR="00692287" w:rsidRPr="00692287" w:rsidRDefault="0011244D" w:rsidP="00692287">
      <w:pPr>
        <w:pStyle w:val="Corpsdetexte"/>
        <w:rPr>
          <w:lang w:val="fr-FR"/>
        </w:rPr>
      </w:pPr>
      <w:r>
        <w:pict>
          <v:rect id="_x0000_i1040" style="width:0;height:1.5pt" o:hralign="center" o:hrstd="t" o:hr="t"/>
        </w:pict>
      </w:r>
    </w:p>
    <w:p w:rsidR="00692287" w:rsidRPr="00692287" w:rsidRDefault="00692287" w:rsidP="00692287">
      <w:pPr>
        <w:pStyle w:val="Corpsdetexte"/>
        <w:rPr>
          <w:b/>
          <w:lang w:val="fr-FR"/>
        </w:rPr>
      </w:pPr>
      <w:r w:rsidRPr="00692287">
        <w:rPr>
          <w:b/>
          <w:lang w:val="fr-FR"/>
        </w:rPr>
        <w:t>Pourquoi avoir choisi ces seuils (pourcentages de mitochondrial, nombre minimum/g maximum de gènes détectés…) et comment les avez-vous optimisés pour éviter l’exclusion de sous-populations rares ?</w:t>
      </w:r>
    </w:p>
    <w:p w:rsidR="00692287" w:rsidRDefault="0011244D" w:rsidP="00692287">
      <w:pPr>
        <w:pStyle w:val="Corpsdetexte"/>
      </w:pPr>
      <w:r>
        <w:pict>
          <v:rect id="_x0000_i1041" style="width:0;height:1.5pt" o:hralign="center" o:hrstd="t" o:hr="t"/>
        </w:pict>
      </w:r>
    </w:p>
    <w:p w:rsidR="00692287" w:rsidRPr="00692287" w:rsidRDefault="00692287" w:rsidP="00692287">
      <w:pPr>
        <w:pStyle w:val="Corpsdetexte"/>
        <w:rPr>
          <w:b/>
          <w:lang w:val="fr-FR"/>
        </w:rPr>
      </w:pPr>
      <w:r w:rsidRPr="00FB5E8F">
        <w:rPr>
          <w:b/>
          <w:lang w:val="fr-FR"/>
        </w:rPr>
        <w:t xml:space="preserve">16. </w:t>
      </w:r>
      <w:r w:rsidRPr="00692287">
        <w:rPr>
          <w:b/>
          <w:bCs/>
          <w:lang w:val="fr-FR"/>
        </w:rPr>
        <w:t xml:space="preserve">Biais de couverture et profondeur de </w:t>
      </w:r>
      <w:proofErr w:type="gramStart"/>
      <w:r w:rsidRPr="00692287">
        <w:rPr>
          <w:b/>
          <w:bCs/>
          <w:lang w:val="fr-FR"/>
        </w:rPr>
        <w:t>séquençage:</w:t>
      </w:r>
      <w:proofErr w:type="gramEnd"/>
      <w:r w:rsidRPr="00692287">
        <w:rPr>
          <w:b/>
          <w:lang w:val="fr-FR"/>
        </w:rPr>
        <w:t xml:space="preserve"> Comment contrôlez-vous l’impact d’une couverture inégale (spots ou noyaux faiblement séquencés) sur l’appel de variantes (Mutect2) et l’expression différentielle (Seurat/MAST) ?</w:t>
      </w:r>
    </w:p>
    <w:p w:rsidR="00692287" w:rsidRPr="00692287" w:rsidRDefault="00692287" w:rsidP="00692287">
      <w:pPr>
        <w:pStyle w:val="Corpsdetexte"/>
        <w:rPr>
          <w:lang w:val="fr-FR"/>
        </w:rPr>
      </w:pPr>
    </w:p>
    <w:p w:rsidR="006F6FEE" w:rsidRDefault="0011244D">
      <w:pPr>
        <w:pStyle w:val="Corpsdetexte"/>
      </w:pPr>
      <w:r>
        <w:pict>
          <v:rect id="_x0000_i1042" style="width:0;height:1.5pt" o:hralign="center" o:hrstd="t" o:hr="t"/>
        </w:pict>
      </w:r>
    </w:p>
    <w:p w:rsidR="00692287" w:rsidRPr="00692287" w:rsidRDefault="00692287" w:rsidP="00692287">
      <w:pPr>
        <w:pStyle w:val="Corpsdetexte"/>
        <w:rPr>
          <w:b/>
          <w:lang w:val="fr-FR"/>
        </w:rPr>
      </w:pPr>
      <w:r w:rsidRPr="00692287">
        <w:rPr>
          <w:b/>
          <w:bCs/>
          <w:lang w:val="fr-FR"/>
        </w:rPr>
        <w:t>Paramètres de clustering et visualisation :</w:t>
      </w:r>
      <w:r w:rsidRPr="00692287">
        <w:rPr>
          <w:b/>
          <w:lang w:val="fr-FR"/>
        </w:rPr>
        <w:t xml:space="preserve"> Sur quel critère (nombre de voisins, résolution du graphe) vous basez-vous pour choisir vos paramètres dans UMAP et le clustering Louvain ? Comment testez-vous la robustesse de vos clusters (stabilité, </w:t>
      </w:r>
      <w:proofErr w:type="spellStart"/>
      <w:r w:rsidRPr="00692287">
        <w:rPr>
          <w:b/>
          <w:lang w:val="fr-FR"/>
        </w:rPr>
        <w:t>bootstrapping</w:t>
      </w:r>
      <w:proofErr w:type="spellEnd"/>
      <w:r w:rsidRPr="00692287">
        <w:rPr>
          <w:b/>
          <w:lang w:val="fr-FR"/>
        </w:rPr>
        <w:t>…) ?</w:t>
      </w:r>
    </w:p>
    <w:p w:rsidR="00692287" w:rsidRDefault="00692287">
      <w:pPr>
        <w:pStyle w:val="Corpsdetexte"/>
      </w:pPr>
    </w:p>
    <w:p w:rsidR="006F6FEE" w:rsidRDefault="0011244D">
      <w:pPr>
        <w:pStyle w:val="Corpsdetexte"/>
      </w:pPr>
      <w:r>
        <w:pict>
          <v:rect id="_x0000_i1043" style="width:0;height:1.5pt" o:hralign="center" o:hrstd="t" o:hr="t"/>
        </w:pict>
      </w:r>
    </w:p>
    <w:p w:rsidR="00692287" w:rsidRPr="00692287" w:rsidRDefault="00692287" w:rsidP="00692287">
      <w:pPr>
        <w:pStyle w:val="Corpsdetexte"/>
        <w:rPr>
          <w:b/>
          <w:lang w:val="fr-FR"/>
        </w:rPr>
      </w:pPr>
      <w:r w:rsidRPr="00692287">
        <w:rPr>
          <w:b/>
          <w:bCs/>
          <w:lang w:val="fr-FR"/>
        </w:rPr>
        <w:t>Intégration multi-omique</w:t>
      </w:r>
      <w:r w:rsidRPr="00692287">
        <w:rPr>
          <w:b/>
          <w:lang w:val="fr-FR"/>
        </w:rPr>
        <w:t> : Quelle stratégie pour combiner transcriptomique spatiale, snRNA-</w:t>
      </w:r>
      <w:proofErr w:type="spellStart"/>
      <w:r w:rsidRPr="00692287">
        <w:rPr>
          <w:b/>
          <w:lang w:val="fr-FR"/>
        </w:rPr>
        <w:t>seq</w:t>
      </w:r>
      <w:proofErr w:type="spellEnd"/>
      <w:r w:rsidRPr="00692287">
        <w:rPr>
          <w:b/>
          <w:lang w:val="fr-FR"/>
        </w:rPr>
        <w:t>, exome et méthylome ? Avez-vous envisagé des méthodes d’intégration jointes (MOFA+, Seurat WNN…) ou préférez-vous un enrichissement itératif ?</w:t>
      </w:r>
    </w:p>
    <w:p w:rsidR="00692287" w:rsidRPr="00FB5E8F" w:rsidRDefault="00692287">
      <w:pPr>
        <w:pStyle w:val="Corpsdetexte"/>
        <w:rPr>
          <w:lang w:val="fr-FR"/>
        </w:rPr>
      </w:pPr>
    </w:p>
    <w:p w:rsidR="006F6FEE" w:rsidRDefault="0011244D">
      <w:pPr>
        <w:pStyle w:val="Corpsdetexte"/>
      </w:pPr>
      <w:r>
        <w:pict>
          <v:rect id="_x0000_i1044" style="width:0;height:1.5pt" o:hralign="center" o:hrstd="t" o:hr="t"/>
        </w:pict>
      </w:r>
    </w:p>
    <w:p w:rsidR="00692287" w:rsidRPr="00692287" w:rsidRDefault="00692287" w:rsidP="00692287">
      <w:pPr>
        <w:pStyle w:val="Corpsdetexte"/>
        <w:rPr>
          <w:b/>
          <w:lang w:val="fr-FR"/>
        </w:rPr>
      </w:pPr>
      <w:r w:rsidRPr="00692287">
        <w:rPr>
          <w:b/>
          <w:bCs/>
          <w:lang w:val="fr-FR"/>
        </w:rPr>
        <w:t>Modélisation de trajectoires évolutives</w:t>
      </w:r>
      <w:r w:rsidRPr="00692287">
        <w:rPr>
          <w:b/>
          <w:lang w:val="fr-FR"/>
        </w:rPr>
        <w:t> : Allez-vous utiliser des outils de phylogénie clonale (</w:t>
      </w:r>
      <w:proofErr w:type="spellStart"/>
      <w:r w:rsidRPr="00692287">
        <w:rPr>
          <w:b/>
          <w:lang w:val="fr-FR"/>
        </w:rPr>
        <w:t>PhyloWGS</w:t>
      </w:r>
      <w:proofErr w:type="spellEnd"/>
      <w:r w:rsidRPr="00692287">
        <w:rPr>
          <w:b/>
          <w:lang w:val="fr-FR"/>
        </w:rPr>
        <w:t xml:space="preserve">, SCITE) ou RNA </w:t>
      </w:r>
      <w:proofErr w:type="spellStart"/>
      <w:r w:rsidRPr="00692287">
        <w:rPr>
          <w:b/>
          <w:lang w:val="fr-FR"/>
        </w:rPr>
        <w:t>velocity</w:t>
      </w:r>
      <w:proofErr w:type="spellEnd"/>
      <w:r w:rsidRPr="00692287">
        <w:rPr>
          <w:b/>
          <w:lang w:val="fr-FR"/>
        </w:rPr>
        <w:t xml:space="preserve"> (</w:t>
      </w:r>
      <w:proofErr w:type="spellStart"/>
      <w:r w:rsidRPr="00692287">
        <w:rPr>
          <w:b/>
          <w:lang w:val="fr-FR"/>
        </w:rPr>
        <w:t>scVelo</w:t>
      </w:r>
      <w:proofErr w:type="spellEnd"/>
      <w:r w:rsidRPr="00692287">
        <w:rPr>
          <w:b/>
          <w:lang w:val="fr-FR"/>
        </w:rPr>
        <w:t>) pour reconstruire l’évolution des sous-clones et inférer l’ordre temporal des transdifférenciations ?</w:t>
      </w:r>
    </w:p>
    <w:p w:rsidR="00692287" w:rsidRPr="00FB5E8F" w:rsidRDefault="00692287">
      <w:pPr>
        <w:pStyle w:val="Corpsdetexte"/>
        <w:rPr>
          <w:lang w:val="fr-FR"/>
        </w:rPr>
      </w:pPr>
    </w:p>
    <w:p w:rsidR="006F6FEE" w:rsidRDefault="0011244D">
      <w:pPr>
        <w:pStyle w:val="Corpsdetexte"/>
      </w:pPr>
      <w:r>
        <w:pict>
          <v:rect id="_x0000_i1045" style="width:0;height:1.5pt" o:hralign="center" o:hrstd="t" o:hr="t"/>
        </w:pict>
      </w:r>
    </w:p>
    <w:p w:rsidR="00692287" w:rsidRPr="00692287" w:rsidRDefault="00692287" w:rsidP="00692287">
      <w:pPr>
        <w:pStyle w:val="Corpsdetexte"/>
        <w:rPr>
          <w:b/>
          <w:lang w:val="fr-FR"/>
        </w:rPr>
      </w:pPr>
      <w:r w:rsidRPr="00692287">
        <w:rPr>
          <w:b/>
          <w:bCs/>
          <w:lang w:val="fr-FR"/>
        </w:rPr>
        <w:lastRenderedPageBreak/>
        <w:t>Validation fonctionnelle</w:t>
      </w:r>
      <w:r w:rsidRPr="00692287">
        <w:rPr>
          <w:b/>
          <w:lang w:val="fr-FR"/>
        </w:rPr>
        <w:t> : Sur quels critères (expression protéique, phénotype invasif…) validerez-vous in vitro (organoïdes) et in vivo (xénogreffes) l’impact des biomarqueurs et des perturbations ciblées ?</w:t>
      </w:r>
    </w:p>
    <w:p w:rsidR="00692287" w:rsidRPr="00FB5E8F" w:rsidRDefault="00692287">
      <w:pPr>
        <w:pStyle w:val="Corpsdetexte"/>
        <w:rPr>
          <w:lang w:val="fr-FR"/>
        </w:rPr>
      </w:pPr>
    </w:p>
    <w:p w:rsidR="006F6FEE" w:rsidRDefault="0011244D">
      <w:pPr>
        <w:pStyle w:val="Corpsdetexte"/>
      </w:pPr>
      <w:r>
        <w:pict>
          <v:rect id="_x0000_i1046" style="width:0;height:1.5pt" o:hralign="center" o:hrstd="t" o:hr="t"/>
        </w:pict>
      </w:r>
    </w:p>
    <w:p w:rsidR="00692287" w:rsidRPr="00692287" w:rsidRDefault="00692287" w:rsidP="00692287">
      <w:pPr>
        <w:pStyle w:val="Corpsdetexte"/>
        <w:rPr>
          <w:b/>
          <w:lang w:val="fr-FR"/>
        </w:rPr>
      </w:pPr>
      <w:r w:rsidRPr="00692287">
        <w:rPr>
          <w:b/>
          <w:bCs/>
          <w:lang w:val="fr-FR"/>
        </w:rPr>
        <w:t>Aspects réglementaires et éthiques</w:t>
      </w:r>
      <w:r w:rsidRPr="00692287">
        <w:rPr>
          <w:b/>
          <w:lang w:val="fr-FR"/>
        </w:rPr>
        <w:t> : Quelles procédures de consentement et de protection des données (RGPD) pour l’utilisation d’échantillons humains et le partage des données ouvertes ?</w:t>
      </w:r>
    </w:p>
    <w:p w:rsidR="00692287" w:rsidRPr="00FB5E8F" w:rsidRDefault="00692287">
      <w:pPr>
        <w:pStyle w:val="Corpsdetexte"/>
        <w:rPr>
          <w:lang w:val="fr-FR"/>
        </w:rPr>
      </w:pPr>
    </w:p>
    <w:p w:rsidR="00692287" w:rsidRDefault="0011244D">
      <w:pPr>
        <w:pStyle w:val="Corpsdetexte"/>
      </w:pPr>
      <w:r>
        <w:pict>
          <v:rect id="_x0000_i1047" style="width:0;height:1.5pt" o:hralign="center" o:hrstd="t" o:hr="t"/>
        </w:pict>
      </w:r>
    </w:p>
    <w:p w:rsidR="00692287" w:rsidRPr="00692287" w:rsidRDefault="00692287" w:rsidP="00692287">
      <w:pPr>
        <w:pStyle w:val="Corpsdetexte"/>
        <w:rPr>
          <w:b/>
          <w:lang w:val="fr-FR"/>
        </w:rPr>
      </w:pPr>
      <w:r w:rsidRPr="00692287">
        <w:rPr>
          <w:b/>
          <w:bCs/>
          <w:lang w:val="fr-FR"/>
        </w:rPr>
        <w:t>Limites et perspectives</w:t>
      </w:r>
      <w:r w:rsidRPr="00692287">
        <w:rPr>
          <w:b/>
          <w:lang w:val="fr-FR"/>
        </w:rPr>
        <w:t> : Quelles sont les principales limitations techniques identifiées (taux de drop-out, résolution spatiale des spots, complexité des CNA), et quelles améliorations proposer en thèse ?</w:t>
      </w:r>
    </w:p>
    <w:p w:rsidR="00692287" w:rsidRPr="00FB5E8F" w:rsidRDefault="00692287">
      <w:pPr>
        <w:pStyle w:val="Corpsdetexte"/>
        <w:rPr>
          <w:lang w:val="fr-FR"/>
        </w:rPr>
      </w:pPr>
      <w:bookmarkStart w:id="0" w:name="_GoBack"/>
      <w:bookmarkEnd w:id="0"/>
    </w:p>
    <w:p w:rsidR="00692287" w:rsidRDefault="0011244D">
      <w:pPr>
        <w:pStyle w:val="Corpsdetexte"/>
      </w:pPr>
      <w:r>
        <w:pict>
          <v:rect id="_x0000_i1048" style="width:0;height:1.5pt" o:hralign="center" o:hrstd="t" o:hr="t"/>
        </w:pict>
      </w:r>
    </w:p>
    <w:p w:rsidR="00692287" w:rsidRPr="00FB5E8F" w:rsidRDefault="00692287">
      <w:pPr>
        <w:pStyle w:val="Corpsdetexte"/>
        <w:rPr>
          <w:b/>
          <w:lang w:val="fr-FR"/>
        </w:rPr>
      </w:pPr>
      <w:r w:rsidRPr="00FB5E8F">
        <w:rPr>
          <w:b/>
          <w:lang w:val="fr-FR"/>
        </w:rPr>
        <w:t>Qu’</w:t>
      </w:r>
      <w:r w:rsidR="00FB5E8F" w:rsidRPr="00FB5E8F">
        <w:rPr>
          <w:b/>
          <w:lang w:val="fr-FR"/>
        </w:rPr>
        <w:t>est-ce</w:t>
      </w:r>
      <w:r w:rsidRPr="00FB5E8F">
        <w:rPr>
          <w:b/>
          <w:lang w:val="fr-FR"/>
        </w:rPr>
        <w:t xml:space="preserve"> qui vous pousse à réaliser une </w:t>
      </w:r>
      <w:proofErr w:type="spellStart"/>
      <w:proofErr w:type="gramStart"/>
      <w:r w:rsidRPr="00FB5E8F">
        <w:rPr>
          <w:b/>
          <w:lang w:val="fr-FR"/>
        </w:rPr>
        <w:t>these</w:t>
      </w:r>
      <w:proofErr w:type="spellEnd"/>
      <w:r w:rsidRPr="00FB5E8F">
        <w:rPr>
          <w:b/>
          <w:lang w:val="fr-FR"/>
        </w:rPr>
        <w:t>?</w:t>
      </w:r>
      <w:proofErr w:type="gramEnd"/>
    </w:p>
    <w:p w:rsidR="00692287" w:rsidRDefault="00FB5E8F">
      <w:pPr>
        <w:pStyle w:val="Corpsdetexte"/>
        <w:rPr>
          <w:b/>
        </w:rPr>
      </w:pPr>
      <w:r>
        <w:pict>
          <v:rect id="_x0000_i1050" style="width:0;height:1.5pt" o:hralign="center" o:hrstd="t" o:hr="t"/>
        </w:pict>
      </w:r>
    </w:p>
    <w:p w:rsidR="00692287" w:rsidRDefault="00FB5E8F">
      <w:pPr>
        <w:pStyle w:val="Corpsdetexte"/>
        <w:rPr>
          <w:b/>
          <w:lang w:val="fr-FR"/>
        </w:rPr>
      </w:pPr>
      <w:r w:rsidRPr="00FB5E8F">
        <w:rPr>
          <w:b/>
          <w:lang w:val="fr-FR"/>
        </w:rPr>
        <w:t>Le snRNA-</w:t>
      </w:r>
      <w:proofErr w:type="spellStart"/>
      <w:r w:rsidRPr="00FB5E8F">
        <w:rPr>
          <w:b/>
          <w:lang w:val="fr-FR"/>
        </w:rPr>
        <w:t>seq</w:t>
      </w:r>
      <w:proofErr w:type="spellEnd"/>
      <w:r w:rsidRPr="00FB5E8F">
        <w:rPr>
          <w:b/>
          <w:lang w:val="fr-FR"/>
        </w:rPr>
        <w:t xml:space="preserve"> se f</w:t>
      </w:r>
      <w:r>
        <w:rPr>
          <w:b/>
          <w:lang w:val="fr-FR"/>
        </w:rPr>
        <w:t>ait sur des nouveaux patients ou les anciens déjà analysés ?</w:t>
      </w:r>
    </w:p>
    <w:p w:rsidR="00692287" w:rsidRPr="00FB5E8F" w:rsidRDefault="00A21E2B">
      <w:pPr>
        <w:pStyle w:val="Corpsdetexte"/>
        <w:rPr>
          <w:lang w:val="fr-FR"/>
        </w:rPr>
      </w:pPr>
      <w:r>
        <w:rPr>
          <w:lang w:val="fr-FR"/>
        </w:rPr>
        <w:t xml:space="preserve">Les 2. </w:t>
      </w:r>
      <w:r w:rsidR="00FB5E8F">
        <w:rPr>
          <w:lang w:val="fr-FR"/>
        </w:rPr>
        <w:t xml:space="preserve">Sur les anciens patients (MpBC1 à 15) + 7 autres nouveaux patients arrivent </w:t>
      </w:r>
      <w:r w:rsidR="00FB5E8F" w:rsidRPr="00FB5E8F">
        <w:rPr>
          <w:lang w:val="fr-FR"/>
        </w:rPr>
        <w:sym w:font="Wingdings" w:char="F0E8"/>
      </w:r>
      <w:r w:rsidR="00FB5E8F">
        <w:rPr>
          <w:lang w:val="fr-FR"/>
        </w:rPr>
        <w:t xml:space="preserve"> On sélectionnera 20 p</w:t>
      </w:r>
      <w:r w:rsidR="00FB5E8F" w:rsidRPr="00FB5E8F">
        <w:rPr>
          <w:lang w:val="fr-FR"/>
        </w:rPr>
        <w:t>atients au final pour faire l’atlas</w:t>
      </w:r>
      <w:r w:rsidR="00FB5E8F">
        <w:rPr>
          <w:lang w:val="fr-FR"/>
        </w:rPr>
        <w:t xml:space="preserve"> : 5 patients pour chacune des 4 types de </w:t>
      </w:r>
      <w:proofErr w:type="spellStart"/>
      <w:r w:rsidR="00FB5E8F">
        <w:rPr>
          <w:lang w:val="fr-FR"/>
        </w:rPr>
        <w:t>transdiff</w:t>
      </w:r>
      <w:proofErr w:type="spellEnd"/>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92287" w:rsidRPr="00FB5E8F" w:rsidRDefault="00692287">
      <w:pPr>
        <w:pStyle w:val="Corpsdetexte"/>
        <w:rPr>
          <w:b/>
          <w:lang w:val="fr-FR"/>
        </w:rPr>
      </w:pPr>
    </w:p>
    <w:p w:rsidR="006F6FEE" w:rsidRDefault="0011244D">
      <w:pPr>
        <w:pStyle w:val="Corpsdetexte"/>
      </w:pPr>
      <w:r>
        <w:pict>
          <v:rect id="_x0000_i1049" style="width:0;height:1.5pt" o:hralign="center" o:hrstd="t" o:hr="t"/>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6686"/>
      </w:tblGrid>
      <w:tr w:rsidR="006F6FEE" w:rsidRPr="006F6FEE" w:rsidTr="006F6FEE">
        <w:trPr>
          <w:tblHeader/>
          <w:tblCellSpacing w:w="15" w:type="dxa"/>
        </w:trPr>
        <w:tc>
          <w:tcPr>
            <w:tcW w:w="0" w:type="auto"/>
            <w:vAlign w:val="center"/>
            <w:hideMark/>
          </w:tcPr>
          <w:p w:rsidR="006F6FEE" w:rsidRPr="006F6FEE" w:rsidRDefault="006F6FEE" w:rsidP="006F6FEE">
            <w:pPr>
              <w:spacing w:after="0"/>
              <w:jc w:val="center"/>
              <w:rPr>
                <w:rFonts w:ascii="Times New Roman" w:eastAsia="Times New Roman" w:hAnsi="Times New Roman" w:cs="Times New Roman"/>
                <w:b/>
                <w:bCs/>
                <w:lang w:val="fr-FR" w:eastAsia="fr-FR"/>
              </w:rPr>
            </w:pPr>
            <w:r w:rsidRPr="006F6FEE">
              <w:rPr>
                <w:rFonts w:ascii="Times New Roman" w:eastAsia="Times New Roman" w:hAnsi="Times New Roman" w:cs="Times New Roman"/>
                <w:b/>
                <w:bCs/>
                <w:lang w:val="fr-FR" w:eastAsia="fr-FR"/>
              </w:rPr>
              <w:t>Outil / méthode</w:t>
            </w:r>
          </w:p>
        </w:tc>
        <w:tc>
          <w:tcPr>
            <w:tcW w:w="0" w:type="auto"/>
            <w:vAlign w:val="center"/>
            <w:hideMark/>
          </w:tcPr>
          <w:p w:rsidR="006F6FEE" w:rsidRPr="006F6FEE" w:rsidRDefault="006F6FEE" w:rsidP="006F6FEE">
            <w:pPr>
              <w:spacing w:after="0"/>
              <w:jc w:val="center"/>
              <w:rPr>
                <w:rFonts w:ascii="Times New Roman" w:eastAsia="Times New Roman" w:hAnsi="Times New Roman" w:cs="Times New Roman"/>
                <w:b/>
                <w:bCs/>
                <w:lang w:val="fr-FR" w:eastAsia="fr-FR"/>
              </w:rPr>
            </w:pPr>
            <w:r w:rsidRPr="006F6FEE">
              <w:rPr>
                <w:rFonts w:ascii="Times New Roman" w:eastAsia="Times New Roman" w:hAnsi="Times New Roman" w:cs="Times New Roman"/>
                <w:b/>
                <w:bCs/>
                <w:lang w:val="fr-FR" w:eastAsia="fr-FR"/>
              </w:rPr>
              <w:t>Principe de fonctionnement</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t xml:space="preserve">Visium Spatial </w:t>
            </w:r>
            <w:proofErr w:type="spellStart"/>
            <w:r w:rsidRPr="006F6FEE">
              <w:rPr>
                <w:rFonts w:ascii="Times New Roman" w:eastAsia="Times New Roman" w:hAnsi="Times New Roman" w:cs="Times New Roman"/>
                <w:b/>
                <w:bCs/>
                <w:lang w:val="fr-FR" w:eastAsia="fr-FR"/>
              </w:rPr>
              <w:t>Transcriptomics</w:t>
            </w:r>
            <w:proofErr w:type="spellEnd"/>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Capteurs </w:t>
            </w:r>
            <w:proofErr w:type="spellStart"/>
            <w:r w:rsidRPr="006F6FEE">
              <w:rPr>
                <w:rFonts w:ascii="Times New Roman" w:eastAsia="Times New Roman" w:hAnsi="Times New Roman" w:cs="Times New Roman"/>
                <w:lang w:val="fr-FR" w:eastAsia="fr-FR"/>
              </w:rPr>
              <w:t>barcodés</w:t>
            </w:r>
            <w:proofErr w:type="spellEnd"/>
            <w:r w:rsidRPr="006F6FEE">
              <w:rPr>
                <w:rFonts w:ascii="Times New Roman" w:eastAsia="Times New Roman" w:hAnsi="Times New Roman" w:cs="Times New Roman"/>
                <w:lang w:val="fr-FR" w:eastAsia="fr-FR"/>
              </w:rPr>
              <w:t xml:space="preserve"> répartis en spots de 55 µm (~5–10 cellules) recueillent les ARNm via des </w:t>
            </w:r>
            <w:proofErr w:type="spellStart"/>
            <w:r w:rsidRPr="006F6FEE">
              <w:rPr>
                <w:rFonts w:ascii="Times New Roman" w:eastAsia="Times New Roman" w:hAnsi="Times New Roman" w:cs="Times New Roman"/>
                <w:lang w:val="fr-FR" w:eastAsia="fr-FR"/>
              </w:rPr>
              <w:t>oligodT</w:t>
            </w:r>
            <w:proofErr w:type="spellEnd"/>
            <w:r w:rsidRPr="006F6FEE">
              <w:rPr>
                <w:rFonts w:ascii="Times New Roman" w:eastAsia="Times New Roman" w:hAnsi="Times New Roman" w:cs="Times New Roman"/>
                <w:lang w:val="fr-FR" w:eastAsia="fr-FR"/>
              </w:rPr>
              <w:t xml:space="preserve">. Après séquençage, chaque lecture est indexée par le code spatial du spot, reconstituant une matrice d’expression </w:t>
            </w:r>
            <w:proofErr w:type="spellStart"/>
            <w:r w:rsidRPr="006F6FEE">
              <w:rPr>
                <w:rFonts w:ascii="Times New Roman" w:eastAsia="Times New Roman" w:hAnsi="Times New Roman" w:cs="Times New Roman"/>
                <w:lang w:val="fr-FR" w:eastAsia="fr-FR"/>
              </w:rPr>
              <w:t>géo-localisée</w:t>
            </w:r>
            <w:proofErr w:type="spellEnd"/>
            <w:r w:rsidRPr="006F6FEE">
              <w:rPr>
                <w:rFonts w:ascii="Times New Roman" w:eastAsia="Times New Roman" w:hAnsi="Times New Roman" w:cs="Times New Roman"/>
                <w:lang w:val="fr-FR" w:eastAsia="fr-FR"/>
              </w:rPr>
              <w:t>.</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proofErr w:type="spellStart"/>
            <w:proofErr w:type="gramStart"/>
            <w:r w:rsidRPr="006F6FEE">
              <w:rPr>
                <w:rFonts w:ascii="Times New Roman" w:eastAsia="Times New Roman" w:hAnsi="Times New Roman" w:cs="Times New Roman"/>
                <w:b/>
                <w:bCs/>
                <w:lang w:val="fr-FR" w:eastAsia="fr-FR"/>
              </w:rPr>
              <w:t>snPATHO</w:t>
            </w:r>
            <w:proofErr w:type="gramEnd"/>
            <w:r w:rsidRPr="006F6FEE">
              <w:rPr>
                <w:rFonts w:ascii="Times New Roman" w:eastAsia="Times New Roman" w:hAnsi="Times New Roman" w:cs="Times New Roman"/>
                <w:b/>
                <w:bCs/>
                <w:lang w:val="fr-FR" w:eastAsia="fr-FR"/>
              </w:rPr>
              <w:t>-seq</w:t>
            </w:r>
            <w:proofErr w:type="spellEnd"/>
            <w:r w:rsidRPr="006F6FEE">
              <w:rPr>
                <w:rFonts w:ascii="Times New Roman" w:eastAsia="Times New Roman" w:hAnsi="Times New Roman" w:cs="Times New Roman"/>
                <w:b/>
                <w:bCs/>
                <w:lang w:val="fr-FR" w:eastAsia="fr-FR"/>
              </w:rPr>
              <w:t xml:space="preserve"> (single-</w:t>
            </w:r>
            <w:proofErr w:type="spellStart"/>
            <w:r w:rsidRPr="006F6FEE">
              <w:rPr>
                <w:rFonts w:ascii="Times New Roman" w:eastAsia="Times New Roman" w:hAnsi="Times New Roman" w:cs="Times New Roman"/>
                <w:b/>
                <w:bCs/>
                <w:lang w:val="fr-FR" w:eastAsia="fr-FR"/>
              </w:rPr>
              <w:t>nuclei</w:t>
            </w:r>
            <w:proofErr w:type="spellEnd"/>
            <w:r w:rsidRPr="006F6FEE">
              <w:rPr>
                <w:rFonts w:ascii="Times New Roman" w:eastAsia="Times New Roman" w:hAnsi="Times New Roman" w:cs="Times New Roman"/>
                <w:b/>
                <w:bCs/>
                <w:lang w:val="fr-FR" w:eastAsia="fr-FR"/>
              </w:rPr>
              <w:t>)</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Extraction de noyaux de coupes FFPE, dé-cross-</w:t>
            </w:r>
            <w:proofErr w:type="spellStart"/>
            <w:r w:rsidRPr="006F6FEE">
              <w:rPr>
                <w:rFonts w:ascii="Times New Roman" w:eastAsia="Times New Roman" w:hAnsi="Times New Roman" w:cs="Times New Roman"/>
                <w:lang w:val="fr-FR" w:eastAsia="fr-FR"/>
              </w:rPr>
              <w:t>linking</w:t>
            </w:r>
            <w:proofErr w:type="spellEnd"/>
            <w:r w:rsidRPr="006F6FEE">
              <w:rPr>
                <w:rFonts w:ascii="Times New Roman" w:eastAsia="Times New Roman" w:hAnsi="Times New Roman" w:cs="Times New Roman"/>
                <w:lang w:val="fr-FR" w:eastAsia="fr-FR"/>
              </w:rPr>
              <w:t xml:space="preserve"> chimique puis librairie adaptée aux ARN fragmentés. Les UMI (identifiants uniques) comptabilisent chaque molécule pour quantifier l’expression nucléaire malgré la fixation.</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t>Seurat</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Pipeline R pour </w:t>
            </w:r>
            <w:proofErr w:type="spellStart"/>
            <w:r w:rsidRPr="006F6FEE">
              <w:rPr>
                <w:rFonts w:ascii="Times New Roman" w:eastAsia="Times New Roman" w:hAnsi="Times New Roman" w:cs="Times New Roman"/>
                <w:lang w:val="fr-FR" w:eastAsia="fr-FR"/>
              </w:rPr>
              <w:t>scRNA-seq</w:t>
            </w:r>
            <w:proofErr w:type="spellEnd"/>
            <w:r w:rsidRPr="006F6FEE">
              <w:rPr>
                <w:rFonts w:ascii="Times New Roman" w:eastAsia="Times New Roman" w:hAnsi="Times New Roman" w:cs="Times New Roman"/>
                <w:lang w:val="fr-FR" w:eastAsia="fr-FR"/>
              </w:rPr>
              <w:t>/spatial : normalisation (</w:t>
            </w:r>
            <w:proofErr w:type="spellStart"/>
            <w:r w:rsidRPr="006F6FEE">
              <w:rPr>
                <w:rFonts w:ascii="Times New Roman" w:eastAsia="Times New Roman" w:hAnsi="Times New Roman" w:cs="Times New Roman"/>
                <w:lang w:val="fr-FR" w:eastAsia="fr-FR"/>
              </w:rPr>
              <w:t>LogNormalize</w:t>
            </w:r>
            <w:proofErr w:type="spellEnd"/>
            <w:r w:rsidRPr="006F6FEE">
              <w:rPr>
                <w:rFonts w:ascii="Times New Roman" w:eastAsia="Times New Roman" w:hAnsi="Times New Roman" w:cs="Times New Roman"/>
                <w:lang w:val="fr-FR" w:eastAsia="fr-FR"/>
              </w:rPr>
              <w:t>/SCT), identification de gènes variables, réduction de dimensions (PCA/UMAP), clustering (graph-based), intégration d’échantillons via détection d</w:t>
            </w:r>
            <w:proofErr w:type="gramStart"/>
            <w:r w:rsidRPr="006F6FEE">
              <w:rPr>
                <w:rFonts w:ascii="Times New Roman" w:eastAsia="Times New Roman" w:hAnsi="Times New Roman" w:cs="Times New Roman"/>
                <w:lang w:val="fr-FR" w:eastAsia="fr-FR"/>
              </w:rPr>
              <w:t>’«</w:t>
            </w:r>
            <w:proofErr w:type="gramEnd"/>
            <w:r w:rsidRPr="006F6FEE">
              <w:rPr>
                <w:rFonts w:ascii="Times New Roman" w:eastAsia="Times New Roman" w:hAnsi="Times New Roman" w:cs="Times New Roman"/>
                <w:lang w:val="fr-FR" w:eastAsia="fr-FR"/>
              </w:rPr>
              <w:t xml:space="preserve"> </w:t>
            </w:r>
            <w:proofErr w:type="spellStart"/>
            <w:r w:rsidRPr="006F6FEE">
              <w:rPr>
                <w:rFonts w:ascii="Times New Roman" w:eastAsia="Times New Roman" w:hAnsi="Times New Roman" w:cs="Times New Roman"/>
                <w:lang w:val="fr-FR" w:eastAsia="fr-FR"/>
              </w:rPr>
              <w:t>anchors</w:t>
            </w:r>
            <w:proofErr w:type="spellEnd"/>
            <w:r w:rsidRPr="006F6FEE">
              <w:rPr>
                <w:rFonts w:ascii="Times New Roman" w:eastAsia="Times New Roman" w:hAnsi="Times New Roman" w:cs="Times New Roman"/>
                <w:lang w:val="fr-FR" w:eastAsia="fr-FR"/>
              </w:rPr>
              <w:t xml:space="preserve"> ».</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t>Harmony</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Algorithme de correction de batch dans l’espace PCA. Il ajuste les </w:t>
            </w:r>
            <w:proofErr w:type="spellStart"/>
            <w:r w:rsidRPr="006F6FEE">
              <w:rPr>
                <w:rFonts w:ascii="Times New Roman" w:eastAsia="Times New Roman" w:hAnsi="Times New Roman" w:cs="Times New Roman"/>
                <w:lang w:val="fr-FR" w:eastAsia="fr-FR"/>
              </w:rPr>
              <w:t>embeddings</w:t>
            </w:r>
            <w:proofErr w:type="spellEnd"/>
            <w:r w:rsidRPr="006F6FEE">
              <w:rPr>
                <w:rFonts w:ascii="Times New Roman" w:eastAsia="Times New Roman" w:hAnsi="Times New Roman" w:cs="Times New Roman"/>
                <w:lang w:val="fr-FR" w:eastAsia="fr-FR"/>
              </w:rPr>
              <w:t xml:space="preserve"> par itérations pour maximiser la cohérence des clusters biologiques tout en éliminant l’effet technique (patient, lot).</w:t>
            </w:r>
          </w:p>
        </w:tc>
      </w:tr>
      <w:tr w:rsidR="006F6FEE" w:rsidRPr="006F6FEE"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proofErr w:type="spellStart"/>
            <w:r w:rsidRPr="006F6FEE">
              <w:rPr>
                <w:rFonts w:ascii="Times New Roman" w:eastAsia="Times New Roman" w:hAnsi="Times New Roman" w:cs="Times New Roman"/>
                <w:b/>
                <w:bCs/>
                <w:lang w:val="fr-FR" w:eastAsia="fr-FR"/>
              </w:rPr>
              <w:t>FindIntegrationAnchors</w:t>
            </w:r>
            <w:proofErr w:type="spellEnd"/>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Méthode Seurat pour trouver des « ancres » (paires de cellules comparables) entre données, aligner leurs espaces d’expression et corriger les </w:t>
            </w:r>
            <w:proofErr w:type="spellStart"/>
            <w:r w:rsidRPr="006F6FEE">
              <w:rPr>
                <w:rFonts w:ascii="Times New Roman" w:eastAsia="Times New Roman" w:hAnsi="Times New Roman" w:cs="Times New Roman"/>
                <w:lang w:val="fr-FR" w:eastAsia="fr-FR"/>
              </w:rPr>
              <w:t>batchs</w:t>
            </w:r>
            <w:proofErr w:type="spellEnd"/>
            <w:r w:rsidRPr="006F6FEE">
              <w:rPr>
                <w:rFonts w:ascii="Times New Roman" w:eastAsia="Times New Roman" w:hAnsi="Times New Roman" w:cs="Times New Roman"/>
                <w:lang w:val="fr-FR" w:eastAsia="fr-FR"/>
              </w:rPr>
              <w:t>. Limitée si trop peu de types communs.</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t>Clustering Multi-Louvain</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Extension du clustering Louvain qui explore plusieurs résolutions simultanément sur un graphe de voisinage, pour détecter des communautés de tailles et densités variées (utile pour la grande hétérogénéité des sous-types MpBC).</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t>UMAP</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Réduction non-linéaire : construit un graphe de voisinage en haute dimension puis optimise une projection en basse dimension qui préserve à la fois la structure locale (voisinages) et globale (regroupements).</w:t>
            </w:r>
          </w:p>
        </w:tc>
      </w:tr>
      <w:tr w:rsidR="006F6FEE" w:rsidRPr="006F6FEE"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t>MAST</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Modèle « </w:t>
            </w:r>
            <w:proofErr w:type="spellStart"/>
            <w:r w:rsidRPr="006F6FEE">
              <w:rPr>
                <w:rFonts w:ascii="Times New Roman" w:eastAsia="Times New Roman" w:hAnsi="Times New Roman" w:cs="Times New Roman"/>
                <w:lang w:val="fr-FR" w:eastAsia="fr-FR"/>
              </w:rPr>
              <w:t>hurdle</w:t>
            </w:r>
            <w:proofErr w:type="spellEnd"/>
            <w:r w:rsidRPr="006F6FEE">
              <w:rPr>
                <w:rFonts w:ascii="Times New Roman" w:eastAsia="Times New Roman" w:hAnsi="Times New Roman" w:cs="Times New Roman"/>
                <w:lang w:val="fr-FR" w:eastAsia="fr-FR"/>
              </w:rPr>
              <w:t xml:space="preserve"> » en deux parties : logistique pour modéliser la présence/absence d’expression (traitant séparément les zéros techniques vs biologiques), puis modèle gaussien pour quantifier le niveau d’expression. Intègre </w:t>
            </w:r>
            <w:proofErr w:type="spellStart"/>
            <w:r w:rsidRPr="006F6FEE">
              <w:rPr>
                <w:rFonts w:ascii="Times New Roman" w:eastAsia="Times New Roman" w:hAnsi="Times New Roman" w:cs="Times New Roman"/>
                <w:lang w:val="fr-FR" w:eastAsia="fr-FR"/>
              </w:rPr>
              <w:t>covariables</w:t>
            </w:r>
            <w:proofErr w:type="spellEnd"/>
            <w:r w:rsidRPr="006F6FEE">
              <w:rPr>
                <w:rFonts w:ascii="Times New Roman" w:eastAsia="Times New Roman" w:hAnsi="Times New Roman" w:cs="Times New Roman"/>
                <w:lang w:val="fr-FR" w:eastAsia="fr-FR"/>
              </w:rPr>
              <w:t xml:space="preserve"> fixes (type cellulaire) et aléatoires (patient).</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t>Mutect2 (GATK)</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Appel de mutations somatiques via un modèle bayésien. Compare l’échantillon tumoral à un contrôle (ici, compartiments appariés) pour distinguer mutations spécifiques (&gt; 15 % AF) et mutations clonales (présentes dans les deux compartiments).</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proofErr w:type="spellStart"/>
            <w:r w:rsidRPr="006F6FEE">
              <w:rPr>
                <w:rFonts w:ascii="Times New Roman" w:eastAsia="Times New Roman" w:hAnsi="Times New Roman" w:cs="Times New Roman"/>
                <w:b/>
                <w:bCs/>
                <w:lang w:val="fr-FR" w:eastAsia="fr-FR"/>
              </w:rPr>
              <w:t>PureCN</w:t>
            </w:r>
            <w:proofErr w:type="spellEnd"/>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Détection des CNA et estimation de la pureté tumorale. Utilise les profils de couverture séquencée et les fréquences alléliques, </w:t>
            </w:r>
            <w:r w:rsidRPr="006F6FEE">
              <w:rPr>
                <w:rFonts w:ascii="Times New Roman" w:eastAsia="Times New Roman" w:hAnsi="Times New Roman" w:cs="Times New Roman"/>
                <w:lang w:val="fr-FR" w:eastAsia="fr-FR"/>
              </w:rPr>
              <w:lastRenderedPageBreak/>
              <w:t>comparés à un pool normal de référence pour segmenter les gains et pertes de copies.</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lastRenderedPageBreak/>
              <w:t>RCTD</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Déconvolution des spots Visium : s’appuie sur un atlas </w:t>
            </w:r>
            <w:proofErr w:type="spellStart"/>
            <w:r w:rsidRPr="006F6FEE">
              <w:rPr>
                <w:rFonts w:ascii="Times New Roman" w:eastAsia="Times New Roman" w:hAnsi="Times New Roman" w:cs="Times New Roman"/>
                <w:lang w:val="fr-FR" w:eastAsia="fr-FR"/>
              </w:rPr>
              <w:t>scRNA-seq</w:t>
            </w:r>
            <w:proofErr w:type="spellEnd"/>
            <w:r w:rsidRPr="006F6FEE">
              <w:rPr>
                <w:rFonts w:ascii="Times New Roman" w:eastAsia="Times New Roman" w:hAnsi="Times New Roman" w:cs="Times New Roman"/>
                <w:lang w:val="fr-FR" w:eastAsia="fr-FR"/>
              </w:rPr>
              <w:t xml:space="preserve"> de référence pour estimer la proportion de chaque type cellulaire contribuant au signal transcriptionnel d’un spot.</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proofErr w:type="spellStart"/>
            <w:r w:rsidRPr="006F6FEE">
              <w:rPr>
                <w:rFonts w:ascii="Times New Roman" w:eastAsia="Times New Roman" w:hAnsi="Times New Roman" w:cs="Times New Roman"/>
                <w:b/>
                <w:bCs/>
                <w:lang w:val="fr-FR" w:eastAsia="fr-FR"/>
              </w:rPr>
              <w:t>SpatialDM</w:t>
            </w:r>
            <w:proofErr w:type="spellEnd"/>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Recherche de paires ligand–récepteur spatiales. Calcule la </w:t>
            </w:r>
            <w:proofErr w:type="spellStart"/>
            <w:r w:rsidRPr="006F6FEE">
              <w:rPr>
                <w:rFonts w:ascii="Times New Roman" w:eastAsia="Times New Roman" w:hAnsi="Times New Roman" w:cs="Times New Roman"/>
                <w:lang w:val="fr-FR" w:eastAsia="fr-FR"/>
              </w:rPr>
              <w:t>co</w:t>
            </w:r>
            <w:proofErr w:type="spellEnd"/>
            <w:r w:rsidRPr="006F6FEE">
              <w:rPr>
                <w:rFonts w:ascii="Times New Roman" w:eastAsia="Times New Roman" w:hAnsi="Times New Roman" w:cs="Times New Roman"/>
                <w:lang w:val="fr-FR" w:eastAsia="fr-FR"/>
              </w:rPr>
              <w:t>-expression locale, teste la significativité statistique pour révéler les interactions potentielles entre cellules dans le tissu.</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b/>
                <w:bCs/>
                <w:lang w:val="fr-FR" w:eastAsia="fr-FR"/>
              </w:rPr>
              <w:t>SCENIC</w:t>
            </w:r>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Inférence de réseaux de régulation : identification de modules de </w:t>
            </w:r>
            <w:proofErr w:type="spellStart"/>
            <w:r w:rsidRPr="006F6FEE">
              <w:rPr>
                <w:rFonts w:ascii="Times New Roman" w:eastAsia="Times New Roman" w:hAnsi="Times New Roman" w:cs="Times New Roman"/>
                <w:lang w:val="fr-FR" w:eastAsia="fr-FR"/>
              </w:rPr>
              <w:t>co</w:t>
            </w:r>
            <w:proofErr w:type="spellEnd"/>
            <w:r w:rsidRPr="006F6FEE">
              <w:rPr>
                <w:rFonts w:ascii="Times New Roman" w:eastAsia="Times New Roman" w:hAnsi="Times New Roman" w:cs="Times New Roman"/>
                <w:lang w:val="fr-FR" w:eastAsia="fr-FR"/>
              </w:rPr>
              <w:t xml:space="preserve">-expression, enrichissement en motifs de liaison des TF (facteurs de transcription), puis calcul de l’activité des « </w:t>
            </w:r>
            <w:proofErr w:type="spellStart"/>
            <w:r w:rsidRPr="006F6FEE">
              <w:rPr>
                <w:rFonts w:ascii="Times New Roman" w:eastAsia="Times New Roman" w:hAnsi="Times New Roman" w:cs="Times New Roman"/>
                <w:lang w:val="fr-FR" w:eastAsia="fr-FR"/>
              </w:rPr>
              <w:t>regulons</w:t>
            </w:r>
            <w:proofErr w:type="spellEnd"/>
            <w:r w:rsidRPr="006F6FEE">
              <w:rPr>
                <w:rFonts w:ascii="Times New Roman" w:eastAsia="Times New Roman" w:hAnsi="Times New Roman" w:cs="Times New Roman"/>
                <w:lang w:val="fr-FR" w:eastAsia="fr-FR"/>
              </w:rPr>
              <w:t xml:space="preserve"> » au niveau cellulaire.</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proofErr w:type="spellStart"/>
            <w:r w:rsidRPr="006F6FEE">
              <w:rPr>
                <w:rFonts w:ascii="Times New Roman" w:eastAsia="Times New Roman" w:hAnsi="Times New Roman" w:cs="Times New Roman"/>
                <w:b/>
                <w:bCs/>
                <w:lang w:val="fr-FR" w:eastAsia="fr-FR"/>
              </w:rPr>
              <w:t>XClone</w:t>
            </w:r>
            <w:proofErr w:type="spellEnd"/>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w:t>
            </w:r>
            <w:proofErr w:type="gramStart"/>
            <w:r w:rsidRPr="006F6FEE">
              <w:rPr>
                <w:rFonts w:ascii="Times New Roman" w:eastAsia="Times New Roman" w:hAnsi="Times New Roman" w:cs="Times New Roman"/>
                <w:lang w:val="fr-FR" w:eastAsia="fr-FR"/>
              </w:rPr>
              <w:t>optionnel</w:t>
            </w:r>
            <w:proofErr w:type="gramEnd"/>
            <w:r w:rsidRPr="006F6FEE">
              <w:rPr>
                <w:rFonts w:ascii="Times New Roman" w:eastAsia="Times New Roman" w:hAnsi="Times New Roman" w:cs="Times New Roman"/>
                <w:lang w:val="fr-FR" w:eastAsia="fr-FR"/>
              </w:rPr>
              <w:t xml:space="preserve"> pour CNA) Modélise les comptes alléliques à l’échelle cellulaire, segmente le génome et estime les gains/pertes chromosomiques dans chaque cellule.</w:t>
            </w:r>
          </w:p>
        </w:tc>
      </w:tr>
      <w:tr w:rsidR="006F6FEE" w:rsidRPr="00FB5E8F" w:rsidTr="006F6FEE">
        <w:trPr>
          <w:tblCellSpacing w:w="15" w:type="dxa"/>
        </w:trPr>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proofErr w:type="spellStart"/>
            <w:r w:rsidRPr="006F6FEE">
              <w:rPr>
                <w:rFonts w:ascii="Times New Roman" w:eastAsia="Times New Roman" w:hAnsi="Times New Roman" w:cs="Times New Roman"/>
                <w:b/>
                <w:bCs/>
                <w:lang w:val="fr-FR" w:eastAsia="fr-FR"/>
              </w:rPr>
              <w:t>Splatter</w:t>
            </w:r>
            <w:proofErr w:type="spellEnd"/>
          </w:p>
        </w:tc>
        <w:tc>
          <w:tcPr>
            <w:tcW w:w="0" w:type="auto"/>
            <w:vAlign w:val="center"/>
            <w:hideMark/>
          </w:tcPr>
          <w:p w:rsidR="006F6FEE" w:rsidRPr="006F6FEE" w:rsidRDefault="006F6FEE" w:rsidP="006F6FEE">
            <w:pPr>
              <w:spacing w:after="0"/>
              <w:rPr>
                <w:rFonts w:ascii="Times New Roman" w:eastAsia="Times New Roman" w:hAnsi="Times New Roman" w:cs="Times New Roman"/>
                <w:lang w:val="fr-FR" w:eastAsia="fr-FR"/>
              </w:rPr>
            </w:pPr>
            <w:r w:rsidRPr="006F6FEE">
              <w:rPr>
                <w:rFonts w:ascii="Times New Roman" w:eastAsia="Times New Roman" w:hAnsi="Times New Roman" w:cs="Times New Roman"/>
                <w:lang w:val="fr-FR" w:eastAsia="fr-FR"/>
              </w:rPr>
              <w:t xml:space="preserve">Simulation de données </w:t>
            </w:r>
            <w:proofErr w:type="spellStart"/>
            <w:r w:rsidRPr="006F6FEE">
              <w:rPr>
                <w:rFonts w:ascii="Times New Roman" w:eastAsia="Times New Roman" w:hAnsi="Times New Roman" w:cs="Times New Roman"/>
                <w:lang w:val="fr-FR" w:eastAsia="fr-FR"/>
              </w:rPr>
              <w:t>scRNA-seq</w:t>
            </w:r>
            <w:proofErr w:type="spellEnd"/>
            <w:r w:rsidRPr="006F6FEE">
              <w:rPr>
                <w:rFonts w:ascii="Times New Roman" w:eastAsia="Times New Roman" w:hAnsi="Times New Roman" w:cs="Times New Roman"/>
                <w:lang w:val="fr-FR" w:eastAsia="fr-FR"/>
              </w:rPr>
              <w:t xml:space="preserve"> synthétiques selon un modèle gamma–Poisson avec dropout pour tester et valider les pipelines analytiques en conditions contrôlées.</w:t>
            </w:r>
          </w:p>
        </w:tc>
      </w:tr>
    </w:tbl>
    <w:p w:rsidR="006F6FEE" w:rsidRPr="00FB5E8F" w:rsidRDefault="006F6FEE">
      <w:pPr>
        <w:pStyle w:val="Corpsdetexte"/>
        <w:rPr>
          <w:lang w:val="fr-FR"/>
        </w:rPr>
      </w:pPr>
    </w:p>
    <w:sectPr w:rsidR="006F6FEE" w:rsidRPr="00FB5E8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CB0A2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44C9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895EF7"/>
    <w:multiLevelType w:val="multilevel"/>
    <w:tmpl w:val="F120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90E3B"/>
    <w:multiLevelType w:val="multilevel"/>
    <w:tmpl w:val="4904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80905"/>
    <w:multiLevelType w:val="multilevel"/>
    <w:tmpl w:val="5EA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36EAF"/>
    <w:multiLevelType w:val="multilevel"/>
    <w:tmpl w:val="EAF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61D73"/>
    <w:multiLevelType w:val="multilevel"/>
    <w:tmpl w:val="01B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D145B"/>
    <w:multiLevelType w:val="multilevel"/>
    <w:tmpl w:val="4A10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93C78"/>
    <w:multiLevelType w:val="multilevel"/>
    <w:tmpl w:val="17F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B7156"/>
    <w:multiLevelType w:val="multilevel"/>
    <w:tmpl w:val="6CA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7"/>
  </w:num>
  <w:num w:numId="7">
    <w:abstractNumId w:val="8"/>
  </w:num>
  <w:num w:numId="8">
    <w:abstractNumId w:val="3"/>
  </w:num>
  <w:num w:numId="9">
    <w:abstractNumId w:val="5"/>
  </w:num>
  <w:num w:numId="10">
    <w:abstractNumId w:val="9"/>
  </w:num>
  <w:num w:numId="11">
    <w:abstractNumId w:val="4"/>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29"/>
    <w:rsid w:val="0011244D"/>
    <w:rsid w:val="0032374C"/>
    <w:rsid w:val="00456DF4"/>
    <w:rsid w:val="00692287"/>
    <w:rsid w:val="006F6FEE"/>
    <w:rsid w:val="00A21E2B"/>
    <w:rsid w:val="00E47719"/>
    <w:rsid w:val="00F74B29"/>
    <w:rsid w:val="00FB5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35C45"/>
  <w15:docId w15:val="{E5FDC475-43F6-4F32-9755-7E1153B7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ev">
    <w:name w:val="Strong"/>
    <w:basedOn w:val="Policepardfaut"/>
    <w:uiPriority w:val="22"/>
    <w:qFormat/>
    <w:rsid w:val="006F6F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96983">
      <w:bodyDiv w:val="1"/>
      <w:marLeft w:val="0"/>
      <w:marRight w:val="0"/>
      <w:marTop w:val="0"/>
      <w:marBottom w:val="0"/>
      <w:divBdr>
        <w:top w:val="none" w:sz="0" w:space="0" w:color="auto"/>
        <w:left w:val="none" w:sz="0" w:space="0" w:color="auto"/>
        <w:bottom w:val="none" w:sz="0" w:space="0" w:color="auto"/>
        <w:right w:val="none" w:sz="0" w:space="0" w:color="auto"/>
      </w:divBdr>
    </w:div>
    <w:div w:id="366686506">
      <w:bodyDiv w:val="1"/>
      <w:marLeft w:val="0"/>
      <w:marRight w:val="0"/>
      <w:marTop w:val="0"/>
      <w:marBottom w:val="0"/>
      <w:divBdr>
        <w:top w:val="none" w:sz="0" w:space="0" w:color="auto"/>
        <w:left w:val="none" w:sz="0" w:space="0" w:color="auto"/>
        <w:bottom w:val="none" w:sz="0" w:space="0" w:color="auto"/>
        <w:right w:val="none" w:sz="0" w:space="0" w:color="auto"/>
      </w:divBdr>
    </w:div>
    <w:div w:id="419720276">
      <w:bodyDiv w:val="1"/>
      <w:marLeft w:val="0"/>
      <w:marRight w:val="0"/>
      <w:marTop w:val="0"/>
      <w:marBottom w:val="0"/>
      <w:divBdr>
        <w:top w:val="none" w:sz="0" w:space="0" w:color="auto"/>
        <w:left w:val="none" w:sz="0" w:space="0" w:color="auto"/>
        <w:bottom w:val="none" w:sz="0" w:space="0" w:color="auto"/>
        <w:right w:val="none" w:sz="0" w:space="0" w:color="auto"/>
      </w:divBdr>
    </w:div>
    <w:div w:id="538132171">
      <w:bodyDiv w:val="1"/>
      <w:marLeft w:val="0"/>
      <w:marRight w:val="0"/>
      <w:marTop w:val="0"/>
      <w:marBottom w:val="0"/>
      <w:divBdr>
        <w:top w:val="none" w:sz="0" w:space="0" w:color="auto"/>
        <w:left w:val="none" w:sz="0" w:space="0" w:color="auto"/>
        <w:bottom w:val="none" w:sz="0" w:space="0" w:color="auto"/>
        <w:right w:val="none" w:sz="0" w:space="0" w:color="auto"/>
      </w:divBdr>
    </w:div>
    <w:div w:id="706487279">
      <w:bodyDiv w:val="1"/>
      <w:marLeft w:val="0"/>
      <w:marRight w:val="0"/>
      <w:marTop w:val="0"/>
      <w:marBottom w:val="0"/>
      <w:divBdr>
        <w:top w:val="none" w:sz="0" w:space="0" w:color="auto"/>
        <w:left w:val="none" w:sz="0" w:space="0" w:color="auto"/>
        <w:bottom w:val="none" w:sz="0" w:space="0" w:color="auto"/>
        <w:right w:val="none" w:sz="0" w:space="0" w:color="auto"/>
      </w:divBdr>
    </w:div>
    <w:div w:id="855463960">
      <w:bodyDiv w:val="1"/>
      <w:marLeft w:val="0"/>
      <w:marRight w:val="0"/>
      <w:marTop w:val="0"/>
      <w:marBottom w:val="0"/>
      <w:divBdr>
        <w:top w:val="none" w:sz="0" w:space="0" w:color="auto"/>
        <w:left w:val="none" w:sz="0" w:space="0" w:color="auto"/>
        <w:bottom w:val="none" w:sz="0" w:space="0" w:color="auto"/>
        <w:right w:val="none" w:sz="0" w:space="0" w:color="auto"/>
      </w:divBdr>
    </w:div>
    <w:div w:id="899948028">
      <w:bodyDiv w:val="1"/>
      <w:marLeft w:val="0"/>
      <w:marRight w:val="0"/>
      <w:marTop w:val="0"/>
      <w:marBottom w:val="0"/>
      <w:divBdr>
        <w:top w:val="none" w:sz="0" w:space="0" w:color="auto"/>
        <w:left w:val="none" w:sz="0" w:space="0" w:color="auto"/>
        <w:bottom w:val="none" w:sz="0" w:space="0" w:color="auto"/>
        <w:right w:val="none" w:sz="0" w:space="0" w:color="auto"/>
      </w:divBdr>
    </w:div>
    <w:div w:id="951522351">
      <w:bodyDiv w:val="1"/>
      <w:marLeft w:val="0"/>
      <w:marRight w:val="0"/>
      <w:marTop w:val="0"/>
      <w:marBottom w:val="0"/>
      <w:divBdr>
        <w:top w:val="none" w:sz="0" w:space="0" w:color="auto"/>
        <w:left w:val="none" w:sz="0" w:space="0" w:color="auto"/>
        <w:bottom w:val="none" w:sz="0" w:space="0" w:color="auto"/>
        <w:right w:val="none" w:sz="0" w:space="0" w:color="auto"/>
      </w:divBdr>
    </w:div>
    <w:div w:id="1023632061">
      <w:bodyDiv w:val="1"/>
      <w:marLeft w:val="0"/>
      <w:marRight w:val="0"/>
      <w:marTop w:val="0"/>
      <w:marBottom w:val="0"/>
      <w:divBdr>
        <w:top w:val="none" w:sz="0" w:space="0" w:color="auto"/>
        <w:left w:val="none" w:sz="0" w:space="0" w:color="auto"/>
        <w:bottom w:val="none" w:sz="0" w:space="0" w:color="auto"/>
        <w:right w:val="none" w:sz="0" w:space="0" w:color="auto"/>
      </w:divBdr>
    </w:div>
    <w:div w:id="1316840439">
      <w:bodyDiv w:val="1"/>
      <w:marLeft w:val="0"/>
      <w:marRight w:val="0"/>
      <w:marTop w:val="0"/>
      <w:marBottom w:val="0"/>
      <w:divBdr>
        <w:top w:val="none" w:sz="0" w:space="0" w:color="auto"/>
        <w:left w:val="none" w:sz="0" w:space="0" w:color="auto"/>
        <w:bottom w:val="none" w:sz="0" w:space="0" w:color="auto"/>
        <w:right w:val="none" w:sz="0" w:space="0" w:color="auto"/>
      </w:divBdr>
    </w:div>
    <w:div w:id="1375345184">
      <w:bodyDiv w:val="1"/>
      <w:marLeft w:val="0"/>
      <w:marRight w:val="0"/>
      <w:marTop w:val="0"/>
      <w:marBottom w:val="0"/>
      <w:divBdr>
        <w:top w:val="none" w:sz="0" w:space="0" w:color="auto"/>
        <w:left w:val="none" w:sz="0" w:space="0" w:color="auto"/>
        <w:bottom w:val="none" w:sz="0" w:space="0" w:color="auto"/>
        <w:right w:val="none" w:sz="0" w:space="0" w:color="auto"/>
      </w:divBdr>
    </w:div>
    <w:div w:id="1376929033">
      <w:bodyDiv w:val="1"/>
      <w:marLeft w:val="0"/>
      <w:marRight w:val="0"/>
      <w:marTop w:val="0"/>
      <w:marBottom w:val="0"/>
      <w:divBdr>
        <w:top w:val="none" w:sz="0" w:space="0" w:color="auto"/>
        <w:left w:val="none" w:sz="0" w:space="0" w:color="auto"/>
        <w:bottom w:val="none" w:sz="0" w:space="0" w:color="auto"/>
        <w:right w:val="none" w:sz="0" w:space="0" w:color="auto"/>
      </w:divBdr>
    </w:div>
    <w:div w:id="1566647845">
      <w:bodyDiv w:val="1"/>
      <w:marLeft w:val="0"/>
      <w:marRight w:val="0"/>
      <w:marTop w:val="0"/>
      <w:marBottom w:val="0"/>
      <w:divBdr>
        <w:top w:val="none" w:sz="0" w:space="0" w:color="auto"/>
        <w:left w:val="none" w:sz="0" w:space="0" w:color="auto"/>
        <w:bottom w:val="none" w:sz="0" w:space="0" w:color="auto"/>
        <w:right w:val="none" w:sz="0" w:space="0" w:color="auto"/>
      </w:divBdr>
    </w:div>
    <w:div w:id="1598170986">
      <w:bodyDiv w:val="1"/>
      <w:marLeft w:val="0"/>
      <w:marRight w:val="0"/>
      <w:marTop w:val="0"/>
      <w:marBottom w:val="0"/>
      <w:divBdr>
        <w:top w:val="none" w:sz="0" w:space="0" w:color="auto"/>
        <w:left w:val="none" w:sz="0" w:space="0" w:color="auto"/>
        <w:bottom w:val="none" w:sz="0" w:space="0" w:color="auto"/>
        <w:right w:val="none" w:sz="0" w:space="0" w:color="auto"/>
      </w:divBdr>
    </w:div>
    <w:div w:id="19360130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7</Pages>
  <Words>1829</Words>
  <Characters>10062</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bioinfo</dc:creator>
  <cp:keywords/>
  <cp:lastModifiedBy>bioinfo</cp:lastModifiedBy>
  <cp:revision>4</cp:revision>
  <dcterms:created xsi:type="dcterms:W3CDTF">2025-06-12T11:45:00Z</dcterms:created>
  <dcterms:modified xsi:type="dcterms:W3CDTF">2025-06-16T14:18:00Z</dcterms:modified>
</cp:coreProperties>
</file>