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40352E"/>
          <w:sz w:val="48"/>
        </w:rPr>
        <w:t>Briefing para abertura de empresa</w:t>
      </w:r>
    </w:p>
    <w:p>
      <w:pPr>
        <w:spacing w:after="40"/>
      </w:pPr>
      <w:r>
        <w:rPr>
          <w:rFonts w:ascii="Calibri" w:hAnsi="Calibri"/>
          <w:i/>
          <w:color w:val="B85C38"/>
          <w:sz w:val="32"/>
        </w:rPr>
        <w:t>GABAIA by NeuroMãe</w:t>
      </w:r>
    </w:p>
    <w:p>
      <w:pPr>
        <w:spacing w:after="240"/>
      </w:pPr>
      <w:r>
        <w:rPr>
          <w:rFonts w:ascii="Calibri" w:hAnsi="Calibri"/>
          <w:color w:val="6E6760"/>
          <w:sz w:val="20"/>
        </w:rPr>
        <w:t>Documento preparado para envio ao contador  •  Tatiana Dias Junco  •  Londrina/PR</w:t>
      </w:r>
    </w:p>
    <w:p>
      <w:pPr>
        <w:pBdr>
          <w:bottom w:val="single" w:sz="8" w:space="1" w:color="B85C38"/>
        </w:pBdr>
      </w:pPr>
    </w:p>
    <w:p>
      <w:pPr>
        <w:spacing w:before="360" w:after="120"/>
      </w:pPr>
      <w:r>
        <w:rPr>
          <w:rFonts w:ascii="Calibri" w:hAnsi="Calibri"/>
          <w:b/>
          <w:color w:val="40352E"/>
          <w:sz w:val="36"/>
        </w:rPr>
        <w:t>1. Resumo do negócio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A GABAIA é uma assistente de inteligência artificial que conversa via WhatsApp com mães brasileiras atípicas — mães de crianças com TDAH, TEA, dislexia e outras dificuldades de aprendizagem. Acolhe, escuta, organiza a rotina e orienta com base em neurociência comportamental. A empresa-mãe se chama NeuroMãe; a GABAIA é o produto.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Operação é 100% digital, sem ponto comercial físico, sem estoque, sem atendimento presencial. Não há captura de cartão dentro do nosso sistema: o checkout é externo (link Mercado Pago entregue via WhatsApp). A landing page (somente apresentação) já está no ar.</w:t>
      </w:r>
    </w:p>
    <w:p>
      <w:pPr>
        <w:spacing w:before="360" w:after="120"/>
      </w:pPr>
      <w:r>
        <w:rPr>
          <w:rFonts w:ascii="Calibri" w:hAnsi="Calibri"/>
          <w:b/>
          <w:color w:val="40352E"/>
          <w:sz w:val="36"/>
        </w:rPr>
        <w:t>2. Modelo de receita</w:t>
      </w:r>
    </w:p>
    <w:p>
      <w:pPr>
        <w:pStyle w:val="ListBullet"/>
        <w:spacing w:after="40"/>
      </w:pPr>
      <w:r>
        <w:rPr>
          <w:rFonts w:ascii="Calibri" w:hAnsi="Calibri"/>
          <w:b/>
          <w:color w:val="40352E"/>
          <w:sz w:val="22"/>
        </w:rPr>
        <w:t xml:space="preserve">Tipo de receita: </w:t>
      </w:r>
      <w:r>
        <w:rPr>
          <w:rFonts w:ascii="Calibri" w:hAnsi="Calibri"/>
          <w:color w:val="40352E"/>
          <w:sz w:val="22"/>
        </w:rPr>
        <w:t>assinatura recorrente (mensal/anual), modelo SaaS B2C.</w:t>
      </w:r>
    </w:p>
    <w:p>
      <w:pPr>
        <w:pStyle w:val="ListBullet"/>
        <w:spacing w:after="40"/>
      </w:pPr>
      <w:r>
        <w:rPr>
          <w:rFonts w:ascii="Calibri" w:hAnsi="Calibri"/>
          <w:b/>
          <w:color w:val="40352E"/>
          <w:sz w:val="22"/>
        </w:rPr>
        <w:t xml:space="preserve">Canal de cobrança: </w:t>
      </w:r>
      <w:r>
        <w:rPr>
          <w:rFonts w:ascii="Calibri" w:hAnsi="Calibri"/>
          <w:color w:val="40352E"/>
          <w:sz w:val="22"/>
        </w:rPr>
        <w:t>Mercado Pago (gateway externo). O Mercado Pago repassa o líquido para a conta da empresa.</w:t>
      </w:r>
    </w:p>
    <w:p>
      <w:pPr>
        <w:pStyle w:val="ListBullet"/>
        <w:spacing w:after="40"/>
      </w:pPr>
      <w:r>
        <w:rPr>
          <w:rFonts w:ascii="Calibri" w:hAnsi="Calibri"/>
          <w:b/>
          <w:color w:val="40352E"/>
          <w:sz w:val="22"/>
        </w:rPr>
        <w:t xml:space="preserve">Notas fiscais: </w:t>
      </w:r>
      <w:r>
        <w:rPr>
          <w:rFonts w:ascii="Calibri" w:hAnsi="Calibri"/>
          <w:color w:val="40352E"/>
          <w:sz w:val="22"/>
        </w:rPr>
        <w:t>serviço prestado a pessoa física dentro do Brasil; emissão de NFS-e municipal (Londrina).</w:t>
      </w:r>
    </w:p>
    <w:p>
      <w:pPr>
        <w:pStyle w:val="ListBullet"/>
        <w:spacing w:after="40"/>
      </w:pPr>
      <w:r>
        <w:rPr>
          <w:rFonts w:ascii="Calibri" w:hAnsi="Calibri"/>
          <w:b/>
          <w:color w:val="40352E"/>
          <w:sz w:val="22"/>
        </w:rPr>
        <w:t xml:space="preserve">Sazonalidade: </w:t>
      </w:r>
      <w:r>
        <w:rPr>
          <w:rFonts w:ascii="Calibri" w:hAnsi="Calibri"/>
          <w:color w:val="40352E"/>
          <w:sz w:val="22"/>
        </w:rPr>
        <w:t>ainda desconhecida — é o primeiro ciclo de operação.</w:t>
      </w:r>
    </w:p>
    <w:p>
      <w:pPr>
        <w:pStyle w:val="ListBullet"/>
        <w:spacing w:after="40"/>
      </w:pPr>
      <w:r>
        <w:rPr>
          <w:rFonts w:ascii="Calibri" w:hAnsi="Calibri"/>
          <w:b/>
          <w:color w:val="40352E"/>
          <w:sz w:val="22"/>
        </w:rPr>
        <w:t xml:space="preserve">Receitas secundárias possíveis (médio prazo): </w:t>
      </w:r>
      <w:r>
        <w:rPr>
          <w:rFonts w:ascii="Calibri" w:hAnsi="Calibri"/>
          <w:color w:val="40352E"/>
          <w:sz w:val="22"/>
        </w:rPr>
        <w:t>eBooks, mentoria/consultoria, cursos/treinamento, conteúdos premium.</w:t>
      </w:r>
    </w:p>
    <w:p>
      <w:pPr>
        <w:spacing w:before="360" w:after="120"/>
      </w:pPr>
      <w:r>
        <w:rPr>
          <w:rFonts w:ascii="Calibri" w:hAnsi="Calibri"/>
          <w:b/>
          <w:color w:val="40352E"/>
          <w:sz w:val="36"/>
        </w:rPr>
        <w:t>3. Perfil da empreendedora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Tatiana, 43 anos, atuará sozinha (sem sócios). Formação em Direito (não exerceu), experiência anterior como programadora (5 anos em TI corporativa), pós-graduada em Neurociência Comportamental, com Psicopedagogia em conclusão. Orçamento de lançamento enxuto — é fundamental que a estrutura tributária e contábil priorize custo-benefício e simplicidade operacional. Já possuo um CNPJ ativo (ME) com outra atividade; este novo CNPJ é exclusivamente para a GABAIA.</w:t>
      </w:r>
    </w:p>
    <w:p>
      <w:pPr>
        <w:spacing w:before="360" w:after="120"/>
      </w:pPr>
      <w:r>
        <w:rPr>
          <w:rFonts w:ascii="Calibri" w:hAnsi="Calibri"/>
          <w:b/>
          <w:color w:val="40352E"/>
          <w:sz w:val="36"/>
        </w:rPr>
        <w:t>4. Cenários de faturamento estimado (primeiros 12 meses)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Como o produto ainda não foi lançado, não há histórico para projetar com precisão. Sugiro analisar os três cenários abaixo: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val="clear" w:color="auto" w:fill="F3ECE3"/>
          </w:tcPr>
          <w:p>
            <w:r>
              <w:rPr>
                <w:rFonts w:ascii="Calibri" w:hAnsi="Calibri"/>
                <w:b/>
                <w:color w:val="40352E"/>
                <w:sz w:val="20"/>
              </w:rPr>
              <w:t>Cenário</w:t>
            </w:r>
          </w:p>
        </w:tc>
        <w:tc>
          <w:tcPr>
            <w:tcW w:type="dxa" w:w="2381"/>
            <w:shd w:val="clear" w:color="auto" w:fill="F3ECE3"/>
          </w:tcPr>
          <w:p>
            <w:r>
              <w:rPr>
                <w:rFonts w:ascii="Calibri" w:hAnsi="Calibri"/>
                <w:b/>
                <w:color w:val="40352E"/>
                <w:sz w:val="20"/>
              </w:rPr>
              <w:t>Faturamento anual</w:t>
            </w:r>
          </w:p>
        </w:tc>
        <w:tc>
          <w:tcPr>
            <w:tcW w:type="dxa" w:w="2381"/>
            <w:shd w:val="clear" w:color="auto" w:fill="F3ECE3"/>
          </w:tcPr>
          <w:p>
            <w:r>
              <w:rPr>
                <w:rFonts w:ascii="Calibri" w:hAnsi="Calibri"/>
                <w:b/>
                <w:color w:val="40352E"/>
                <w:sz w:val="20"/>
              </w:rPr>
              <w:t>Faturamento médio mensal</w:t>
            </w:r>
          </w:p>
        </w:tc>
        <w:tc>
          <w:tcPr>
            <w:tcW w:type="dxa" w:w="2835"/>
            <w:shd w:val="clear" w:color="auto" w:fill="F3ECE3"/>
          </w:tcPr>
          <w:p>
            <w:r>
              <w:rPr>
                <w:rFonts w:ascii="Calibri" w:hAnsi="Calibri"/>
                <w:b/>
                <w:color w:val="40352E"/>
                <w:sz w:val="20"/>
              </w:rPr>
              <w:t>Premissa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b/>
                <w:color w:val="40352E"/>
                <w:sz w:val="20"/>
              </w:rPr>
              <w:t>Conservador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color w:val="40352E"/>
                <w:sz w:val="20"/>
              </w:rPr>
              <w:t>até R$ 80.000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color w:val="40352E"/>
                <w:sz w:val="20"/>
              </w:rPr>
              <w:t>~R$ 6.700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40352E"/>
                <w:sz w:val="20"/>
              </w:rPr>
              <w:t>Lançamento orgânico, sem mídia paga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b/>
                <w:color w:val="40352E"/>
                <w:sz w:val="20"/>
              </w:rPr>
              <w:t>Realista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color w:val="40352E"/>
                <w:sz w:val="20"/>
              </w:rPr>
              <w:t>R$ 80–240 mil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color w:val="40352E"/>
                <w:sz w:val="20"/>
              </w:rPr>
              <w:t>R$ 7–20 mil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40352E"/>
                <w:sz w:val="20"/>
              </w:rPr>
              <w:t>Lançamento orgânico + tráfego pago modesto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b/>
                <w:color w:val="40352E"/>
                <w:sz w:val="20"/>
              </w:rPr>
              <w:t>Otimista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color w:val="40352E"/>
                <w:sz w:val="20"/>
              </w:rPr>
              <w:t>R$ 240–600 mil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color w:val="40352E"/>
                <w:sz w:val="20"/>
              </w:rPr>
              <w:t>R$ 20–50 mil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40352E"/>
                <w:sz w:val="20"/>
              </w:rPr>
              <w:t>Tração consistente, conteúdo viraliza</w:t>
            </w:r>
          </w:p>
        </w:tc>
      </w:tr>
    </w:tbl>
    <w:p>
      <w:pPr>
        <w:spacing w:after="80" w:before="80"/>
      </w:pPr>
      <w:r>
        <w:rPr>
          <w:rFonts w:ascii="Calibri" w:hAnsi="Calibri"/>
          <w:b w:val="0"/>
          <w:i/>
          <w:color w:val="6E6760"/>
          <w:sz w:val="20"/>
        </w:rPr>
        <w:t>Observação: o cenário otimista pode estourar o limite de Microempresa (R$ 360 mil/ano) ainda no primeiro ciclo. Importante que a estrutura escolhida suporte essa transição sem ruptura.</w:t>
      </w:r>
    </w:p>
    <w:p>
      <w:pPr>
        <w:spacing w:before="360" w:after="120"/>
      </w:pPr>
      <w:r>
        <w:rPr>
          <w:rFonts w:ascii="Calibri" w:hAnsi="Calibri"/>
          <w:b/>
          <w:color w:val="40352E"/>
          <w:sz w:val="36"/>
        </w:rPr>
        <w:t>5. Tipo societário pretendido — SLU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Pretendo abrir como Sociedade Limitada Unipessoal (SLU) pelos seguintes motivos: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Sócia única (não pretendo dividir o controle agora).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Não exige capital social mínimo legal.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Protege o patrimônio pessoal — diferente do Empresário Individual (EI), em que o titular responde com bens próprios.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Aceita tanto Simples Nacional quanto Lucro Presumido.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Permite, no futuro, entrada de sócio investidor sem precisar trocar o tipo societário.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Existe alguma razão pela qual outro tipo societário (EI, EIRELI residual, etc.) seria mais vantajoso pro meu perfil? Lembrando que MEI não comporta desenvolvimento de software desde 2018.</w:t>
      </w:r>
    </w:p>
    <w:p>
      <w:pPr>
        <w:spacing w:before="360" w:after="120"/>
      </w:pPr>
      <w:r>
        <w:rPr>
          <w:rFonts w:ascii="Calibri" w:hAnsi="Calibri"/>
          <w:b/>
          <w:color w:val="40352E"/>
          <w:sz w:val="36"/>
        </w:rPr>
        <w:t>6. CNAEs sugeridos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A leitura inicial é que o CNAE principal deve refletir “software como serviço” (SaaS) ou “licenciamento de programa de computador”. Os candidatos:</w:t>
      </w:r>
    </w:p>
    <w:p>
      <w:pPr>
        <w:spacing w:before="200" w:after="40"/>
      </w:pPr>
      <w:r>
        <w:rPr>
          <w:rFonts w:ascii="Calibri" w:hAnsi="Calibri"/>
          <w:b/>
          <w:color w:val="6B6B3A"/>
          <w:sz w:val="24"/>
        </w:rPr>
        <w:t>CNAE principal (escolher um dos dois)</w:t>
      </w:r>
    </w:p>
    <w:p>
      <w:pPr>
        <w:pStyle w:val="ListBullet"/>
        <w:spacing w:after="40"/>
      </w:pPr>
      <w:r>
        <w:rPr>
          <w:rFonts w:ascii="Calibri" w:hAnsi="Calibri"/>
          <w:b/>
          <w:color w:val="40352E"/>
          <w:sz w:val="22"/>
        </w:rPr>
        <w:t xml:space="preserve">6202-3/00  </w:t>
      </w:r>
      <w:r>
        <w:rPr>
          <w:rFonts w:ascii="Calibri" w:hAnsi="Calibri"/>
          <w:color w:val="40352E"/>
          <w:sz w:val="22"/>
        </w:rPr>
        <w:t>Desenvolvimento e licenciamento de programas de computador customizáveis</w:t>
      </w:r>
    </w:p>
    <w:p>
      <w:pPr>
        <w:pStyle w:val="ListBullet"/>
        <w:spacing w:after="40"/>
      </w:pPr>
      <w:r>
        <w:rPr>
          <w:rFonts w:ascii="Calibri" w:hAnsi="Calibri"/>
          <w:b/>
          <w:color w:val="40352E"/>
          <w:sz w:val="22"/>
        </w:rPr>
        <w:t xml:space="preserve">6203-1/00  </w:t>
      </w:r>
      <w:r>
        <w:rPr>
          <w:rFonts w:ascii="Calibri" w:hAnsi="Calibri"/>
          <w:color w:val="40352E"/>
          <w:sz w:val="22"/>
        </w:rPr>
        <w:t>Desenvolvimento e licenciamento de programas de computador não-customizáveis (mais aderente ao SaaS por assinatura)</w:t>
      </w:r>
    </w:p>
    <w:p>
      <w:pPr>
        <w:spacing w:before="200" w:after="40"/>
      </w:pPr>
      <w:r>
        <w:rPr>
          <w:rFonts w:ascii="Calibri" w:hAnsi="Calibri"/>
          <w:b/>
          <w:color w:val="6B6B3A"/>
          <w:sz w:val="24"/>
        </w:rPr>
        <w:t>CNAEs secundários sugeridos</w:t>
      </w:r>
    </w:p>
    <w:p>
      <w:pPr>
        <w:pStyle w:val="ListBullet"/>
        <w:spacing w:after="40"/>
      </w:pPr>
      <w:r>
        <w:rPr>
          <w:rFonts w:ascii="Calibri" w:hAnsi="Calibri"/>
          <w:b/>
          <w:color w:val="40352E"/>
          <w:sz w:val="22"/>
        </w:rPr>
        <w:t xml:space="preserve">6311-9/00  </w:t>
      </w:r>
      <w:r>
        <w:rPr>
          <w:rFonts w:ascii="Calibri" w:hAnsi="Calibri"/>
          <w:color w:val="40352E"/>
          <w:sz w:val="22"/>
        </w:rPr>
        <w:t>Tratamento de dados, provedores de serviços de aplicação e hospedagem na Internet</w:t>
      </w:r>
    </w:p>
    <w:p>
      <w:pPr>
        <w:pStyle w:val="ListBullet"/>
        <w:spacing w:after="40"/>
      </w:pPr>
      <w:r>
        <w:rPr>
          <w:rFonts w:ascii="Calibri" w:hAnsi="Calibri"/>
          <w:b/>
          <w:color w:val="40352E"/>
          <w:sz w:val="22"/>
        </w:rPr>
        <w:t xml:space="preserve">6209-1/00  </w:t>
      </w:r>
      <w:r>
        <w:rPr>
          <w:rFonts w:ascii="Calibri" w:hAnsi="Calibri"/>
          <w:color w:val="40352E"/>
          <w:sz w:val="22"/>
        </w:rPr>
        <w:t>Suporte técnico, manutenção e outros serviços em TI</w:t>
      </w:r>
    </w:p>
    <w:p>
      <w:pPr>
        <w:pStyle w:val="ListBullet"/>
        <w:spacing w:after="40"/>
      </w:pPr>
      <w:r>
        <w:rPr>
          <w:rFonts w:ascii="Calibri" w:hAnsi="Calibri"/>
          <w:b/>
          <w:color w:val="40352E"/>
          <w:sz w:val="22"/>
        </w:rPr>
        <w:t xml:space="preserve">6204-0/00  </w:t>
      </w:r>
      <w:r>
        <w:rPr>
          <w:rFonts w:ascii="Calibri" w:hAnsi="Calibri"/>
          <w:color w:val="40352E"/>
          <w:sz w:val="22"/>
        </w:rPr>
        <w:t>Consultoria em tecnologia da informação</w:t>
      </w:r>
    </w:p>
    <w:p>
      <w:pPr>
        <w:pStyle w:val="ListBullet"/>
        <w:spacing w:after="40"/>
      </w:pPr>
      <w:r>
        <w:rPr>
          <w:rFonts w:ascii="Calibri" w:hAnsi="Calibri"/>
          <w:b/>
          <w:color w:val="40352E"/>
          <w:sz w:val="22"/>
        </w:rPr>
        <w:t xml:space="preserve">8599-6/99  </w:t>
      </w:r>
      <w:r>
        <w:rPr>
          <w:rFonts w:ascii="Calibri" w:hAnsi="Calibri"/>
          <w:color w:val="40352E"/>
          <w:sz w:val="22"/>
        </w:rPr>
        <w:t>Outras atividades de ensino não especificadas (para futuro lançamento de cursos/treinamentos)</w:t>
      </w:r>
    </w:p>
    <w:p>
      <w:pPr>
        <w:pStyle w:val="ListBullet"/>
        <w:spacing w:after="40"/>
      </w:pPr>
      <w:r>
        <w:rPr>
          <w:rFonts w:ascii="Calibri" w:hAnsi="Calibri"/>
          <w:b/>
          <w:color w:val="40352E"/>
          <w:sz w:val="22"/>
        </w:rPr>
        <w:t xml:space="preserve">5811-5/00  </w:t>
      </w:r>
      <w:r>
        <w:rPr>
          <w:rFonts w:ascii="Calibri" w:hAnsi="Calibri"/>
          <w:color w:val="40352E"/>
          <w:sz w:val="22"/>
        </w:rPr>
        <w:t>Edição de livros (caso eBooks)</w:t>
      </w:r>
    </w:p>
    <w:p>
      <w:pPr>
        <w:pStyle w:val="ListBullet"/>
        <w:spacing w:after="40"/>
      </w:pPr>
      <w:r>
        <w:rPr>
          <w:rFonts w:ascii="Calibri" w:hAnsi="Calibri"/>
          <w:b/>
          <w:color w:val="40352E"/>
          <w:sz w:val="22"/>
        </w:rPr>
        <w:t xml:space="preserve">7319-0/02  </w:t>
      </w:r>
      <w:r>
        <w:rPr>
          <w:rFonts w:ascii="Calibri" w:hAnsi="Calibri"/>
          <w:color w:val="40352E"/>
          <w:sz w:val="22"/>
        </w:rPr>
        <w:t>Promoção de vendas (caso futuro programa de afiliados)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Qual CNAE principal sugere para minimizar carga tributária em Londrina, considerando alíquota de ISS local e enquadramento no Anexo III do Simples?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É melhor já cadastrar todos os CNAEs secundários acima na abertura, ou ir incluindo conforme a receita surgir?</w:t>
      </w:r>
    </w:p>
    <w:p>
      <w:pPr>
        <w:spacing w:before="360" w:after="120"/>
      </w:pPr>
      <w:r>
        <w:rPr>
          <w:rFonts w:ascii="Calibri" w:hAnsi="Calibri"/>
          <w:b/>
          <w:color w:val="40352E"/>
          <w:sz w:val="36"/>
        </w:rPr>
        <w:t>7. Análise prévia de regime tributário</w:t>
      </w:r>
    </w:p>
    <w:p>
      <w:pPr>
        <w:spacing w:after="80" w:before="0"/>
      </w:pPr>
      <w:r>
        <w:rPr>
          <w:rFonts w:ascii="Calibri" w:hAnsi="Calibri"/>
          <w:b w:val="0"/>
          <w:i/>
          <w:color w:val="6E6760"/>
          <w:sz w:val="20"/>
        </w:rPr>
        <w:t>Esta é minha leitura preliminar — quero a confirmação do contador, idealmente com simulação numérica para os três cenários.</w:t>
      </w:r>
    </w:p>
    <w:p>
      <w:pPr>
        <w:spacing w:before="280" w:after="80"/>
      </w:pPr>
      <w:r>
        <w:rPr>
          <w:rFonts w:ascii="Calibri" w:hAnsi="Calibri"/>
          <w:b/>
          <w:color w:val="B85C38"/>
          <w:sz w:val="28"/>
        </w:rPr>
        <w:t>7.1 Simples Nacional — Anexo III vs Anexo V (Fator R)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Desenvolvimento e licenciamento de software, no Simples Nacional, cai por padrão no Anexo V (alíquota inicial de 15,5%), MAS migra para o Anexo III (alíquota inicial de 6%) se o Fator R for ≥ 28%.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Fator R = (folha de salários dos últimos 12 meses, incluindo pró-labore) ÷ (receita bruta dos últimos 12 meses).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Como atuarei sozinha (sem funcionários CLT no início), o único componente da “folha” será meu pró-labore. Existe risco real de o Fator R ficar abaixo de 28% e me jogar no Anexo V — o que praticamente equipara o custo ao Lucro Presumido.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Qual valor mínimo de pró-labore me mantém no Anexo III em cada cenário de faturamento (conservador, realista, otimista)?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Compensa pagar pró-labore mais alto (com INSS de 11% sobre ele) para garantir Anexo III, ou em algum cenário é matematicamente melhor aceitar o Anexo V?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Existe estrutura legítima (ex.: contratar prestador PJ que componha folha de outra forma) que possa ajudar a sustentar o Fator R sem inflar pró-labore?</w:t>
      </w:r>
    </w:p>
    <w:p>
      <w:pPr>
        <w:spacing w:before="280" w:after="80"/>
      </w:pPr>
      <w:r>
        <w:rPr>
          <w:rFonts w:ascii="Calibri" w:hAnsi="Calibri"/>
          <w:b/>
          <w:color w:val="B85C38"/>
          <w:sz w:val="28"/>
        </w:rPr>
        <w:t>7.2 Lucro Presumido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Carga aproximada que estimei para SaaS no Lucro Presumido: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IRPJ: 32% de presunção × 15% = 4,8% (+ adicional de 10% sobre o que ultrapassar R$ 20 mil/mês de lucro presumido)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CSLL: 32% de presunção × 9% = 2,88%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PIS: 0,65%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COFINS: 3%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ISS: 2% a 5% (Londrina — a confirmar)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Total estimado: 13% a 16% sobre o faturamento bruto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Vantagem: previsibilidade e ausência da armadilha do Fator R.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Desvantagem: pesado em faturamentos baixos.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A partir de qual nível de faturamento mensal o Lucro Presumido passa a ser igual ou mais vantajoso que o Simples Anexo V? E que o Anexo III?</w:t>
      </w:r>
    </w:p>
    <w:p>
      <w:pPr>
        <w:spacing w:before="280" w:after="80"/>
      </w:pPr>
      <w:r>
        <w:rPr>
          <w:rFonts w:ascii="Calibri" w:hAnsi="Calibri"/>
          <w:b/>
          <w:color w:val="B85C38"/>
          <w:sz w:val="28"/>
        </w:rPr>
        <w:t>7.3 MEI — descartado de partida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Desenvolvimento e licenciamento de software não está na lista de ocupações permitidas ao MEI, e o limite de R$ 81 mil/ano também é restritivo para o cenário otimista. Registro aqui apenas para constar.</w:t>
      </w:r>
    </w:p>
    <w:p>
      <w:pPr>
        <w:spacing w:before="280" w:after="80"/>
      </w:pPr>
      <w:r>
        <w:rPr>
          <w:rFonts w:ascii="Calibri" w:hAnsi="Calibri"/>
          <w:b/>
          <w:color w:val="B85C38"/>
          <w:sz w:val="28"/>
        </w:rPr>
        <w:t>7.4 Comparativo a preencher com o contador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F3ECE3"/>
          </w:tcPr>
          <w:p>
            <w:r>
              <w:rPr>
                <w:rFonts w:ascii="Calibri" w:hAnsi="Calibri"/>
                <w:b/>
                <w:color w:val="40352E"/>
                <w:sz w:val="20"/>
              </w:rPr>
              <w:t>Regime</w:t>
            </w:r>
          </w:p>
        </w:tc>
        <w:tc>
          <w:tcPr>
            <w:tcW w:type="dxa" w:w="2098"/>
            <w:shd w:val="clear" w:color="auto" w:fill="F3ECE3"/>
          </w:tcPr>
          <w:p>
            <w:r>
              <w:rPr>
                <w:rFonts w:ascii="Calibri" w:hAnsi="Calibri"/>
                <w:b/>
                <w:color w:val="40352E"/>
                <w:sz w:val="20"/>
              </w:rPr>
              <w:t>Carga conservador</w:t>
            </w:r>
          </w:p>
        </w:tc>
        <w:tc>
          <w:tcPr>
            <w:tcW w:type="dxa" w:w="2098"/>
            <w:shd w:val="clear" w:color="auto" w:fill="F3ECE3"/>
          </w:tcPr>
          <w:p>
            <w:r>
              <w:rPr>
                <w:rFonts w:ascii="Calibri" w:hAnsi="Calibri"/>
                <w:b/>
                <w:color w:val="40352E"/>
                <w:sz w:val="20"/>
              </w:rPr>
              <w:t>Carga realista</w:t>
            </w:r>
          </w:p>
        </w:tc>
        <w:tc>
          <w:tcPr>
            <w:tcW w:type="dxa" w:w="2268"/>
            <w:shd w:val="clear" w:color="auto" w:fill="F3ECE3"/>
          </w:tcPr>
          <w:p>
            <w:r>
              <w:rPr>
                <w:rFonts w:ascii="Calibri" w:hAnsi="Calibri"/>
                <w:b/>
                <w:color w:val="40352E"/>
                <w:sz w:val="20"/>
              </w:rPr>
              <w:t>Carga otimista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color w:val="40352E"/>
                <w:sz w:val="20"/>
              </w:rPr>
              <w:t>Simples Anexo III (Fator R ≥ 28%)</w:t>
            </w:r>
          </w:p>
        </w:tc>
        <w:tc>
          <w:tcPr>
            <w:tcW w:type="dxa" w:w="2098"/>
          </w:tcPr>
          <w:p>
            <w:r>
              <w:rPr>
                <w:rFonts w:ascii="Calibri" w:hAnsi="Calibri"/>
                <w:color w:val="6E6760"/>
                <w:sz w:val="20"/>
              </w:rPr>
              <w:t>___________</w:t>
            </w:r>
          </w:p>
        </w:tc>
        <w:tc>
          <w:tcPr>
            <w:tcW w:type="dxa" w:w="2098"/>
          </w:tcPr>
          <w:p>
            <w:r>
              <w:rPr>
                <w:rFonts w:ascii="Calibri" w:hAnsi="Calibri"/>
                <w:color w:val="6E6760"/>
                <w:sz w:val="20"/>
              </w:rPr>
              <w:t>___________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6E6760"/>
                <w:sz w:val="20"/>
              </w:rPr>
              <w:t>___________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color w:val="40352E"/>
                <w:sz w:val="20"/>
              </w:rPr>
              <w:t>Simples Anexo V (Fator R &lt; 28%)</w:t>
            </w:r>
          </w:p>
        </w:tc>
        <w:tc>
          <w:tcPr>
            <w:tcW w:type="dxa" w:w="2098"/>
          </w:tcPr>
          <w:p>
            <w:r>
              <w:rPr>
                <w:rFonts w:ascii="Calibri" w:hAnsi="Calibri"/>
                <w:color w:val="6E6760"/>
                <w:sz w:val="20"/>
              </w:rPr>
              <w:t>___________</w:t>
            </w:r>
          </w:p>
        </w:tc>
        <w:tc>
          <w:tcPr>
            <w:tcW w:type="dxa" w:w="2098"/>
          </w:tcPr>
          <w:p>
            <w:r>
              <w:rPr>
                <w:rFonts w:ascii="Calibri" w:hAnsi="Calibri"/>
                <w:color w:val="6E6760"/>
                <w:sz w:val="20"/>
              </w:rPr>
              <w:t>___________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6E6760"/>
                <w:sz w:val="20"/>
              </w:rPr>
              <w:t>___________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color w:val="40352E"/>
                <w:sz w:val="20"/>
              </w:rPr>
              <w:t>Lucro Presumido</w:t>
            </w:r>
          </w:p>
        </w:tc>
        <w:tc>
          <w:tcPr>
            <w:tcW w:type="dxa" w:w="2098"/>
          </w:tcPr>
          <w:p>
            <w:r>
              <w:rPr>
                <w:rFonts w:ascii="Calibri" w:hAnsi="Calibri"/>
                <w:color w:val="6E6760"/>
                <w:sz w:val="20"/>
              </w:rPr>
              <w:t>___________</w:t>
            </w:r>
          </w:p>
        </w:tc>
        <w:tc>
          <w:tcPr>
            <w:tcW w:type="dxa" w:w="2098"/>
          </w:tcPr>
          <w:p>
            <w:r>
              <w:rPr>
                <w:rFonts w:ascii="Calibri" w:hAnsi="Calibri"/>
                <w:color w:val="6E6760"/>
                <w:sz w:val="20"/>
              </w:rPr>
              <w:t>___________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6E6760"/>
                <w:sz w:val="20"/>
              </w:rPr>
              <w:t>___________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40352E"/>
          <w:sz w:val="36"/>
        </w:rPr>
        <w:t>8. ISS — Londrina/PR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Em Londrina, a alíquota de ISS para serviços de TI tende a ficar na faixa de 2% a 5%, variando conforme o item da lista de serviços e enquadramento. Preciso da confirmação local.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Qual é a alíquota de ISS efetiva, em Londrina, para o CNAE principal sugerido (6202-3/00 ou 6203-1/00)?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Existe algum benefício fiscal municipal ativo (ex.: Londrina Tec, incentivo para empresas de tecnologia, ou programas similares) que faça sentido eu pleitear?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Como funciona a emissão da NFS-e em Londrina (sistema, prazo de cadastro, integração possível com plataforma de cobrança)?</w:t>
      </w:r>
    </w:p>
    <w:p>
      <w:pPr>
        <w:spacing w:before="360" w:after="120"/>
      </w:pPr>
      <w:r>
        <w:rPr>
          <w:rFonts w:ascii="Calibri" w:hAnsi="Calibri"/>
          <w:b/>
          <w:color w:val="40352E"/>
          <w:sz w:val="36"/>
        </w:rPr>
        <w:t>9. Endereço fiscal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Avaliando três alternativas: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Endereço residencial — admissível em Londrina para o CNAE pretendido? Há impacto no IPTU/lei de zoneamento?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Coworking com endereço fiscal — recomendação de prestador confiável e faixa de preço média.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Escritório virtual — quais cuidados (recebimento de correspondência, fiscalização).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Qual das três opções tem melhor custo-benefício para a fase de lançamento, considerando que NÃO recebo clientes presencialmente?</w:t>
      </w:r>
    </w:p>
    <w:p>
      <w:pPr>
        <w:spacing w:before="360" w:after="120"/>
      </w:pPr>
      <w:r>
        <w:rPr>
          <w:rFonts w:ascii="Calibri" w:hAnsi="Calibri"/>
          <w:b/>
          <w:color w:val="40352E"/>
          <w:sz w:val="36"/>
        </w:rPr>
        <w:t>10. Pró-labore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Preciso entender o desenho ideal do pró-labore — tanto para conformidade quanto para manter o Fator R no Anexo III.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Qual o valor de pró-labore mínimo legal hoje (1 salário mínimo)?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Qual o valor recomendado em cada cenário (conservador/realista/otimista) para Fator R ≥ 28%?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Como fica a tributação na pessoa física: INSS de 11% retido + IRPF na DIRPF anual. Existe alguma faixa de pró-labore que otimiza esse cálculo combinado?</w:t>
      </w:r>
    </w:p>
    <w:p>
      <w:pPr>
        <w:spacing w:before="360" w:after="120"/>
      </w:pPr>
      <w:r>
        <w:rPr>
          <w:rFonts w:ascii="Calibri" w:hAnsi="Calibri"/>
          <w:b/>
          <w:color w:val="40352E"/>
          <w:sz w:val="36"/>
        </w:rPr>
        <w:t>11. Capital social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Penso em registrar capital social entre R$ 1.000 e R$ 5.000 — valor simbólico, sem aporte real expressivo. Não pretendo capitalizar a empresa de partida.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Há alguma razão (acesso a crédito, abertura de conta PJ, contratos B2B futuros) para registrar capital social maior?</w:t>
      </w:r>
    </w:p>
    <w:p>
      <w:pPr>
        <w:spacing w:before="360" w:after="120"/>
      </w:pPr>
      <w:r>
        <w:rPr>
          <w:rFonts w:ascii="Calibri" w:hAnsi="Calibri"/>
          <w:b/>
          <w:color w:val="40352E"/>
          <w:sz w:val="36"/>
        </w:rPr>
        <w:t>12. Dois CNPJs em meu CPF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0352E"/>
          <w:sz w:val="22"/>
        </w:rPr>
        <w:t>Já tenho um CNPJ ativo (ME) com outra atividade. A GABAIA terá CNPJ próprio, completamente separado.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Há limitação ou desvantagem em ter dois CNPJs ativos com o mesmo CPF como sócio único?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Os limites do Simples Nacional (R$ 4,8 mi/ano) são apurados POR CNPJ ou somados quando há mesmo sócio? Há regra de “grupo econômico” que possa me afetar?</w:t>
      </w:r>
    </w:p>
    <w:p>
      <w:pPr>
        <w:spacing w:before="80" w:after="80"/>
        <w:ind w:left="227"/>
      </w:pPr>
      <w:r>
        <w:rPr>
          <w:rFonts w:ascii="Calibri" w:hAnsi="Calibri"/>
          <w:b/>
          <w:color w:val="B85C38"/>
          <w:sz w:val="20"/>
        </w:rPr>
        <w:t xml:space="preserve">PERGUNTA  </w:t>
      </w:r>
      <w:r>
        <w:rPr>
          <w:rFonts w:ascii="Calibri" w:hAnsi="Calibri"/>
          <w:color w:val="40352E"/>
          <w:sz w:val="22"/>
        </w:rPr>
        <w:t>Existe risco de reclassificação automática (ex.: receita federal entender que são a “mesma empresa”) se as atividades forem distintas?</w:t>
      </w:r>
    </w:p>
    <w:p>
      <w:pPr>
        <w:spacing w:before="360" w:after="120"/>
      </w:pPr>
      <w:r>
        <w:rPr>
          <w:rFonts w:ascii="Calibri" w:hAnsi="Calibri"/>
          <w:b/>
          <w:color w:val="40352E"/>
          <w:sz w:val="36"/>
        </w:rPr>
        <w:t>13. Outras considerações estratégicas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Registro de marca: pretendo registrar “GABAIA” e “NeuroMãe” no INPI separadamente. Interfere em algo contábil/tributário?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Domicílio Tributário Eletrônico (DTE-PR e DTE-Federal): orientações para adesão correta desde o dia 1.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Conta bancária PJ: recomendação de bancos com baixa tarifa para o cenário de faturamento inicial.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Contratos com Mercado Pago e Z-API: existe alguma exigência fiscal específica (ex.: tipo de NF, código de serviço) que devo já preparar?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LGPD: lido com dados sensíveis de mães e crianças. Não é tema contábil, mas peço indicação de DPO/consultoria se você conhecer alguém em Londrina.</w:t>
      </w:r>
    </w:p>
    <w:p>
      <w:pPr>
        <w:spacing w:before="360" w:after="120"/>
      </w:pPr>
      <w:r>
        <w:rPr>
          <w:rFonts w:ascii="Calibri" w:hAnsi="Calibri"/>
          <w:b/>
          <w:color w:val="40352E"/>
          <w:sz w:val="36"/>
        </w:rPr>
        <w:t>14. Documentos que já tenho prontos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RG e CPF da titular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Comprovante de residência (titular) — atualizado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Definição preliminar de nome empresarial (3 opções a alinhar)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Definição preliminar de capital social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Definição preliminar de objeto social (texto descritivo da atividade)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E-mail e celular dedicados ao CNPJ</w:t>
      </w:r>
    </w:p>
    <w:p>
      <w:pPr>
        <w:spacing w:after="80" w:before="80"/>
      </w:pPr>
      <w:r>
        <w:rPr>
          <w:rFonts w:ascii="Calibri" w:hAnsi="Calibri"/>
          <w:b w:val="0"/>
          <w:i/>
          <w:color w:val="6E6760"/>
          <w:sz w:val="20"/>
        </w:rPr>
        <w:t>Itens que ainda preciso que você me oriente sobre: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Comprovante do endereço fiscal pretendido (depende da escolha em §9)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Certidões necessárias</w:t>
      </w:r>
    </w:p>
    <w:p>
      <w:pPr>
        <w:pStyle w:val="ListBullet"/>
        <w:spacing w:after="40"/>
      </w:pPr>
      <w:r>
        <w:rPr>
          <w:rFonts w:ascii="Calibri" w:hAnsi="Calibri"/>
          <w:color w:val="40352E"/>
          <w:sz w:val="22"/>
        </w:rPr>
        <w:t>Documentação adicional específica para Londrina/PR</w:t>
      </w:r>
    </w:p>
    <w:p>
      <w:pPr>
        <w:spacing w:before="360" w:after="120"/>
      </w:pPr>
      <w:r>
        <w:rPr>
          <w:rFonts w:ascii="Calibri" w:hAnsi="Calibri"/>
          <w:b/>
          <w:color w:val="40352E"/>
          <w:sz w:val="36"/>
        </w:rPr>
        <w:t>15. O que preciso de você (entregáveis solicitados)</w:t>
      </w:r>
    </w:p>
    <w:p>
      <w:pPr>
        <w:pStyle w:val="ListNumber"/>
        <w:spacing w:after="60"/>
      </w:pPr>
      <w:r>
        <w:rPr>
          <w:rFonts w:ascii="Calibri" w:hAnsi="Calibri"/>
          <w:color w:val="40352E"/>
          <w:sz w:val="22"/>
        </w:rPr>
        <w:t>Recomendação de tipo societário (SLU x outro), com justificativa.</w:t>
      </w:r>
    </w:p>
    <w:p>
      <w:pPr>
        <w:pStyle w:val="ListNumber"/>
        <w:spacing w:after="60"/>
      </w:pPr>
      <w:r>
        <w:rPr>
          <w:rFonts w:ascii="Calibri" w:hAnsi="Calibri"/>
          <w:color w:val="40352E"/>
          <w:sz w:val="22"/>
        </w:rPr>
        <w:t>Recomendação de CNAE principal e secundários, com justificativa tributária.</w:t>
      </w:r>
    </w:p>
    <w:p>
      <w:pPr>
        <w:pStyle w:val="ListNumber"/>
        <w:spacing w:after="60"/>
      </w:pPr>
      <w:r>
        <w:rPr>
          <w:rFonts w:ascii="Calibri" w:hAnsi="Calibri"/>
          <w:color w:val="40352E"/>
          <w:sz w:val="22"/>
        </w:rPr>
        <w:t>Comparativo numérico (planilha simples) entre Simples Anexo III, Simples Anexo V e Lucro Presumido para os 3 cenários de faturamento — incluindo carga total estimada e custo do pró-labore.</w:t>
      </w:r>
    </w:p>
    <w:p>
      <w:pPr>
        <w:pStyle w:val="ListNumber"/>
        <w:spacing w:after="60"/>
      </w:pPr>
      <w:r>
        <w:rPr>
          <w:rFonts w:ascii="Calibri" w:hAnsi="Calibri"/>
          <w:color w:val="40352E"/>
          <w:sz w:val="22"/>
        </w:rPr>
        <w:t>Valor sugerido de pró-labore por cenário para manter Fator R ≥ 28%.</w:t>
      </w:r>
    </w:p>
    <w:p>
      <w:pPr>
        <w:pStyle w:val="ListNumber"/>
        <w:spacing w:after="60"/>
      </w:pPr>
      <w:r>
        <w:rPr>
          <w:rFonts w:ascii="Calibri" w:hAnsi="Calibri"/>
          <w:color w:val="40352E"/>
          <w:sz w:val="22"/>
        </w:rPr>
        <w:t>Recomendação de endereço fiscal (residencial, coworking, virtual) e implicações.</w:t>
      </w:r>
    </w:p>
    <w:p>
      <w:pPr>
        <w:pStyle w:val="ListNumber"/>
        <w:spacing w:after="60"/>
      </w:pPr>
      <w:r>
        <w:rPr>
          <w:rFonts w:ascii="Calibri" w:hAnsi="Calibri"/>
          <w:color w:val="40352E"/>
          <w:sz w:val="22"/>
        </w:rPr>
        <w:t>Estimativa de honorários contábeis mensais para uma SLU em Londrina, no perfil descrito.</w:t>
      </w:r>
    </w:p>
    <w:p>
      <w:pPr>
        <w:pStyle w:val="ListNumber"/>
        <w:spacing w:after="60"/>
      </w:pPr>
      <w:r>
        <w:rPr>
          <w:rFonts w:ascii="Calibri" w:hAnsi="Calibri"/>
          <w:color w:val="40352E"/>
          <w:sz w:val="22"/>
        </w:rPr>
        <w:t>Cronograma realista: do contrato à liberação do CNPJ + inscrições estadual e municipal + apta a emitir NFS-e.</w:t>
      </w:r>
    </w:p>
    <w:p>
      <w:pPr>
        <w:pStyle w:val="ListNumber"/>
        <w:spacing w:after="60"/>
      </w:pPr>
      <w:r>
        <w:rPr>
          <w:rFonts w:ascii="Calibri" w:hAnsi="Calibri"/>
          <w:color w:val="40352E"/>
          <w:sz w:val="22"/>
        </w:rPr>
        <w:t>Orientação para adesão ao Domicílio Tributário Eletrônico (federal e PR).</w:t>
      </w:r>
    </w:p>
    <w:p>
      <w:pPr>
        <w:pStyle w:val="ListNumber"/>
        <w:spacing w:after="60"/>
      </w:pPr>
      <w:r>
        <w:rPr>
          <w:rFonts w:ascii="Calibri" w:hAnsi="Calibri"/>
          <w:color w:val="40352E"/>
          <w:sz w:val="22"/>
        </w:rPr>
        <w:t>Lista final de documentos e assinaturas que precisarei providenciar.</w:t>
      </w:r>
    </w:p>
    <w:p/>
    <w:p>
      <w:pPr>
        <w:spacing w:before="400"/>
      </w:pPr>
      <w:r>
        <w:rPr>
          <w:rFonts w:ascii="Calibri" w:hAnsi="Calibri"/>
          <w:b/>
          <w:color w:val="40352E"/>
          <w:sz w:val="24"/>
        </w:rPr>
        <w:t>Tatiana Dias Junco</w:t>
      </w:r>
    </w:p>
    <w:p>
      <w:pPr>
        <w:spacing w:after="0"/>
      </w:pPr>
      <w:r>
        <w:rPr>
          <w:rFonts w:ascii="Calibri" w:hAnsi="Calibri"/>
          <w:i/>
          <w:color w:val="6E6760"/>
          <w:sz w:val="20"/>
        </w:rPr>
        <w:t>Fundadora — NeuroMãe / GABAIA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035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