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7206756" w14:textId="0FF75982" w:rsidR="00F3701A" w:rsidRPr="00F3701A" w:rsidRDefault="00F3701A" w:rsidP="00F3701A">
      <w:pPr>
        <w:ind w:firstLine="0"/>
        <w:jc w:val="right"/>
        <w:rPr>
          <w:sz w:val="20"/>
          <w:szCs w:val="20"/>
          <w:lang w:val="es-CO"/>
        </w:rPr>
      </w:pPr>
      <w:r w:rsidRPr="00F3701A">
        <w:rPr>
          <w:sz w:val="20"/>
          <w:szCs w:val="20"/>
          <w:lang w:val="es-CO"/>
        </w:rPr>
        <w:t>Juan D. Velásquez</w:t>
      </w:r>
    </w:p>
    <w:p w14:paraId="71290E74" w14:textId="6A20063C" w:rsidR="00F3701A" w:rsidRPr="00F3701A" w:rsidRDefault="00F3701A" w:rsidP="00F3701A">
      <w:pPr>
        <w:ind w:firstLine="0"/>
        <w:jc w:val="right"/>
        <w:rPr>
          <w:sz w:val="20"/>
          <w:szCs w:val="20"/>
          <w:lang w:val="es-CO"/>
        </w:rPr>
      </w:pPr>
      <w:r w:rsidRPr="00F3701A">
        <w:rPr>
          <w:sz w:val="20"/>
          <w:szCs w:val="20"/>
          <w:lang w:val="es-CO"/>
        </w:rPr>
        <w:t>Departamento de Ciencias de la Computación y la Decisión</w:t>
      </w:r>
    </w:p>
    <w:p w14:paraId="4F1C6B88" w14:textId="5379BD74" w:rsidR="00F3701A" w:rsidRDefault="00F3701A" w:rsidP="00F3701A">
      <w:pPr>
        <w:ind w:firstLine="0"/>
        <w:jc w:val="right"/>
        <w:rPr>
          <w:sz w:val="20"/>
          <w:szCs w:val="20"/>
          <w:lang w:val="es-CO"/>
        </w:rPr>
      </w:pPr>
      <w:r w:rsidRPr="00F3701A">
        <w:rPr>
          <w:sz w:val="20"/>
          <w:szCs w:val="20"/>
          <w:lang w:val="es-CO"/>
        </w:rPr>
        <w:t>Universidad Nacional de Colombia</w:t>
      </w:r>
    </w:p>
    <w:p w14:paraId="7DE49D73" w14:textId="1C94E18C" w:rsidR="00B03D4C" w:rsidRPr="00F3701A" w:rsidRDefault="00B03D4C" w:rsidP="00F3701A">
      <w:pPr>
        <w:ind w:firstLine="0"/>
        <w:jc w:val="right"/>
        <w:rPr>
          <w:sz w:val="20"/>
          <w:szCs w:val="20"/>
          <w:lang w:val="es-CO"/>
        </w:rPr>
      </w:pPr>
      <w:r>
        <w:rPr>
          <w:sz w:val="20"/>
          <w:szCs w:val="20"/>
          <w:lang w:val="es-CO"/>
        </w:rPr>
        <w:t>jdvelasq@unal.edu.co</w:t>
      </w:r>
    </w:p>
    <w:p w14:paraId="4F999AEC" w14:textId="6E33B8EE" w:rsidR="00F3701A" w:rsidRPr="00B03D4C" w:rsidRDefault="00F3701A" w:rsidP="00F3701A">
      <w:pPr>
        <w:ind w:firstLine="0"/>
        <w:rPr>
          <w:sz w:val="20"/>
          <w:szCs w:val="20"/>
          <w:lang w:val="es-CO"/>
        </w:rPr>
      </w:pPr>
    </w:p>
    <w:p w14:paraId="4A994D79" w14:textId="77777777" w:rsidR="00F3701A" w:rsidRPr="00F3701A" w:rsidRDefault="00F3701A" w:rsidP="00F3701A">
      <w:pPr>
        <w:ind w:firstLine="0"/>
        <w:rPr>
          <w:sz w:val="20"/>
          <w:szCs w:val="20"/>
          <w:lang w:val="es-CO"/>
        </w:rPr>
      </w:pPr>
    </w:p>
    <w:p w14:paraId="0FF4DB32" w14:textId="35C47792" w:rsidR="000B3045" w:rsidRPr="00B03D4C" w:rsidRDefault="00B03D4C" w:rsidP="000B3045">
      <w:pPr>
        <w:ind w:firstLine="0"/>
        <w:rPr>
          <w:b/>
          <w:bCs/>
          <w:sz w:val="20"/>
          <w:szCs w:val="20"/>
          <w:lang w:val="es-CO"/>
        </w:rPr>
      </w:pPr>
      <w:r w:rsidRPr="00B03D4C">
        <w:rPr>
          <w:b/>
          <w:bCs/>
          <w:sz w:val="20"/>
          <w:szCs w:val="20"/>
          <w:lang w:val="es-CO"/>
        </w:rPr>
        <w:t>Editor en Jefe</w:t>
      </w:r>
    </w:p>
    <w:p w14:paraId="2A6AAB93" w14:textId="5BB5C3D0" w:rsidR="00B03D4C" w:rsidRDefault="00B03D4C" w:rsidP="000B3045">
      <w:pPr>
        <w:ind w:firstLine="0"/>
        <w:rPr>
          <w:sz w:val="20"/>
          <w:szCs w:val="20"/>
          <w:lang w:val="es-CO"/>
        </w:rPr>
      </w:pPr>
      <w:r>
        <w:rPr>
          <w:sz w:val="20"/>
          <w:szCs w:val="20"/>
          <w:lang w:val="es-CO"/>
        </w:rPr>
        <w:t>Revista IEEE RITA</w:t>
      </w:r>
    </w:p>
    <w:p w14:paraId="0276EED8" w14:textId="77777777" w:rsidR="00B03D4C" w:rsidRDefault="00B03D4C" w:rsidP="000B3045">
      <w:pPr>
        <w:ind w:firstLine="0"/>
        <w:rPr>
          <w:sz w:val="20"/>
          <w:szCs w:val="20"/>
          <w:lang w:val="es-CO"/>
        </w:rPr>
      </w:pPr>
    </w:p>
    <w:p w14:paraId="78EB2F12" w14:textId="77777777" w:rsidR="00B03D4C" w:rsidRDefault="00B03D4C" w:rsidP="000B3045">
      <w:pPr>
        <w:ind w:firstLine="0"/>
        <w:rPr>
          <w:sz w:val="20"/>
          <w:szCs w:val="20"/>
          <w:lang w:val="es-CO"/>
        </w:rPr>
      </w:pPr>
    </w:p>
    <w:p w14:paraId="365C40DC" w14:textId="586F454C" w:rsidR="00B03D4C" w:rsidRPr="00B03D4C" w:rsidRDefault="00B03D4C" w:rsidP="000B3045">
      <w:pPr>
        <w:ind w:firstLine="0"/>
        <w:rPr>
          <w:sz w:val="20"/>
          <w:szCs w:val="20"/>
          <w:lang w:val="es-ES"/>
        </w:rPr>
      </w:pPr>
      <w:r w:rsidRPr="00B03D4C">
        <w:rPr>
          <w:sz w:val="20"/>
          <w:szCs w:val="20"/>
          <w:lang w:val="es-ES"/>
        </w:rPr>
        <w:t>Respetado Editor</w:t>
      </w:r>
      <w:r w:rsidR="00C519B2">
        <w:rPr>
          <w:sz w:val="20"/>
          <w:szCs w:val="20"/>
          <w:lang w:val="es-ES"/>
        </w:rPr>
        <w:t>:</w:t>
      </w:r>
    </w:p>
    <w:p w14:paraId="52F326F5" w14:textId="77777777" w:rsidR="00B03D4C" w:rsidRPr="00B03D4C" w:rsidRDefault="00B03D4C" w:rsidP="000B3045">
      <w:pPr>
        <w:ind w:firstLine="0"/>
        <w:rPr>
          <w:sz w:val="20"/>
          <w:szCs w:val="20"/>
          <w:lang w:val="es-ES"/>
        </w:rPr>
      </w:pPr>
    </w:p>
    <w:p w14:paraId="78B91866" w14:textId="3FAC152B" w:rsidR="00B03D4C" w:rsidRDefault="00B03D4C" w:rsidP="00B03D4C">
      <w:pPr>
        <w:ind w:firstLine="0"/>
        <w:rPr>
          <w:sz w:val="20"/>
          <w:szCs w:val="20"/>
          <w:lang w:val="es-ES"/>
        </w:rPr>
      </w:pPr>
      <w:r w:rsidRPr="00B03D4C">
        <w:rPr>
          <w:sz w:val="20"/>
          <w:szCs w:val="20"/>
          <w:lang w:val="es-ES"/>
        </w:rPr>
        <w:t>Deseo someter el manuscrito original titulado “</w:t>
      </w:r>
      <w:proofErr w:type="spellStart"/>
      <w:r w:rsidRPr="00C519B2">
        <w:rPr>
          <w:b/>
          <w:bCs/>
          <w:sz w:val="20"/>
          <w:szCs w:val="20"/>
          <w:lang w:val="es-CO"/>
        </w:rPr>
        <w:t>Trends</w:t>
      </w:r>
      <w:proofErr w:type="spellEnd"/>
      <w:r w:rsidRPr="00C519B2">
        <w:rPr>
          <w:b/>
          <w:bCs/>
          <w:sz w:val="20"/>
          <w:szCs w:val="20"/>
          <w:lang w:val="es-CO"/>
        </w:rPr>
        <w:t xml:space="preserve"> in Business </w:t>
      </w:r>
      <w:proofErr w:type="spellStart"/>
      <w:r w:rsidRPr="00C519B2">
        <w:rPr>
          <w:b/>
          <w:bCs/>
          <w:sz w:val="20"/>
          <w:szCs w:val="20"/>
          <w:lang w:val="es-CO"/>
        </w:rPr>
        <w:t>Analytics</w:t>
      </w:r>
      <w:proofErr w:type="spellEnd"/>
      <w:r w:rsidRPr="00C519B2">
        <w:rPr>
          <w:b/>
          <w:bCs/>
          <w:sz w:val="20"/>
          <w:szCs w:val="20"/>
          <w:lang w:val="es-CO"/>
        </w:rPr>
        <w:t xml:space="preserve"> </w:t>
      </w:r>
      <w:proofErr w:type="spellStart"/>
      <w:r w:rsidRPr="00C519B2">
        <w:rPr>
          <w:b/>
          <w:bCs/>
          <w:sz w:val="20"/>
          <w:szCs w:val="20"/>
          <w:lang w:val="es-CO"/>
        </w:rPr>
        <w:t>Education</w:t>
      </w:r>
      <w:proofErr w:type="spellEnd"/>
      <w:r w:rsidRPr="00C519B2">
        <w:rPr>
          <w:b/>
          <w:bCs/>
          <w:sz w:val="20"/>
          <w:szCs w:val="20"/>
          <w:lang w:val="es-CO"/>
        </w:rPr>
        <w:t xml:space="preserve">: </w:t>
      </w:r>
      <w:proofErr w:type="spellStart"/>
      <w:r w:rsidRPr="00C519B2">
        <w:rPr>
          <w:b/>
          <w:bCs/>
          <w:sz w:val="20"/>
          <w:szCs w:val="20"/>
          <w:lang w:val="es-CO"/>
        </w:rPr>
        <w:t>Innovation</w:t>
      </w:r>
      <w:proofErr w:type="spellEnd"/>
      <w:r w:rsidRPr="00C519B2">
        <w:rPr>
          <w:b/>
          <w:bCs/>
          <w:sz w:val="20"/>
          <w:szCs w:val="20"/>
          <w:lang w:val="es-CO"/>
        </w:rPr>
        <w:t xml:space="preserve">, </w:t>
      </w:r>
      <w:proofErr w:type="spellStart"/>
      <w:r w:rsidRPr="00C519B2">
        <w:rPr>
          <w:b/>
          <w:bCs/>
          <w:sz w:val="20"/>
          <w:szCs w:val="20"/>
          <w:lang w:val="es-CO"/>
        </w:rPr>
        <w:t>Learning</w:t>
      </w:r>
      <w:proofErr w:type="spellEnd"/>
      <w:r w:rsidRPr="00C519B2">
        <w:rPr>
          <w:b/>
          <w:bCs/>
          <w:sz w:val="20"/>
          <w:szCs w:val="20"/>
          <w:lang w:val="es-CO"/>
        </w:rPr>
        <w:t xml:space="preserve">, and </w:t>
      </w:r>
      <w:proofErr w:type="spellStart"/>
      <w:r w:rsidRPr="00C519B2">
        <w:rPr>
          <w:b/>
          <w:bCs/>
          <w:sz w:val="20"/>
          <w:szCs w:val="20"/>
          <w:lang w:val="es-CO"/>
        </w:rPr>
        <w:t>Pedagogy</w:t>
      </w:r>
      <w:proofErr w:type="spellEnd"/>
      <w:r w:rsidRPr="00B03D4C">
        <w:rPr>
          <w:sz w:val="20"/>
          <w:szCs w:val="20"/>
          <w:lang w:val="es-ES"/>
        </w:rPr>
        <w:t xml:space="preserve"> [</w:t>
      </w:r>
      <w:r w:rsidRPr="00B03D4C">
        <w:rPr>
          <w:sz w:val="20"/>
          <w:szCs w:val="20"/>
          <w:lang w:val="es-ES"/>
        </w:rPr>
        <w:t>Tendencias en la Educación en Analítica de Negocios: Innovación, Aprendizaje y Pedagogía</w:t>
      </w:r>
      <w:r w:rsidRPr="00B03D4C">
        <w:rPr>
          <w:sz w:val="20"/>
          <w:szCs w:val="20"/>
          <w:lang w:val="es-ES"/>
        </w:rPr>
        <w:t xml:space="preserve">]” </w:t>
      </w:r>
      <w:r>
        <w:rPr>
          <w:sz w:val="20"/>
          <w:szCs w:val="20"/>
          <w:lang w:val="es-ES"/>
        </w:rPr>
        <w:t>a su evaluación para su posible publicación en la Revista IEEE RITA</w:t>
      </w:r>
      <w:r w:rsidR="00C519B2">
        <w:rPr>
          <w:sz w:val="20"/>
          <w:szCs w:val="20"/>
          <w:lang w:val="es-ES"/>
        </w:rPr>
        <w:t xml:space="preserve"> como un artículo regular</w:t>
      </w:r>
      <w:r>
        <w:rPr>
          <w:sz w:val="20"/>
          <w:szCs w:val="20"/>
          <w:lang w:val="es-ES"/>
        </w:rPr>
        <w:t>.</w:t>
      </w:r>
    </w:p>
    <w:p w14:paraId="30B1FCBC" w14:textId="77777777" w:rsidR="00B03D4C" w:rsidRDefault="00B03D4C" w:rsidP="00B03D4C">
      <w:pPr>
        <w:ind w:firstLine="0"/>
        <w:rPr>
          <w:sz w:val="20"/>
          <w:szCs w:val="20"/>
          <w:lang w:val="es-ES"/>
        </w:rPr>
      </w:pPr>
    </w:p>
    <w:p w14:paraId="363DBF2C" w14:textId="50FE28D0" w:rsidR="00B03D4C" w:rsidRDefault="00B03D4C" w:rsidP="00B03D4C">
      <w:pPr>
        <w:ind w:firstLine="0"/>
        <w:rPr>
          <w:sz w:val="20"/>
          <w:szCs w:val="20"/>
          <w:lang w:val="es-ES"/>
        </w:rPr>
      </w:pPr>
      <w:r>
        <w:rPr>
          <w:sz w:val="20"/>
          <w:szCs w:val="20"/>
          <w:lang w:val="es-ES"/>
        </w:rPr>
        <w:t xml:space="preserve">El manuscrito es original, no ha sido publicado en ningún otro medio, y no está siendo considerado actualmente para su publicación en ninguna otra revista. </w:t>
      </w:r>
    </w:p>
    <w:p w14:paraId="16CAD022" w14:textId="77777777" w:rsidR="00B03D4C" w:rsidRDefault="00B03D4C" w:rsidP="00B03D4C">
      <w:pPr>
        <w:ind w:firstLine="0"/>
        <w:rPr>
          <w:sz w:val="20"/>
          <w:szCs w:val="20"/>
          <w:lang w:val="es-ES"/>
        </w:rPr>
      </w:pPr>
    </w:p>
    <w:p w14:paraId="3B358FA9" w14:textId="77777777" w:rsidR="00C519B2" w:rsidRDefault="00C519B2" w:rsidP="00C519B2">
      <w:pPr>
        <w:ind w:firstLine="0"/>
        <w:rPr>
          <w:sz w:val="20"/>
          <w:szCs w:val="20"/>
          <w:lang w:val="es-ES"/>
        </w:rPr>
      </w:pPr>
      <w:r>
        <w:rPr>
          <w:sz w:val="20"/>
          <w:szCs w:val="20"/>
          <w:lang w:val="es-ES"/>
        </w:rPr>
        <w:t>Los autores consideramos que el manuscrito es apropiado para la revista por las siguientes razones:</w:t>
      </w:r>
    </w:p>
    <w:p w14:paraId="136BA1F5" w14:textId="77777777" w:rsidR="00C519B2" w:rsidRDefault="00C519B2" w:rsidP="00C519B2">
      <w:pPr>
        <w:ind w:firstLine="0"/>
        <w:rPr>
          <w:sz w:val="20"/>
          <w:szCs w:val="20"/>
          <w:lang w:val="es-ES"/>
        </w:rPr>
      </w:pPr>
    </w:p>
    <w:p w14:paraId="27581DE8" w14:textId="63B601C8" w:rsidR="00C519B2" w:rsidRPr="00C519B2" w:rsidRDefault="00C519B2" w:rsidP="00C519B2">
      <w:pPr>
        <w:pStyle w:val="Prrafodelista"/>
        <w:numPr>
          <w:ilvl w:val="0"/>
          <w:numId w:val="6"/>
        </w:numPr>
        <w:rPr>
          <w:sz w:val="20"/>
          <w:szCs w:val="20"/>
          <w:lang w:val="es-ES"/>
        </w:rPr>
      </w:pPr>
      <w:r w:rsidRPr="00C519B2">
        <w:rPr>
          <w:b/>
          <w:bCs/>
          <w:sz w:val="20"/>
          <w:szCs w:val="20"/>
          <w:lang w:val="es-ES"/>
        </w:rPr>
        <w:t xml:space="preserve">Relación </w:t>
      </w:r>
      <w:r w:rsidRPr="00C519B2">
        <w:rPr>
          <w:b/>
          <w:bCs/>
          <w:sz w:val="20"/>
          <w:szCs w:val="20"/>
          <w:lang w:val="es-ES"/>
        </w:rPr>
        <w:t xml:space="preserve">profunda </w:t>
      </w:r>
      <w:r w:rsidRPr="00C519B2">
        <w:rPr>
          <w:b/>
          <w:bCs/>
          <w:sz w:val="20"/>
          <w:szCs w:val="20"/>
          <w:lang w:val="es-ES"/>
        </w:rPr>
        <w:t xml:space="preserve">entre </w:t>
      </w:r>
      <w:r>
        <w:rPr>
          <w:b/>
          <w:bCs/>
          <w:sz w:val="20"/>
          <w:szCs w:val="20"/>
          <w:lang w:val="es-ES"/>
        </w:rPr>
        <w:t>la Analítica de Negocios</w:t>
      </w:r>
      <w:r w:rsidRPr="00C519B2">
        <w:rPr>
          <w:b/>
          <w:bCs/>
          <w:sz w:val="20"/>
          <w:szCs w:val="20"/>
          <w:lang w:val="es-ES"/>
        </w:rPr>
        <w:t xml:space="preserve"> </w:t>
      </w:r>
      <w:proofErr w:type="gramStart"/>
      <w:r w:rsidRPr="00C519B2">
        <w:rPr>
          <w:b/>
          <w:bCs/>
          <w:sz w:val="20"/>
          <w:szCs w:val="20"/>
          <w:lang w:val="es-ES"/>
        </w:rPr>
        <w:t xml:space="preserve">y </w:t>
      </w:r>
      <w:r>
        <w:rPr>
          <w:b/>
          <w:bCs/>
          <w:sz w:val="20"/>
          <w:szCs w:val="20"/>
          <w:lang w:val="es-ES"/>
        </w:rPr>
        <w:t xml:space="preserve"> las</w:t>
      </w:r>
      <w:proofErr w:type="gramEnd"/>
      <w:r>
        <w:rPr>
          <w:b/>
          <w:bCs/>
          <w:sz w:val="20"/>
          <w:szCs w:val="20"/>
          <w:lang w:val="es-ES"/>
        </w:rPr>
        <w:t xml:space="preserve"> </w:t>
      </w:r>
      <w:r w:rsidRPr="00C519B2">
        <w:rPr>
          <w:b/>
          <w:bCs/>
          <w:sz w:val="20"/>
          <w:szCs w:val="20"/>
          <w:lang w:val="es-ES"/>
        </w:rPr>
        <w:t>Ciencias de la Computación</w:t>
      </w:r>
      <w:r w:rsidRPr="00C519B2">
        <w:rPr>
          <w:sz w:val="20"/>
          <w:szCs w:val="20"/>
          <w:lang w:val="es-ES"/>
        </w:rPr>
        <w:t xml:space="preserve">: </w:t>
      </w:r>
      <w:r w:rsidRPr="00C519B2">
        <w:rPr>
          <w:sz w:val="20"/>
          <w:szCs w:val="20"/>
          <w:lang w:val="es-ES"/>
        </w:rPr>
        <w:t>La analítica de negocios tiene una relación profundamente intrínseca con las ciencias de la computación, ya que se apoya en disciplinas clave como el análisis de datos, la inteligencia artificial, el aprendizaje automático y la ingeniería de software. Estos campos proporcionan las bases tecnológicas y metodológicas para la extracción, procesamiento y análisis de grandes volúmenes de datos, permitiendo la toma de decisiones informadas en contextos empresariales. Además, el diseño e implementación de sistemas de analítica de datos requieren habilidades avanzadas en programación, arquitectura de datos y seguridad informática, áreas esenciales en las ciencias de la computación. Este nexo hace que las innovaciones en la enseñanza de analítica de negocios sean altamente relevantes para la educación en ingeniería y computación, consolidando su importancia en la formación de profesionales capaces de enfrentar los desafíos tecnológicos y éticos de la era de los datos.</w:t>
      </w:r>
    </w:p>
    <w:p w14:paraId="1B4B3A91" w14:textId="77777777" w:rsidR="00C519B2" w:rsidRDefault="00C519B2" w:rsidP="00C519B2">
      <w:pPr>
        <w:ind w:firstLine="0"/>
        <w:rPr>
          <w:sz w:val="20"/>
          <w:szCs w:val="20"/>
          <w:lang w:val="es-ES"/>
        </w:rPr>
      </w:pPr>
    </w:p>
    <w:p w14:paraId="59ED356B" w14:textId="1ABE8D9B" w:rsidR="00C519B2" w:rsidRPr="00C519B2" w:rsidRDefault="00C519B2" w:rsidP="00C519B2">
      <w:pPr>
        <w:pStyle w:val="Prrafodelista"/>
        <w:numPr>
          <w:ilvl w:val="0"/>
          <w:numId w:val="4"/>
        </w:numPr>
        <w:rPr>
          <w:sz w:val="20"/>
          <w:szCs w:val="20"/>
          <w:lang w:val="es-ES"/>
        </w:rPr>
      </w:pPr>
      <w:r w:rsidRPr="00C519B2">
        <w:rPr>
          <w:b/>
          <w:bCs/>
          <w:sz w:val="20"/>
          <w:szCs w:val="20"/>
          <w:lang w:val="es-ES"/>
        </w:rPr>
        <w:t>Enfoque en tecnologías de aprendizaje y diseño de herramientas educativas</w:t>
      </w:r>
      <w:r w:rsidRPr="00C519B2">
        <w:rPr>
          <w:sz w:val="20"/>
          <w:szCs w:val="20"/>
          <w:lang w:val="es-ES"/>
        </w:rPr>
        <w:t>: El manuscrito analiza el uso de tecnologías avanzadas de aprendizaje, como herramientas tecnológicas para la enseñanza de analítica de negocios, un campo directamente relacionado con la informática y las telecomunicaciones. Este enfoque es consistente con el interés de IEEE-RITA en el diseño e investigación de nuevas herramientas y materiales de aprendizaje.</w:t>
      </w:r>
    </w:p>
    <w:p w14:paraId="7C272F78" w14:textId="77777777" w:rsidR="00C519B2" w:rsidRPr="00C519B2" w:rsidRDefault="00C519B2" w:rsidP="00C519B2">
      <w:pPr>
        <w:ind w:firstLine="0"/>
        <w:rPr>
          <w:sz w:val="20"/>
          <w:szCs w:val="20"/>
          <w:lang w:val="es-ES"/>
        </w:rPr>
      </w:pPr>
    </w:p>
    <w:p w14:paraId="06551A7D" w14:textId="77777777" w:rsidR="00C519B2" w:rsidRPr="00C519B2" w:rsidRDefault="00C519B2" w:rsidP="00C519B2">
      <w:pPr>
        <w:pStyle w:val="Prrafodelista"/>
        <w:numPr>
          <w:ilvl w:val="0"/>
          <w:numId w:val="4"/>
        </w:numPr>
        <w:rPr>
          <w:sz w:val="20"/>
          <w:szCs w:val="20"/>
          <w:lang w:val="es-ES"/>
        </w:rPr>
      </w:pPr>
      <w:r w:rsidRPr="00C519B2">
        <w:rPr>
          <w:b/>
          <w:bCs/>
          <w:sz w:val="20"/>
          <w:szCs w:val="20"/>
          <w:lang w:val="es-ES"/>
        </w:rPr>
        <w:t>Métodos innovadores de enseñanza y aprendizaje</w:t>
      </w:r>
      <w:r w:rsidRPr="00C519B2">
        <w:rPr>
          <w:sz w:val="20"/>
          <w:szCs w:val="20"/>
          <w:lang w:val="es-ES"/>
        </w:rPr>
        <w:t>: El manuscrito aborda estrategias pedagógicas emergentes, como el aprendizaje experiencial y la integración de habilidades éticas y de alfabetización en datos, lo que contribuye al desarrollo de métodos educativos innovadores aplicables en programas de ingeniería, ciencias de la computación y otras disciplinas técnicas.</w:t>
      </w:r>
    </w:p>
    <w:p w14:paraId="09E5E5AF" w14:textId="77777777" w:rsidR="00C519B2" w:rsidRPr="00C519B2" w:rsidRDefault="00C519B2" w:rsidP="00C519B2">
      <w:pPr>
        <w:ind w:firstLine="0"/>
        <w:rPr>
          <w:sz w:val="20"/>
          <w:szCs w:val="20"/>
          <w:lang w:val="es-ES"/>
        </w:rPr>
      </w:pPr>
    </w:p>
    <w:p w14:paraId="53A92DDC" w14:textId="77777777" w:rsidR="00C519B2" w:rsidRPr="00C519B2" w:rsidRDefault="00C519B2" w:rsidP="00C519B2">
      <w:pPr>
        <w:pStyle w:val="Prrafodelista"/>
        <w:numPr>
          <w:ilvl w:val="0"/>
          <w:numId w:val="4"/>
        </w:numPr>
        <w:rPr>
          <w:sz w:val="20"/>
          <w:szCs w:val="20"/>
          <w:lang w:val="es-ES"/>
        </w:rPr>
      </w:pPr>
      <w:r w:rsidRPr="00C519B2">
        <w:rPr>
          <w:b/>
          <w:bCs/>
          <w:sz w:val="20"/>
          <w:szCs w:val="20"/>
          <w:lang w:val="es-ES"/>
        </w:rPr>
        <w:t>Relevancia para la ingeniería y las ciencias de la computación</w:t>
      </w:r>
      <w:r w:rsidRPr="00C519B2">
        <w:rPr>
          <w:sz w:val="20"/>
          <w:szCs w:val="20"/>
          <w:lang w:val="es-ES"/>
        </w:rPr>
        <w:t>: Aunque el foco principal del artículo es la educación en analítica de negocios, el análisis de temas como la integración curricular de habilidades analíticas, la colaboración industria-academia y el aprendizaje mejorado por tecnología tiene aplicaciones directas en programas de ingeniería y ciencias de la computación, particularmente en áreas como la inteligencia artificial, el análisis de datos y la ética computacional.</w:t>
      </w:r>
    </w:p>
    <w:p w14:paraId="1C512F1C" w14:textId="77777777" w:rsidR="00C519B2" w:rsidRPr="00C519B2" w:rsidRDefault="00C519B2" w:rsidP="00C519B2">
      <w:pPr>
        <w:ind w:firstLine="0"/>
        <w:rPr>
          <w:sz w:val="20"/>
          <w:szCs w:val="20"/>
          <w:lang w:val="es-ES"/>
        </w:rPr>
      </w:pPr>
    </w:p>
    <w:p w14:paraId="71890502" w14:textId="77777777" w:rsidR="00C519B2" w:rsidRPr="00C519B2" w:rsidRDefault="00C519B2" w:rsidP="00C519B2">
      <w:pPr>
        <w:pStyle w:val="Prrafodelista"/>
        <w:numPr>
          <w:ilvl w:val="0"/>
          <w:numId w:val="4"/>
        </w:numPr>
        <w:rPr>
          <w:sz w:val="20"/>
          <w:szCs w:val="20"/>
          <w:lang w:val="es-ES"/>
        </w:rPr>
      </w:pPr>
      <w:r w:rsidRPr="00C519B2">
        <w:rPr>
          <w:b/>
          <w:bCs/>
          <w:sz w:val="20"/>
          <w:szCs w:val="20"/>
          <w:lang w:val="es-ES"/>
        </w:rPr>
        <w:lastRenderedPageBreak/>
        <w:t>Contribución a la brecha academia-industria</w:t>
      </w:r>
      <w:r w:rsidRPr="00C519B2">
        <w:rPr>
          <w:sz w:val="20"/>
          <w:szCs w:val="20"/>
          <w:lang w:val="es-ES"/>
        </w:rPr>
        <w:t>: El manuscrito aborda un desafío clave identificado por IEEE-RITA: la brecha entre los requerimientos de la industria y los programas académicos. Este problema es crítico en el contexto de la ingeniería y las tecnologías aplicadas, ya que el rápido desarrollo tecnológico exige planes de estudio alineados con las competencias requeridas por la industria.</w:t>
      </w:r>
    </w:p>
    <w:p w14:paraId="309214A4" w14:textId="77777777" w:rsidR="00C519B2" w:rsidRPr="00C519B2" w:rsidRDefault="00C519B2" w:rsidP="00C519B2">
      <w:pPr>
        <w:ind w:firstLine="0"/>
        <w:rPr>
          <w:sz w:val="20"/>
          <w:szCs w:val="20"/>
          <w:lang w:val="es-ES"/>
        </w:rPr>
      </w:pPr>
    </w:p>
    <w:p w14:paraId="6F2E953E" w14:textId="77777777" w:rsidR="00C519B2" w:rsidRPr="00C519B2" w:rsidRDefault="00C519B2" w:rsidP="00C519B2">
      <w:pPr>
        <w:pStyle w:val="Prrafodelista"/>
        <w:numPr>
          <w:ilvl w:val="0"/>
          <w:numId w:val="4"/>
        </w:numPr>
        <w:rPr>
          <w:sz w:val="20"/>
          <w:szCs w:val="20"/>
          <w:lang w:val="es-ES"/>
        </w:rPr>
      </w:pPr>
      <w:r w:rsidRPr="00C519B2">
        <w:rPr>
          <w:b/>
          <w:bCs/>
          <w:sz w:val="20"/>
          <w:szCs w:val="20"/>
          <w:lang w:val="es-ES"/>
        </w:rPr>
        <w:t>Perspectiva global y tendencias actuales</w:t>
      </w:r>
      <w:r w:rsidRPr="00C519B2">
        <w:rPr>
          <w:sz w:val="20"/>
          <w:szCs w:val="20"/>
          <w:lang w:val="es-ES"/>
        </w:rPr>
        <w:t>: La revisión sistemática de 103 artículos de 2012 a 2024 brinda una perspectiva amplia y actualizada sobre cómo las tecnologías están transformando la educación, un tema relevante para los lectores de IEEE-RITA, que buscan entender y aplicar tendencias educativas basadas en tecnología en contextos iberoamericanos.</w:t>
      </w:r>
    </w:p>
    <w:p w14:paraId="6920582B" w14:textId="77777777" w:rsidR="00C519B2" w:rsidRPr="00C519B2" w:rsidRDefault="00C519B2" w:rsidP="00C519B2">
      <w:pPr>
        <w:ind w:firstLine="0"/>
        <w:rPr>
          <w:sz w:val="20"/>
          <w:szCs w:val="20"/>
          <w:lang w:val="es-ES"/>
        </w:rPr>
      </w:pPr>
    </w:p>
    <w:p w14:paraId="3D51E323" w14:textId="692AB01C" w:rsidR="00B03D4C" w:rsidRDefault="00C519B2" w:rsidP="00C519B2">
      <w:pPr>
        <w:ind w:firstLine="0"/>
        <w:rPr>
          <w:sz w:val="20"/>
          <w:szCs w:val="20"/>
          <w:lang w:val="es-ES"/>
        </w:rPr>
      </w:pPr>
      <w:r>
        <w:rPr>
          <w:sz w:val="20"/>
          <w:szCs w:val="20"/>
          <w:lang w:val="es-ES"/>
        </w:rPr>
        <w:t>De esta forma, e</w:t>
      </w:r>
      <w:r w:rsidRPr="00C519B2">
        <w:rPr>
          <w:sz w:val="20"/>
          <w:szCs w:val="20"/>
          <w:lang w:val="es-ES"/>
        </w:rPr>
        <w:t>l manuscrito presenta una revisión exhaustiva y aporta recomendaciones prácticas e innovadoras para integrar tecnología, métodos de enseñanza y aprendizaje, y colaboración industria-academia en programas educativos. Esta contribución es directamente relevante para los objetivos de IEEE-RITA, especialmente en áreas relacionadas con la informática, la analítica avanzada y el aprendizaje en ingeniería y ciencias aplicadas. Su publicación fortalecería la discusión académica sobre cómo las tecnologías emergentes pueden transformar la enseñanza y aprendizaje en disciplinas técnicas.</w:t>
      </w:r>
    </w:p>
    <w:p w14:paraId="242D8107" w14:textId="77777777" w:rsidR="00B03D4C" w:rsidRDefault="00B03D4C" w:rsidP="00B03D4C">
      <w:pPr>
        <w:ind w:firstLine="0"/>
        <w:rPr>
          <w:sz w:val="20"/>
          <w:szCs w:val="20"/>
          <w:lang w:val="es-ES"/>
        </w:rPr>
      </w:pPr>
    </w:p>
    <w:p w14:paraId="0149D6C9" w14:textId="34BDD6C6" w:rsidR="00B03D4C" w:rsidRPr="00B03D4C" w:rsidRDefault="00C519B2" w:rsidP="00B03D4C">
      <w:pPr>
        <w:ind w:firstLine="0"/>
        <w:rPr>
          <w:sz w:val="20"/>
          <w:szCs w:val="20"/>
          <w:lang w:val="es-ES"/>
        </w:rPr>
      </w:pPr>
      <w:r>
        <w:rPr>
          <w:sz w:val="20"/>
          <w:szCs w:val="20"/>
          <w:lang w:val="es-ES"/>
        </w:rPr>
        <w:t>Como posibles revisores, ponemos a su consideración las siguientes personas:</w:t>
      </w:r>
    </w:p>
    <w:p w14:paraId="1718EE00" w14:textId="71E54830" w:rsidR="00B03D4C" w:rsidRDefault="00B03D4C" w:rsidP="00B03D4C">
      <w:pPr>
        <w:ind w:firstLine="0"/>
        <w:rPr>
          <w:sz w:val="20"/>
          <w:szCs w:val="20"/>
          <w:lang w:val="es-ES"/>
        </w:rPr>
      </w:pPr>
    </w:p>
    <w:p w14:paraId="59149B2C" w14:textId="0F8EA589" w:rsidR="00C519B2" w:rsidRDefault="00C22E31" w:rsidP="00C519B2">
      <w:pPr>
        <w:pStyle w:val="Prrafodelista"/>
        <w:numPr>
          <w:ilvl w:val="0"/>
          <w:numId w:val="7"/>
        </w:numPr>
        <w:rPr>
          <w:sz w:val="20"/>
          <w:szCs w:val="20"/>
          <w:lang w:val="en-US"/>
        </w:rPr>
      </w:pPr>
      <w:r w:rsidRPr="00C22E31">
        <w:rPr>
          <w:sz w:val="20"/>
          <w:szCs w:val="20"/>
          <w:lang w:val="en-US"/>
        </w:rPr>
        <w:t xml:space="preserve">Amir </w:t>
      </w:r>
      <w:proofErr w:type="spellStart"/>
      <w:r w:rsidRPr="00C22E31">
        <w:rPr>
          <w:sz w:val="20"/>
          <w:szCs w:val="20"/>
          <w:lang w:val="en-US"/>
        </w:rPr>
        <w:t>Gharehgozli</w:t>
      </w:r>
      <w:proofErr w:type="spellEnd"/>
      <w:r w:rsidRPr="00C22E31">
        <w:rPr>
          <w:sz w:val="20"/>
          <w:szCs w:val="20"/>
          <w:lang w:val="en-US"/>
        </w:rPr>
        <w:t xml:space="preserve">, </w:t>
      </w:r>
      <w:r w:rsidRPr="00C22E31">
        <w:rPr>
          <w:sz w:val="20"/>
          <w:szCs w:val="20"/>
          <w:lang w:val="en-US"/>
        </w:rPr>
        <w:t>California State University</w:t>
      </w:r>
      <w:r w:rsidRPr="00C22E31">
        <w:rPr>
          <w:sz w:val="20"/>
          <w:szCs w:val="20"/>
          <w:lang w:val="en-US"/>
        </w:rPr>
        <w:t xml:space="preserve">, </w:t>
      </w:r>
      <w:r w:rsidRPr="00C22E31">
        <w:rPr>
          <w:sz w:val="20"/>
          <w:szCs w:val="20"/>
          <w:lang w:val="en-US"/>
        </w:rPr>
        <w:t>amir.gharehgozli@csun.edu</w:t>
      </w:r>
    </w:p>
    <w:p w14:paraId="0C3C7274" w14:textId="7BD00825" w:rsidR="00C22E31" w:rsidRDefault="00C22E31" w:rsidP="00C519B2">
      <w:pPr>
        <w:pStyle w:val="Prrafodelista"/>
        <w:numPr>
          <w:ilvl w:val="0"/>
          <w:numId w:val="7"/>
        </w:numPr>
        <w:rPr>
          <w:sz w:val="20"/>
          <w:szCs w:val="20"/>
          <w:lang w:val="en-US"/>
        </w:rPr>
      </w:pPr>
      <w:r w:rsidRPr="00C22E31">
        <w:rPr>
          <w:sz w:val="20"/>
          <w:szCs w:val="20"/>
          <w:lang w:val="en-US"/>
        </w:rPr>
        <w:t>Paula Carroll</w:t>
      </w:r>
      <w:r>
        <w:rPr>
          <w:sz w:val="20"/>
          <w:szCs w:val="20"/>
          <w:lang w:val="en-US"/>
        </w:rPr>
        <w:t xml:space="preserve">, </w:t>
      </w:r>
      <w:r w:rsidRPr="00C22E31">
        <w:rPr>
          <w:sz w:val="20"/>
          <w:szCs w:val="20"/>
          <w:lang w:val="en-US"/>
        </w:rPr>
        <w:t>University College Dublin</w:t>
      </w:r>
      <w:r>
        <w:rPr>
          <w:sz w:val="20"/>
          <w:szCs w:val="20"/>
          <w:lang w:val="en-US"/>
        </w:rPr>
        <w:t xml:space="preserve">, </w:t>
      </w:r>
      <w:r w:rsidRPr="00C22E31">
        <w:rPr>
          <w:sz w:val="20"/>
          <w:szCs w:val="20"/>
          <w:lang w:val="en-US"/>
        </w:rPr>
        <w:t>paula.carroll@ucd.ie</w:t>
      </w:r>
    </w:p>
    <w:p w14:paraId="09E5DA18" w14:textId="32A72E02" w:rsidR="00C22E31" w:rsidRPr="00C22E31" w:rsidRDefault="00C22E31" w:rsidP="00C519B2">
      <w:pPr>
        <w:pStyle w:val="Prrafodelista"/>
        <w:numPr>
          <w:ilvl w:val="0"/>
          <w:numId w:val="7"/>
        </w:numPr>
        <w:rPr>
          <w:sz w:val="20"/>
          <w:szCs w:val="20"/>
          <w:lang w:val="en-US"/>
        </w:rPr>
      </w:pPr>
      <w:r>
        <w:rPr>
          <w:sz w:val="20"/>
          <w:szCs w:val="20"/>
          <w:lang w:val="en-US"/>
        </w:rPr>
        <w:t>Lauren Laker, Xavier University, lakerlf@xavier.edu</w:t>
      </w:r>
    </w:p>
    <w:p w14:paraId="34D9159B" w14:textId="77777777" w:rsidR="00C519B2" w:rsidRDefault="00C519B2" w:rsidP="00B03D4C">
      <w:pPr>
        <w:ind w:firstLine="0"/>
        <w:rPr>
          <w:sz w:val="20"/>
          <w:szCs w:val="20"/>
          <w:lang w:val="es-ES"/>
        </w:rPr>
      </w:pPr>
    </w:p>
    <w:p w14:paraId="0812F934" w14:textId="4BBABA73" w:rsidR="00B03D4C" w:rsidRPr="00B03D4C" w:rsidRDefault="00C519B2" w:rsidP="00B03D4C">
      <w:pPr>
        <w:ind w:firstLine="0"/>
        <w:rPr>
          <w:sz w:val="20"/>
          <w:szCs w:val="20"/>
          <w:lang w:val="es-ES"/>
        </w:rPr>
      </w:pPr>
      <w:r>
        <w:rPr>
          <w:sz w:val="20"/>
          <w:szCs w:val="20"/>
          <w:lang w:val="es-ES"/>
        </w:rPr>
        <w:t>Los autores d</w:t>
      </w:r>
      <w:r w:rsidR="00B03D4C" w:rsidRPr="00B03D4C">
        <w:rPr>
          <w:sz w:val="20"/>
          <w:szCs w:val="20"/>
          <w:lang w:val="es-ES"/>
        </w:rPr>
        <w:t>eclaramos no tener ningún conflicto de intereses y estar en cumplimiento de las normas éticas requeridas por el IEEE.</w:t>
      </w:r>
    </w:p>
    <w:p w14:paraId="3BDF751B" w14:textId="77777777" w:rsidR="00C519B2" w:rsidRDefault="00C519B2" w:rsidP="00B03D4C">
      <w:pPr>
        <w:ind w:firstLine="0"/>
        <w:rPr>
          <w:sz w:val="20"/>
          <w:szCs w:val="20"/>
          <w:lang w:val="es-ES"/>
        </w:rPr>
      </w:pPr>
    </w:p>
    <w:p w14:paraId="3588A91A" w14:textId="77777777" w:rsidR="00C519B2" w:rsidRDefault="00C519B2" w:rsidP="00B03D4C">
      <w:pPr>
        <w:ind w:firstLine="0"/>
        <w:rPr>
          <w:sz w:val="20"/>
          <w:szCs w:val="20"/>
          <w:lang w:val="es-ES"/>
        </w:rPr>
      </w:pPr>
    </w:p>
    <w:p w14:paraId="5AEEE61A" w14:textId="069C4ED3" w:rsidR="00B03D4C" w:rsidRPr="00B03D4C" w:rsidRDefault="00B03D4C" w:rsidP="00B03D4C">
      <w:pPr>
        <w:ind w:firstLine="0"/>
        <w:rPr>
          <w:sz w:val="20"/>
          <w:szCs w:val="20"/>
          <w:lang w:val="es-ES"/>
        </w:rPr>
      </w:pPr>
      <w:r w:rsidRPr="00B03D4C">
        <w:rPr>
          <w:sz w:val="20"/>
          <w:szCs w:val="20"/>
          <w:lang w:val="es-ES"/>
        </w:rPr>
        <w:t>Gracias por considerar este manuscrito.</w:t>
      </w:r>
    </w:p>
    <w:p w14:paraId="57DEC49B" w14:textId="77777777" w:rsidR="00B03D4C" w:rsidRPr="00B03D4C" w:rsidRDefault="00B03D4C" w:rsidP="00B03D4C">
      <w:pPr>
        <w:ind w:firstLine="0"/>
        <w:rPr>
          <w:sz w:val="20"/>
          <w:szCs w:val="20"/>
          <w:lang w:val="es-CO"/>
        </w:rPr>
      </w:pPr>
    </w:p>
    <w:p w14:paraId="398942A2" w14:textId="356DFF0F" w:rsidR="000B3045" w:rsidRPr="000B3045" w:rsidRDefault="00B03D4C" w:rsidP="00B03D4C">
      <w:pPr>
        <w:ind w:firstLine="0"/>
        <w:rPr>
          <w:sz w:val="20"/>
          <w:szCs w:val="20"/>
          <w:lang w:val="en-US"/>
        </w:rPr>
      </w:pPr>
      <w:proofErr w:type="spellStart"/>
      <w:r w:rsidRPr="00B03D4C">
        <w:rPr>
          <w:sz w:val="20"/>
          <w:szCs w:val="20"/>
          <w:lang w:val="en-US"/>
        </w:rPr>
        <w:t>Atentamente</w:t>
      </w:r>
      <w:proofErr w:type="spellEnd"/>
      <w:r w:rsidRPr="00B03D4C">
        <w:rPr>
          <w:sz w:val="20"/>
          <w:szCs w:val="20"/>
          <w:lang w:val="en-US"/>
        </w:rPr>
        <w:t>,</w:t>
      </w:r>
    </w:p>
    <w:p w14:paraId="61CE1764" w14:textId="77777777" w:rsidR="000B3045" w:rsidRDefault="000B3045" w:rsidP="000B3045">
      <w:pPr>
        <w:ind w:firstLine="0"/>
        <w:rPr>
          <w:sz w:val="20"/>
          <w:szCs w:val="20"/>
          <w:lang w:val="en-US"/>
        </w:rPr>
      </w:pPr>
    </w:p>
    <w:p w14:paraId="325D03F8" w14:textId="77777777" w:rsidR="00B03D4C" w:rsidRPr="000B3045" w:rsidRDefault="00B03D4C" w:rsidP="000B3045">
      <w:pPr>
        <w:ind w:firstLine="0"/>
        <w:rPr>
          <w:sz w:val="20"/>
          <w:szCs w:val="20"/>
          <w:lang w:val="en-US"/>
        </w:rPr>
      </w:pPr>
    </w:p>
    <w:p w14:paraId="224BF99B" w14:textId="31A4DAB2" w:rsidR="00F3701A" w:rsidRPr="000B3045" w:rsidRDefault="00F3701A" w:rsidP="00F3701A">
      <w:pPr>
        <w:ind w:firstLine="0"/>
        <w:rPr>
          <w:b/>
          <w:bCs/>
          <w:sz w:val="20"/>
          <w:szCs w:val="20"/>
          <w:lang w:val="es-CO"/>
        </w:rPr>
      </w:pPr>
      <w:r w:rsidRPr="000B3045">
        <w:rPr>
          <w:b/>
          <w:bCs/>
          <w:sz w:val="20"/>
          <w:szCs w:val="20"/>
          <w:lang w:val="es-CO"/>
        </w:rPr>
        <w:t>Juan D. Velásquez</w:t>
      </w:r>
    </w:p>
    <w:p w14:paraId="57B37E82" w14:textId="6065E65E" w:rsidR="00F3701A" w:rsidRDefault="00F3701A" w:rsidP="00F3701A">
      <w:pPr>
        <w:ind w:firstLine="0"/>
        <w:rPr>
          <w:sz w:val="20"/>
          <w:szCs w:val="20"/>
          <w:lang w:val="es-CO"/>
        </w:rPr>
      </w:pPr>
      <w:r w:rsidRPr="00F3701A">
        <w:rPr>
          <w:sz w:val="20"/>
          <w:szCs w:val="20"/>
          <w:lang w:val="es-CO"/>
        </w:rPr>
        <w:t>Profesor</w:t>
      </w:r>
      <w:r w:rsidR="00B03D4C">
        <w:rPr>
          <w:sz w:val="20"/>
          <w:szCs w:val="20"/>
          <w:lang w:val="es-CO"/>
        </w:rPr>
        <w:t xml:space="preserve"> Titular</w:t>
      </w:r>
    </w:p>
    <w:p w14:paraId="7831057C" w14:textId="1E57811F" w:rsidR="00B03D4C" w:rsidRPr="00F3701A" w:rsidRDefault="00B03D4C" w:rsidP="00F3701A">
      <w:pPr>
        <w:ind w:firstLine="0"/>
        <w:rPr>
          <w:sz w:val="20"/>
          <w:szCs w:val="20"/>
          <w:lang w:val="es-CO"/>
        </w:rPr>
      </w:pPr>
      <w:r>
        <w:rPr>
          <w:sz w:val="20"/>
          <w:szCs w:val="20"/>
          <w:lang w:val="es-CO"/>
        </w:rPr>
        <w:t>Facultad de Minas</w:t>
      </w:r>
    </w:p>
    <w:p w14:paraId="1C091AD8" w14:textId="6B0930EE" w:rsidR="00F3701A" w:rsidRPr="00F3701A" w:rsidRDefault="00F3701A" w:rsidP="00F3701A">
      <w:pPr>
        <w:ind w:firstLine="0"/>
        <w:rPr>
          <w:sz w:val="20"/>
          <w:szCs w:val="20"/>
          <w:lang w:val="es-CO"/>
        </w:rPr>
      </w:pPr>
      <w:r w:rsidRPr="00F3701A">
        <w:rPr>
          <w:sz w:val="20"/>
          <w:szCs w:val="20"/>
          <w:lang w:val="es-CO"/>
        </w:rPr>
        <w:t>Universidad Nacional de Colombia</w:t>
      </w:r>
    </w:p>
    <w:p w14:paraId="38043C65" w14:textId="4DD21C8D" w:rsidR="0027056D" w:rsidRPr="00B03D4C" w:rsidRDefault="0027056D" w:rsidP="00F3701A">
      <w:pPr>
        <w:ind w:firstLine="0"/>
        <w:rPr>
          <w:sz w:val="20"/>
          <w:szCs w:val="20"/>
          <w:lang w:val="es-CO"/>
        </w:rPr>
      </w:pPr>
    </w:p>
    <w:sectPr w:rsidR="0027056D" w:rsidRPr="00B03D4C">
      <w:headerReference w:type="even" r:id="rId7"/>
      <w:headerReference w:type="default" r:id="rId8"/>
      <w:footerReference w:type="even" r:id="rId9"/>
      <w:footerReference w:type="default" r:id="rId10"/>
      <w:headerReference w:type="first" r:id="rId11"/>
      <w:footerReference w:type="first" r:id="rId12"/>
      <w:pgSz w:w="11906" w:h="16838"/>
      <w:pgMar w:top="1133" w:right="1133" w:bottom="1133"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9330C" w14:textId="77777777" w:rsidR="004E68AA" w:rsidRDefault="004E68AA">
      <w:pPr>
        <w:spacing w:line="240" w:lineRule="auto"/>
      </w:pPr>
      <w:r>
        <w:separator/>
      </w:r>
    </w:p>
  </w:endnote>
  <w:endnote w:type="continuationSeparator" w:id="0">
    <w:p w14:paraId="32230B39" w14:textId="77777777" w:rsidR="004E68AA" w:rsidRDefault="004E68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9C855" w14:textId="77777777" w:rsidR="00A873CC" w:rsidRDefault="00A873C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683F9" w14:textId="77777777" w:rsidR="0027056D" w:rsidRDefault="00000000">
    <w:pPr>
      <w:jc w:val="right"/>
      <w:rPr>
        <w:sz w:val="18"/>
        <w:szCs w:val="18"/>
      </w:rPr>
    </w:pPr>
    <w:r>
      <w:rPr>
        <w:sz w:val="18"/>
        <w:szCs w:val="18"/>
      </w:rPr>
      <w:fldChar w:fldCharType="begin"/>
    </w:r>
    <w:r>
      <w:rPr>
        <w:sz w:val="18"/>
        <w:szCs w:val="18"/>
      </w:rPr>
      <w:instrText>PAGE</w:instrText>
    </w:r>
    <w:r>
      <w:rPr>
        <w:sz w:val="18"/>
        <w:szCs w:val="18"/>
      </w:rPr>
      <w:fldChar w:fldCharType="separate"/>
    </w:r>
    <w:r w:rsidR="00A873CC">
      <w:rPr>
        <w:noProof/>
        <w:sz w:val="18"/>
        <w:szCs w:val="18"/>
      </w:rPr>
      <w:t>1</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FC736" w14:textId="77777777" w:rsidR="00A873CC" w:rsidRDefault="00A873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DD79A" w14:textId="77777777" w:rsidR="004E68AA" w:rsidRDefault="004E68AA">
      <w:pPr>
        <w:spacing w:line="240" w:lineRule="auto"/>
      </w:pPr>
      <w:r>
        <w:separator/>
      </w:r>
    </w:p>
  </w:footnote>
  <w:footnote w:type="continuationSeparator" w:id="0">
    <w:p w14:paraId="3FAA38F8" w14:textId="77777777" w:rsidR="004E68AA" w:rsidRDefault="004E68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8B881" w14:textId="77777777" w:rsidR="00A873CC" w:rsidRDefault="00A873C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0BB10" w14:textId="77777777" w:rsidR="0027056D" w:rsidRDefault="0027056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E919F" w14:textId="77777777" w:rsidR="00A873CC" w:rsidRDefault="00A873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3A09"/>
    <w:multiLevelType w:val="hybridMultilevel"/>
    <w:tmpl w:val="58B0C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800B1F"/>
    <w:multiLevelType w:val="multilevel"/>
    <w:tmpl w:val="A0743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E50792"/>
    <w:multiLevelType w:val="hybridMultilevel"/>
    <w:tmpl w:val="AF0257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686A91"/>
    <w:multiLevelType w:val="hybridMultilevel"/>
    <w:tmpl w:val="26AC1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C1525A"/>
    <w:multiLevelType w:val="multilevel"/>
    <w:tmpl w:val="1C4CFC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0302283"/>
    <w:multiLevelType w:val="multilevel"/>
    <w:tmpl w:val="5DFCE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F34247"/>
    <w:multiLevelType w:val="hybridMultilevel"/>
    <w:tmpl w:val="B860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02417338">
    <w:abstractNumId w:val="4"/>
  </w:num>
  <w:num w:numId="2" w16cid:durableId="525484361">
    <w:abstractNumId w:val="5"/>
  </w:num>
  <w:num w:numId="3" w16cid:durableId="1045643861">
    <w:abstractNumId w:val="1"/>
  </w:num>
  <w:num w:numId="4" w16cid:durableId="1169978292">
    <w:abstractNumId w:val="2"/>
  </w:num>
  <w:num w:numId="5" w16cid:durableId="884410764">
    <w:abstractNumId w:val="6"/>
  </w:num>
  <w:num w:numId="6" w16cid:durableId="1970083411">
    <w:abstractNumId w:val="3"/>
  </w:num>
  <w:num w:numId="7" w16cid:durableId="33195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6"/>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6D"/>
    <w:rsid w:val="00012670"/>
    <w:rsid w:val="00055EE3"/>
    <w:rsid w:val="000B3045"/>
    <w:rsid w:val="00137DFF"/>
    <w:rsid w:val="00243DBA"/>
    <w:rsid w:val="0027056D"/>
    <w:rsid w:val="0040142C"/>
    <w:rsid w:val="004E68AA"/>
    <w:rsid w:val="007C1837"/>
    <w:rsid w:val="00802323"/>
    <w:rsid w:val="00836453"/>
    <w:rsid w:val="00843658"/>
    <w:rsid w:val="00A42730"/>
    <w:rsid w:val="00A873CC"/>
    <w:rsid w:val="00AE1922"/>
    <w:rsid w:val="00B03D4C"/>
    <w:rsid w:val="00BA4601"/>
    <w:rsid w:val="00BF555F"/>
    <w:rsid w:val="00C22E31"/>
    <w:rsid w:val="00C519B2"/>
    <w:rsid w:val="00CF1A34"/>
    <w:rsid w:val="00DB7C31"/>
    <w:rsid w:val="00EA497B"/>
    <w:rsid w:val="00EB4DF4"/>
    <w:rsid w:val="00EF3761"/>
    <w:rsid w:val="00F3701A"/>
    <w:rsid w:val="00FA6A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A3EE5"/>
  <w15:docId w15:val="{CF5CAC9D-4EDA-224D-9A9E-484FE050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ind w:firstLine="28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ind w:firstLine="0"/>
      <w:outlineLvl w:val="0"/>
    </w:pPr>
    <w:rPr>
      <w:b/>
      <w:sz w:val="28"/>
      <w:szCs w:val="28"/>
    </w:rPr>
  </w:style>
  <w:style w:type="paragraph" w:styleId="Ttulo2">
    <w:name w:val="heading 2"/>
    <w:basedOn w:val="Normal"/>
    <w:next w:val="Normal"/>
    <w:uiPriority w:val="9"/>
    <w:unhideWhenUsed/>
    <w:qFormat/>
    <w:pPr>
      <w:keepNext/>
      <w:keepLines/>
      <w:spacing w:before="360" w:after="80"/>
      <w:ind w:firstLine="0"/>
      <w:outlineLvl w:val="1"/>
    </w:pPr>
    <w:rPr>
      <w:b/>
      <w:sz w:val="28"/>
      <w:szCs w:val="28"/>
    </w:rPr>
  </w:style>
  <w:style w:type="paragraph" w:styleId="Ttulo3">
    <w:name w:val="heading 3"/>
    <w:basedOn w:val="Normal"/>
    <w:next w:val="Normal"/>
    <w:uiPriority w:val="9"/>
    <w:unhideWhenUsed/>
    <w:qFormat/>
    <w:pPr>
      <w:keepNext/>
      <w:keepLines/>
      <w:spacing w:before="280" w:after="80"/>
      <w:ind w:firstLine="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873C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873CC"/>
  </w:style>
  <w:style w:type="paragraph" w:styleId="Piedepgina">
    <w:name w:val="footer"/>
    <w:basedOn w:val="Normal"/>
    <w:link w:val="PiedepginaCar"/>
    <w:uiPriority w:val="99"/>
    <w:unhideWhenUsed/>
    <w:rsid w:val="00A873C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873CC"/>
  </w:style>
  <w:style w:type="character" w:styleId="Hipervnculo">
    <w:name w:val="Hyperlink"/>
    <w:basedOn w:val="Fuentedeprrafopredeter"/>
    <w:uiPriority w:val="99"/>
    <w:unhideWhenUsed/>
    <w:rsid w:val="00F3701A"/>
    <w:rPr>
      <w:color w:val="0000FF" w:themeColor="hyperlink"/>
      <w:u w:val="single"/>
    </w:rPr>
  </w:style>
  <w:style w:type="character" w:styleId="Mencinsinresolver">
    <w:name w:val="Unresolved Mention"/>
    <w:basedOn w:val="Fuentedeprrafopredeter"/>
    <w:uiPriority w:val="99"/>
    <w:semiHidden/>
    <w:unhideWhenUsed/>
    <w:rsid w:val="00F3701A"/>
    <w:rPr>
      <w:color w:val="605E5C"/>
      <w:shd w:val="clear" w:color="auto" w:fill="E1DFDD"/>
    </w:rPr>
  </w:style>
  <w:style w:type="paragraph" w:styleId="Prrafodelista">
    <w:name w:val="List Paragraph"/>
    <w:basedOn w:val="Normal"/>
    <w:uiPriority w:val="34"/>
    <w:qFormat/>
    <w:rsid w:val="00C519B2"/>
    <w:pPr>
      <w:ind w:left="720"/>
      <w:contextualSpacing/>
    </w:pPr>
  </w:style>
  <w:style w:type="character" w:styleId="Hipervnculovisitado">
    <w:name w:val="FollowedHyperlink"/>
    <w:basedOn w:val="Fuentedeprrafopredeter"/>
    <w:uiPriority w:val="99"/>
    <w:semiHidden/>
    <w:unhideWhenUsed/>
    <w:rsid w:val="00C22E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771</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Velasquez</cp:lastModifiedBy>
  <cp:revision>9</cp:revision>
  <dcterms:created xsi:type="dcterms:W3CDTF">2024-04-12T17:34:00Z</dcterms:created>
  <dcterms:modified xsi:type="dcterms:W3CDTF">2024-11-22T13:18:00Z</dcterms:modified>
</cp:coreProperties>
</file>