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B2C5" w14:textId="77777777" w:rsidR="00B01F21" w:rsidRDefault="00000000">
      <w:pPr>
        <w:spacing w:after="120"/>
        <w:jc w:val="center"/>
      </w:pPr>
      <w:r>
        <w:rPr>
          <w:b/>
          <w:sz w:val="32"/>
        </w:rPr>
        <w:t>Hybrid Omega Matrix Design for Black-Litterman Portfolios</w:t>
      </w:r>
    </w:p>
    <w:p w14:paraId="0FAC0A75" w14:textId="77777777" w:rsidR="00B01F21" w:rsidRDefault="00000000">
      <w:pPr>
        <w:spacing w:after="120"/>
        <w:jc w:val="center"/>
      </w:pPr>
      <w:r>
        <w:rPr>
          <w:sz w:val="24"/>
        </w:rPr>
        <w:t>with Machine Learning / Deep Learning Views and Reinforcement Learning Model Selection</w:t>
      </w:r>
    </w:p>
    <w:p w14:paraId="5619EAA4" w14:textId="77777777" w:rsidR="00B01F21" w:rsidRDefault="00000000">
      <w:pPr>
        <w:spacing w:after="80"/>
        <w:jc w:val="center"/>
      </w:pPr>
      <w:r>
        <w:rPr>
          <w:i/>
        </w:rPr>
        <w:t>Capstone Project Baseline Draft -- 2026</w:t>
      </w:r>
    </w:p>
    <w:p w14:paraId="3B4B8200" w14:textId="3CA32772" w:rsidR="00B01F21" w:rsidRDefault="00000000">
      <w:pPr>
        <w:spacing w:after="240"/>
        <w:jc w:val="center"/>
      </w:pPr>
      <w:r>
        <w:rPr>
          <w:b/>
        </w:rPr>
        <w:t>Jay Tak</w:t>
      </w:r>
      <w:r>
        <w:br/>
        <w:t>Department of Industrial &amp; Management Engineering, Undergraduate Capstone</w:t>
      </w:r>
      <w:r>
        <w:br/>
      </w:r>
      <w:r w:rsidR="00140325">
        <w:rPr>
          <w:lang w:eastAsia="ko-KR"/>
        </w:rPr>
        <w:t>jangdw9</w:t>
      </w:r>
      <w:r>
        <w:t>@gmail.com</w:t>
      </w:r>
    </w:p>
    <w:p w14:paraId="5AC70D78" w14:textId="77777777" w:rsidR="00B01F21" w:rsidRDefault="00000000">
      <w:pPr>
        <w:spacing w:after="40"/>
      </w:pPr>
      <w:r>
        <w:rPr>
          <w:b/>
        </w:rPr>
        <w:t xml:space="preserve">Abstract  </w:t>
      </w:r>
    </w:p>
    <w:p w14:paraId="215C9BC6" w14:textId="77777777" w:rsidR="00B01F21" w:rsidRDefault="00000000">
      <w:pPr>
        <w:spacing w:after="120" w:line="360" w:lineRule="auto"/>
      </w:pPr>
      <w:r>
        <w:rPr>
          <w:sz w:val="20"/>
        </w:rPr>
        <w:t xml:space="preserve">The Black-Litterman (BL) framework combines the market-implied equilibrium with investors' subjective views, offering a more stable alternative to the Markowitz mean-variance optimizer. While most prior work focuses on deriving the view vector Q from Machine Learning (ML) or Deep Learning (DL) predictions, the design of the view-uncertainty matrix Omega has remained comparatively under-explored. </w:t>
      </w:r>
      <w:r>
        <w:rPr>
          <w:sz w:val="20"/>
        </w:rPr>
        <w:br/>
      </w:r>
      <w:r>
        <w:rPr>
          <w:sz w:val="20"/>
        </w:rPr>
        <w:br/>
        <w:t xml:space="preserve">This paper introduces a hybrid Omega construction that scales each view's uncertainty by (i) the forecasting model's direction-accuracy on held-out data, and (ii) the magnitude of the prediction itself. Together with cross-sectional feature normalization and a unified 13-model ML/DL forecasting pipeline, the proposed framework is evaluated on a 22-asset U.S. equity universe (2013--2026, 20 walk-forward folds). </w:t>
      </w:r>
      <w:r>
        <w:rPr>
          <w:sz w:val="20"/>
        </w:rPr>
        <w:br/>
      </w:r>
      <w:r>
        <w:rPr>
          <w:sz w:val="20"/>
        </w:rPr>
        <w:br/>
        <w:t>Empirically, BL strategies that consume LightGBM (Sharpe 1.299) or LSTM (Sharpe 1.295) views outperform the BL-NoView benchmark (Sharpe 1.279), while a reinforcement-learning portfolio agent (DQN) reduces the average maximum drawdown by 7.5%. These results support the view that forecasting quality translates into portfolio performance when Omega is informed by a model-quality signal.</w:t>
      </w:r>
    </w:p>
    <w:p w14:paraId="78D0B2F9" w14:textId="77777777" w:rsidR="00B01F21" w:rsidRDefault="00000000">
      <w:r>
        <w:rPr>
          <w:b/>
          <w:sz w:val="20"/>
        </w:rPr>
        <w:t xml:space="preserve">Keywords: </w:t>
      </w:r>
      <w:r>
        <w:rPr>
          <w:i/>
          <w:sz w:val="20"/>
        </w:rPr>
        <w:t>Black-Litterman, Portfolio Optimization, Machine Learning, Deep Learning, Reinforcement Learning, Hybrid Omega, Walk-Forward Validation</w:t>
      </w:r>
    </w:p>
    <w:p w14:paraId="796EF590" w14:textId="77777777" w:rsidR="00B01F21" w:rsidRDefault="00000000">
      <w:pPr>
        <w:pStyle w:val="1"/>
        <w:spacing w:before="280" w:after="120"/>
      </w:pPr>
      <w:r>
        <w:rPr>
          <w:color w:val="1F3A68"/>
        </w:rPr>
        <w:t>1. Introduction</w:t>
      </w:r>
    </w:p>
    <w:p w14:paraId="30CF7FF0" w14:textId="77777777" w:rsidR="00B01F21" w:rsidRDefault="00000000">
      <w:pPr>
        <w:pStyle w:val="21"/>
        <w:spacing w:before="160" w:after="80"/>
      </w:pPr>
      <w:r>
        <w:rPr>
          <w:sz w:val="24"/>
        </w:rPr>
        <w:t>1.1 Background</w:t>
      </w:r>
    </w:p>
    <w:p w14:paraId="236BDFF3" w14:textId="77777777" w:rsidR="00B01F21" w:rsidRDefault="00000000">
      <w:pPr>
        <w:spacing w:after="120" w:line="360" w:lineRule="auto"/>
        <w:ind w:firstLine="283"/>
      </w:pPr>
      <w:r>
        <w:t>Harry Markowitz's mean-variance optimizer (Markowitz, 1952) formalized portfolio construction as a risk-return trade-off, yet its sensitivity to estimation error in the expected-return vector severely limits practical use. Black and Litterman (1992) proposed a Bayesian remedy: the prior distribution is anchored at the market-implied CAPM return, and investor views are incorporated through a probabilistic update, yielding the posterior expected return:</w:t>
      </w:r>
    </w:p>
    <w:p w14:paraId="7C7B24DF" w14:textId="77777777" w:rsidR="00B01F21" w:rsidRDefault="00000000">
      <w:pPr>
        <w:spacing w:before="80" w:after="80"/>
        <w:jc w:val="center"/>
      </w:pPr>
      <w:r>
        <w:rPr>
          <w:i/>
        </w:rPr>
        <w:t>E[r] = [(tau*Sigma)^(-1) + P'*Omega^(-1)*P]^(-1) * [(tau*Sigma)^(-1)*Pi + P'*Omega^(-1)*Q]</w:t>
      </w:r>
    </w:p>
    <w:p w14:paraId="1B4276AD" w14:textId="77777777" w:rsidR="00B01F21" w:rsidRDefault="00000000">
      <w:pPr>
        <w:spacing w:after="120" w:line="360" w:lineRule="auto"/>
        <w:ind w:firstLine="283"/>
      </w:pPr>
      <w:r>
        <w:t>where Pi is the market-equilibrium return, P is the pick matrix, Q is the view vector, and Omega is a diagonal matrix capturing the uncertainty of each view. The tau scalar controls the confidence in the prior.</w:t>
      </w:r>
    </w:p>
    <w:p w14:paraId="5FCF8178" w14:textId="77777777" w:rsidR="00B01F21" w:rsidRDefault="00000000">
      <w:pPr>
        <w:pStyle w:val="21"/>
        <w:spacing w:before="160" w:after="80"/>
      </w:pPr>
      <w:r>
        <w:rPr>
          <w:sz w:val="24"/>
        </w:rPr>
        <w:lastRenderedPageBreak/>
        <w:t>1.2 Motivation and Gap</w:t>
      </w:r>
    </w:p>
    <w:p w14:paraId="36A6C265" w14:textId="77777777" w:rsidR="00B01F21" w:rsidRDefault="00000000">
      <w:pPr>
        <w:spacing w:after="120" w:line="360" w:lineRule="auto"/>
        <w:ind w:firstLine="283"/>
      </w:pPr>
      <w:r>
        <w:t>Extensive prior research has investigated how to generate Q, including EGARCH-based views (Beach and Orlov, 2007), volatility forecasts (Duqi et al., 2014), and ML/DL regressors (Shigolakov, 2025). However, the specification of Omega has mostly defaulted to either (i) a scalar multiple of the diagonal of P*tau*Sigma*P' or (ii) the in-sample residual variance of each model. Both treat every view as equally trustworthy -- a clearly problematic assumption when the forecasting models differ in predictive power.</w:t>
      </w:r>
    </w:p>
    <w:p w14:paraId="367C6273" w14:textId="77777777" w:rsidR="00B01F21" w:rsidRDefault="00000000">
      <w:pPr>
        <w:spacing w:after="120" w:line="360" w:lineRule="auto"/>
        <w:ind w:firstLine="283"/>
      </w:pPr>
      <w:r>
        <w:t>This paper closes that gap by conditioning Omega on (i) a model-quality score computed on held-out data and (ii) the prediction magnitude, while preserving the standard BL identity.</w:t>
      </w:r>
    </w:p>
    <w:p w14:paraId="5CD9B3BC" w14:textId="77777777" w:rsidR="00B01F21" w:rsidRDefault="00000000">
      <w:pPr>
        <w:pStyle w:val="21"/>
        <w:spacing w:before="160" w:after="80"/>
      </w:pPr>
      <w:r>
        <w:rPr>
          <w:sz w:val="24"/>
        </w:rPr>
        <w:t>1.3 Contributions</w:t>
      </w:r>
    </w:p>
    <w:p w14:paraId="26D12AF6" w14:textId="77777777" w:rsidR="00B01F21" w:rsidRDefault="00000000">
      <w:pPr>
        <w:pStyle w:val="a0"/>
        <w:spacing w:line="312" w:lineRule="auto"/>
      </w:pPr>
      <w:r>
        <w:t>A hybrid Omega construction that couples forecasting quality with prediction strength in a single closed-form expression.</w:t>
      </w:r>
    </w:p>
    <w:p w14:paraId="4169D5EA" w14:textId="77777777" w:rsidR="00B01F21" w:rsidRDefault="00000000">
      <w:pPr>
        <w:pStyle w:val="a0"/>
        <w:spacing w:line="312" w:lineRule="auto"/>
      </w:pPr>
      <w:r>
        <w:t>A unified 13-model ML/DL pipeline (Ridge, Lasso, DecisionTree, RandomForest, XGBoost, LightGBM, CatBoost, MLP, LSTM, CNN1D, Transformer, PatchTST, Hybrid LSTM-Transformer) with Optuna-tuned hyper-parameters.</w:t>
      </w:r>
    </w:p>
    <w:p w14:paraId="144054D7" w14:textId="77777777" w:rsidR="00B01F21" w:rsidRDefault="00000000">
      <w:pPr>
        <w:pStyle w:val="a0"/>
        <w:spacing w:line="312" w:lineRule="auto"/>
      </w:pPr>
      <w:r>
        <w:t>Cross-sectional feature normalization that converts scale-heterogeneous indicators into rank- and z-score-based signals, which are more appropriate for the relative nature of portfolio optimization.</w:t>
      </w:r>
    </w:p>
    <w:p w14:paraId="030385FD" w14:textId="77777777" w:rsidR="00B01F21" w:rsidRDefault="00000000">
      <w:pPr>
        <w:pStyle w:val="a0"/>
        <w:spacing w:line="312" w:lineRule="auto"/>
      </w:pPr>
      <w:r>
        <w:t>A comparison against reinforcement-learning agents (DQN, PPO) that dynamically select the best forecasting model per re-balance step.</w:t>
      </w:r>
    </w:p>
    <w:p w14:paraId="3937F222" w14:textId="77777777" w:rsidR="00B01F21" w:rsidRDefault="00000000">
      <w:pPr>
        <w:pStyle w:val="a0"/>
        <w:spacing w:line="312" w:lineRule="auto"/>
      </w:pPr>
      <w:r>
        <w:t>Empirical evidence on a 22-asset universe (2013--2026) that the proposed design enables individual ML/DL models to outperform the BL-NoView benchmark in terms of Sharpe ratio.</w:t>
      </w:r>
    </w:p>
    <w:p w14:paraId="3250D72D" w14:textId="77777777" w:rsidR="00B01F21" w:rsidRDefault="00000000">
      <w:pPr>
        <w:pStyle w:val="1"/>
        <w:spacing w:before="280" w:after="120"/>
      </w:pPr>
      <w:r>
        <w:rPr>
          <w:color w:val="1F3A68"/>
        </w:rPr>
        <w:t>2. Methodology</w:t>
      </w:r>
    </w:p>
    <w:p w14:paraId="625B9523" w14:textId="77777777" w:rsidR="00B01F21" w:rsidRDefault="00000000">
      <w:pPr>
        <w:pStyle w:val="21"/>
        <w:spacing w:before="160" w:after="80"/>
      </w:pPr>
      <w:r>
        <w:rPr>
          <w:sz w:val="24"/>
        </w:rPr>
        <w:t>2.1 Dataset</w:t>
      </w:r>
    </w:p>
    <w:p w14:paraId="6E755DF7" w14:textId="77777777" w:rsidR="00B01F21" w:rsidRDefault="00000000">
      <w:pPr>
        <w:spacing w:after="120" w:line="360" w:lineRule="auto"/>
        <w:ind w:firstLine="283"/>
      </w:pPr>
      <w:r>
        <w:t>We construct bl_v3_dataset.csv from Yahoo Finance price data spanning February 2013 to February 2026, covering 22 large-cap U.S. equities across multiple sectors (AAPL, AMZN, BRK-B, CAT, COST, CVX, EQIX, GE, GOOGL, JPM, LIN, LLY, META, NEE, NVDA, PLD, SHW, SO, TSLA, UNH, WMT, XOM). Seven technical indicators per asset (RSI-14, StochRSI-14, ROC-10, TSI-25-13, DPO-20, ATR-14, and market-capitalization weight) are complemented by five macro variables (VIX, MOVE, HY_OAS, 10Y-2Y spread, U.S. Dollar Index). The forecasting target is the 5-day forward return.</w:t>
      </w:r>
    </w:p>
    <w:p w14:paraId="27A2CF68" w14:textId="77777777" w:rsidR="00B01F21" w:rsidRDefault="00000000">
      <w:pPr>
        <w:pStyle w:val="21"/>
        <w:spacing w:before="160" w:after="80"/>
      </w:pPr>
      <w:r>
        <w:rPr>
          <w:sz w:val="24"/>
        </w:rPr>
        <w:t>2.2 Feature Engineering</w:t>
      </w:r>
    </w:p>
    <w:p w14:paraId="2BFB9A3B" w14:textId="77777777" w:rsidR="00B01F21" w:rsidRDefault="00000000">
      <w:pPr>
        <w:spacing w:after="120" w:line="360" w:lineRule="auto"/>
        <w:ind w:firstLine="283"/>
      </w:pPr>
      <w:r>
        <w:t xml:space="preserve">Raw macro levels are incompatible with asset-level percentage features, so we replace each macro level with its 1-day pct_change, 5-day pct_change, and ratio to its 20-day moving average. Fourteen asset-level derived features are added: log-return lags at horizons {1,5,10,20}, realised volatilities at {5,20}, </w:t>
      </w:r>
      <w:r>
        <w:lastRenderedPageBreak/>
        <w:t>volatility ratio, three price-to-MA ratios, ma5/ma20 ratio, rolling skewness, RSI change, ATR regime, price-normalized DPO, and market-cap weight change.</w:t>
      </w:r>
    </w:p>
    <w:p w14:paraId="6E588DEA" w14:textId="77777777" w:rsidR="00B01F21" w:rsidRDefault="00000000">
      <w:pPr>
        <w:spacing w:after="120" w:line="360" w:lineRule="auto"/>
        <w:ind w:firstLine="283"/>
      </w:pPr>
      <w:r>
        <w:t>We then apply cross-sectional normalization at every date: for each feature we compute a percent-rank (0-1) and a z-score across the 22 assets. This yields signals such as 'RSI of AAPL is in the top 20% today' instead of the raw value, which is more aligned with the relative nature of portfolio construction.</w:t>
      </w:r>
    </w:p>
    <w:p w14:paraId="56494AF5" w14:textId="77777777" w:rsidR="00B01F21" w:rsidRDefault="00000000">
      <w:pPr>
        <w:pStyle w:val="21"/>
        <w:spacing w:before="160" w:after="80"/>
      </w:pPr>
      <w:r>
        <w:rPr>
          <w:sz w:val="24"/>
        </w:rPr>
        <w:t>2.3 Forecasting Models</w:t>
      </w:r>
    </w:p>
    <w:p w14:paraId="54CD8A12" w14:textId="77777777" w:rsidR="00B01F21" w:rsidRDefault="00000000">
      <w:pPr>
        <w:spacing w:after="120" w:line="360" w:lineRule="auto"/>
        <w:ind w:firstLine="283"/>
      </w:pPr>
      <w:r>
        <w:t>Thirteen ML/DL models are trained per fold: Ridge and Lasso (linear regularised regressions), DecisionTree, RandomForest, XGBoost, LightGBM, CatBoost (tree-based ensembles), and MLP, LSTM, CNN1D, Transformer, PatchTST, and a Hybrid LSTM-Transformer (sequential DL architectures). Hyper-parameters are tuned on the first three folds via Optuna with 25 trials for ML models and 40-60 trials for DL models, minimising the view-build RMSE.</w:t>
      </w:r>
    </w:p>
    <w:p w14:paraId="6C36B20C" w14:textId="77777777" w:rsidR="00B01F21" w:rsidRDefault="00000000">
      <w:pPr>
        <w:pStyle w:val="21"/>
        <w:spacing w:before="160" w:after="80"/>
      </w:pPr>
      <w:r>
        <w:rPr>
          <w:sz w:val="24"/>
        </w:rPr>
        <w:t>2.4 Walk-Forward Validation</w:t>
      </w:r>
    </w:p>
    <w:p w14:paraId="09596A94" w14:textId="77777777" w:rsidR="00B01F21" w:rsidRDefault="00000000">
      <w:pPr>
        <w:spacing w:after="120" w:line="360" w:lineRule="auto"/>
        <w:ind w:firstLine="283"/>
      </w:pPr>
      <w:r>
        <w:t>We use a nested walk-forward scheme with 1,008 days of model training, 252 days of view-build (used to compute model-quality scores), and 756 days of out-of-sample test. The window advances by 63 days per fold, yielding 20 folds that cover the period 2018--2026.</w:t>
      </w:r>
    </w:p>
    <w:p w14:paraId="465A58C0" w14:textId="77777777" w:rsidR="00B01F21" w:rsidRDefault="00000000">
      <w:pPr>
        <w:pStyle w:val="21"/>
        <w:spacing w:before="160" w:after="80"/>
      </w:pPr>
      <w:r>
        <w:rPr>
          <w:sz w:val="24"/>
        </w:rPr>
        <w:t>2.5 Hybrid Omega Construction</w:t>
      </w:r>
    </w:p>
    <w:p w14:paraId="130BA54E" w14:textId="77777777" w:rsidR="00B01F21" w:rsidRDefault="00000000">
      <w:pPr>
        <w:spacing w:after="120" w:line="360" w:lineRule="auto"/>
        <w:ind w:firstLine="283"/>
      </w:pPr>
      <w:r>
        <w:t>For each view i generated by model m on date t, we define Omega's diagonal as:</w:t>
      </w:r>
    </w:p>
    <w:p w14:paraId="40D155DC" w14:textId="77777777" w:rsidR="00B01F21" w:rsidRDefault="00000000">
      <w:pPr>
        <w:spacing w:before="80" w:after="80"/>
        <w:jc w:val="center"/>
      </w:pPr>
      <w:r>
        <w:rPr>
          <w:i/>
        </w:rPr>
        <w:t>omega_i^2 = sigma_i^2 * (1 / max(q_m, q_floor))^alpha * (1 / max(|y_i|, s_floor))^beta * lambda</w:t>
      </w:r>
    </w:p>
    <w:p w14:paraId="39D7BF6D" w14:textId="77777777" w:rsidR="00B01F21" w:rsidRDefault="00000000">
      <w:pPr>
        <w:spacing w:after="120" w:line="360" w:lineRule="auto"/>
        <w:ind w:firstLine="283"/>
      </w:pPr>
      <w:r>
        <w:t>The components are:</w:t>
      </w:r>
    </w:p>
    <w:p w14:paraId="24D77EA8" w14:textId="77777777" w:rsidR="00B01F21" w:rsidRDefault="00000000">
      <w:pPr>
        <w:pStyle w:val="a0"/>
        <w:spacing w:line="312" w:lineRule="auto"/>
      </w:pPr>
      <w:r>
        <w:t>sigma_i^2: baseline variance (in-sample residual variance).</w:t>
      </w:r>
    </w:p>
    <w:p w14:paraId="7A22C680" w14:textId="77777777" w:rsidR="00B01F21" w:rsidRDefault="00000000">
      <w:pPr>
        <w:pStyle w:val="a0"/>
        <w:spacing w:line="312" w:lineRule="auto"/>
      </w:pPr>
      <w:r>
        <w:t>q_m: direction-accuracy-based quality score, q_m = 2*(DirAcc_m - 0.5), so that a random predictor scores 0 and a perfect one scores 1. Negative values (worse than random) are clipped at q_floor = 0.005.</w:t>
      </w:r>
    </w:p>
    <w:p w14:paraId="232603AE" w14:textId="77777777" w:rsidR="00B01F21" w:rsidRDefault="00000000">
      <w:pPr>
        <w:pStyle w:val="a0"/>
        <w:spacing w:line="312" w:lineRule="auto"/>
      </w:pPr>
      <w:r>
        <w:t>|y_i|: magnitude of the prediction. Low-confidence predictions receive a larger Omega and are weighted less in the BL posterior.</w:t>
      </w:r>
    </w:p>
    <w:p w14:paraId="0467E256" w14:textId="77777777" w:rsidR="00B01F21" w:rsidRDefault="00000000">
      <w:pPr>
        <w:pStyle w:val="a0"/>
        <w:spacing w:line="312" w:lineRule="auto"/>
      </w:pPr>
      <w:r>
        <w:t>alpha = beta = 0.25 (moderate influence) and lambda = 0.1 (global scale). These values were selected to avoid over-suppression of views while retaining meaningful model-quality differentiation.</w:t>
      </w:r>
    </w:p>
    <w:p w14:paraId="2062B298" w14:textId="77777777" w:rsidR="00B01F21" w:rsidRDefault="00000000">
      <w:pPr>
        <w:spacing w:after="120" w:line="360" w:lineRule="auto"/>
        <w:ind w:firstLine="283"/>
      </w:pPr>
      <w:r>
        <w:t>Because the rest of the BL pipeline consumes a pre-adjusted uncertainty column, the effective Omega is produced by rescaling the uncertainty prior to BL solving, which keeps the existing omega_method='uncertainty' path fully compatible with the hybrid extension.</w:t>
      </w:r>
    </w:p>
    <w:p w14:paraId="056A3149" w14:textId="77777777" w:rsidR="00B01F21" w:rsidRDefault="00000000">
      <w:pPr>
        <w:pStyle w:val="21"/>
        <w:spacing w:before="160" w:after="80"/>
      </w:pPr>
      <w:r>
        <w:rPr>
          <w:sz w:val="24"/>
        </w:rPr>
        <w:lastRenderedPageBreak/>
        <w:t>2.6 BL + MVO Pipeline</w:t>
      </w:r>
    </w:p>
    <w:p w14:paraId="55F17C9C" w14:textId="77777777" w:rsidR="00B01F21" w:rsidRDefault="00000000">
      <w:pPr>
        <w:spacing w:after="120" w:line="360" w:lineRule="auto"/>
        <w:ind w:firstLine="283"/>
      </w:pPr>
      <w:r>
        <w:t>Each fold iterates through re-balancing dates (every 5 days). At each decision date we (i) estimate the covariance matrix from the past 756 days of log returns, (ii) solve the BL posterior using the selected model's views and the hybrid Omega, and (iii) run a long-only maximum-Sharpe MVO with a per-asset weight cap of 25%.</w:t>
      </w:r>
    </w:p>
    <w:p w14:paraId="2C464444" w14:textId="77777777" w:rsidR="00B01F21" w:rsidRDefault="00000000">
      <w:pPr>
        <w:pStyle w:val="21"/>
        <w:spacing w:before="160" w:after="80"/>
      </w:pPr>
      <w:r>
        <w:rPr>
          <w:sz w:val="24"/>
        </w:rPr>
        <w:t>2.7 Reinforcement Learning Agents</w:t>
      </w:r>
    </w:p>
    <w:p w14:paraId="1EB5A525" w14:textId="77777777" w:rsidR="00B01F21" w:rsidRDefault="00000000">
      <w:pPr>
        <w:spacing w:after="120" w:line="360" w:lineRule="auto"/>
        <w:ind w:firstLine="283"/>
      </w:pPr>
      <w:r>
        <w:t>To test whether dynamic model selection can further improve performance, we train two RL agents with the same action space (13 models) and observation (cross-sectional prediction statistics). The agents differ in algorithm (Double-DQN vs. PPO) and reward: the primary variant uses an EMA-based Sharpe estimate on the BL portfolio return. Each agent is trained on the view-build partition and deployed on test.</w:t>
      </w:r>
    </w:p>
    <w:p w14:paraId="398D3803" w14:textId="77777777" w:rsidR="00B01F21" w:rsidRDefault="00000000">
      <w:pPr>
        <w:pStyle w:val="1"/>
        <w:spacing w:before="280" w:after="120"/>
      </w:pPr>
      <w:r>
        <w:rPr>
          <w:color w:val="1F3A68"/>
        </w:rPr>
        <w:t>3. Experimental Results</w:t>
      </w:r>
    </w:p>
    <w:p w14:paraId="79AA8E13" w14:textId="77777777" w:rsidR="00B01F21" w:rsidRDefault="00000000">
      <w:pPr>
        <w:pStyle w:val="21"/>
        <w:spacing w:before="160" w:after="80"/>
      </w:pPr>
      <w:r>
        <w:rPr>
          <w:sz w:val="24"/>
        </w:rPr>
        <w:t>3.1 Forecasting Direction Accuracy</w:t>
      </w:r>
    </w:p>
    <w:p w14:paraId="1F195794" w14:textId="77777777" w:rsidR="00B01F21" w:rsidRDefault="00000000">
      <w:pPr>
        <w:spacing w:after="120" w:line="360" w:lineRule="auto"/>
        <w:ind w:firstLine="283"/>
      </w:pPr>
      <w:r>
        <w:t>All 13 models exceed the 50% random baseline. Lasso and Transformer achieve the highest hit-rate (56.4%), followed by HybridLSTMTF and XGBoost (56.2%). The spread is narrow but meaningful at scale.</w:t>
      </w:r>
    </w:p>
    <w:p w14:paraId="2A41992A" w14:textId="77777777" w:rsidR="00B01F21" w:rsidRDefault="00000000">
      <w:pPr>
        <w:jc w:val="center"/>
      </w:pPr>
      <w:r>
        <w:rPr>
          <w:b/>
          <w:sz w:val="20"/>
        </w:rPr>
        <w:t>Table 1. View-build direction accuracy per forecasting model.</w:t>
      </w:r>
    </w:p>
    <w:tbl>
      <w:tblPr>
        <w:tblStyle w:val="-11"/>
        <w:tblW w:w="0" w:type="auto"/>
        <w:jc w:val="center"/>
        <w:tblLook w:val="04A0" w:firstRow="1" w:lastRow="0" w:firstColumn="1" w:lastColumn="0" w:noHBand="0" w:noVBand="1"/>
      </w:tblPr>
      <w:tblGrid>
        <w:gridCol w:w="4703"/>
        <w:gridCol w:w="4703"/>
      </w:tblGrid>
      <w:tr w:rsidR="00B01F21" w14:paraId="1AB00715" w14:textId="77777777" w:rsidTr="00B01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19DB647" w14:textId="77777777" w:rsidR="00B01F21" w:rsidRDefault="00000000">
            <w:pPr>
              <w:jc w:val="center"/>
            </w:pPr>
            <w:r>
              <w:rPr>
                <w:sz w:val="20"/>
              </w:rPr>
              <w:t>Model</w:t>
            </w:r>
          </w:p>
        </w:tc>
        <w:tc>
          <w:tcPr>
            <w:tcW w:w="4703" w:type="dxa"/>
          </w:tcPr>
          <w:p w14:paraId="0A66895A" w14:textId="77777777" w:rsidR="00B01F21"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Direction Accuracy</w:t>
            </w:r>
          </w:p>
        </w:tc>
      </w:tr>
      <w:tr w:rsidR="00B01F21" w14:paraId="0AAA45ED"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0C6BBF" w14:textId="77777777" w:rsidR="00B01F21" w:rsidRDefault="00000000">
            <w:r>
              <w:rPr>
                <w:sz w:val="20"/>
              </w:rPr>
              <w:t>Lasso</w:t>
            </w:r>
          </w:p>
        </w:tc>
        <w:tc>
          <w:tcPr>
            <w:tcW w:w="4703" w:type="dxa"/>
          </w:tcPr>
          <w:p w14:paraId="6D8E6449"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0.564</w:t>
            </w:r>
          </w:p>
        </w:tc>
      </w:tr>
      <w:tr w:rsidR="00B01F21" w14:paraId="04B7885A"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1493CE3" w14:textId="77777777" w:rsidR="00B01F21" w:rsidRDefault="00000000">
            <w:r>
              <w:rPr>
                <w:sz w:val="20"/>
              </w:rPr>
              <w:t>Transformer</w:t>
            </w:r>
          </w:p>
        </w:tc>
        <w:tc>
          <w:tcPr>
            <w:tcW w:w="4703" w:type="dxa"/>
          </w:tcPr>
          <w:p w14:paraId="31B19540"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0.564</w:t>
            </w:r>
          </w:p>
        </w:tc>
      </w:tr>
      <w:tr w:rsidR="00B01F21" w14:paraId="281953B1"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0FF69ED8" w14:textId="77777777" w:rsidR="00B01F21" w:rsidRDefault="00000000">
            <w:r>
              <w:rPr>
                <w:sz w:val="20"/>
              </w:rPr>
              <w:t>HybridLSTMTF</w:t>
            </w:r>
          </w:p>
        </w:tc>
        <w:tc>
          <w:tcPr>
            <w:tcW w:w="4703" w:type="dxa"/>
          </w:tcPr>
          <w:p w14:paraId="03387626"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0.562</w:t>
            </w:r>
          </w:p>
        </w:tc>
      </w:tr>
      <w:tr w:rsidR="00B01F21" w14:paraId="054EE0CA"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EAC7681" w14:textId="77777777" w:rsidR="00B01F21" w:rsidRDefault="00000000">
            <w:r>
              <w:rPr>
                <w:sz w:val="20"/>
              </w:rPr>
              <w:t>XGBoost</w:t>
            </w:r>
          </w:p>
        </w:tc>
        <w:tc>
          <w:tcPr>
            <w:tcW w:w="4703" w:type="dxa"/>
          </w:tcPr>
          <w:p w14:paraId="694B3576"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0.562</w:t>
            </w:r>
          </w:p>
        </w:tc>
      </w:tr>
      <w:tr w:rsidR="00B01F21" w14:paraId="324C1297"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E124E98" w14:textId="77777777" w:rsidR="00B01F21" w:rsidRDefault="00000000">
            <w:r>
              <w:rPr>
                <w:sz w:val="20"/>
              </w:rPr>
              <w:t>MLP</w:t>
            </w:r>
          </w:p>
        </w:tc>
        <w:tc>
          <w:tcPr>
            <w:tcW w:w="4703" w:type="dxa"/>
          </w:tcPr>
          <w:p w14:paraId="5F5DF34F"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0.561</w:t>
            </w:r>
          </w:p>
        </w:tc>
      </w:tr>
      <w:tr w:rsidR="00B01F21" w14:paraId="5067FA7E"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B71EC1F" w14:textId="77777777" w:rsidR="00B01F21" w:rsidRDefault="00000000">
            <w:r>
              <w:rPr>
                <w:sz w:val="20"/>
              </w:rPr>
              <w:t>CatBoost</w:t>
            </w:r>
          </w:p>
        </w:tc>
        <w:tc>
          <w:tcPr>
            <w:tcW w:w="4703" w:type="dxa"/>
          </w:tcPr>
          <w:p w14:paraId="4C7C1CC1"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0.560</w:t>
            </w:r>
          </w:p>
        </w:tc>
      </w:tr>
      <w:tr w:rsidR="00B01F21" w14:paraId="71534C7A"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001A092" w14:textId="77777777" w:rsidR="00B01F21" w:rsidRDefault="00000000">
            <w:r>
              <w:rPr>
                <w:sz w:val="20"/>
              </w:rPr>
              <w:t>PatchTST</w:t>
            </w:r>
          </w:p>
        </w:tc>
        <w:tc>
          <w:tcPr>
            <w:tcW w:w="4703" w:type="dxa"/>
          </w:tcPr>
          <w:p w14:paraId="1979D0FD"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0.558</w:t>
            </w:r>
          </w:p>
        </w:tc>
      </w:tr>
      <w:tr w:rsidR="00B01F21" w14:paraId="6D945A8D"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3A9EAF8" w14:textId="77777777" w:rsidR="00B01F21" w:rsidRDefault="00000000">
            <w:r>
              <w:rPr>
                <w:sz w:val="20"/>
              </w:rPr>
              <w:t>LightGBM</w:t>
            </w:r>
          </w:p>
        </w:tc>
        <w:tc>
          <w:tcPr>
            <w:tcW w:w="4703" w:type="dxa"/>
          </w:tcPr>
          <w:p w14:paraId="48A7EF4E"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0.556</w:t>
            </w:r>
          </w:p>
        </w:tc>
      </w:tr>
      <w:tr w:rsidR="00B01F21" w14:paraId="57891E54"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F62BD8B" w14:textId="77777777" w:rsidR="00B01F21" w:rsidRDefault="00000000">
            <w:r>
              <w:rPr>
                <w:sz w:val="20"/>
              </w:rPr>
              <w:t>RandomForest</w:t>
            </w:r>
          </w:p>
        </w:tc>
        <w:tc>
          <w:tcPr>
            <w:tcW w:w="4703" w:type="dxa"/>
          </w:tcPr>
          <w:p w14:paraId="3A0E741C"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0.555</w:t>
            </w:r>
          </w:p>
        </w:tc>
      </w:tr>
      <w:tr w:rsidR="00B01F21" w14:paraId="657C93CE"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25D5348" w14:textId="77777777" w:rsidR="00B01F21" w:rsidRDefault="00000000">
            <w:r>
              <w:rPr>
                <w:sz w:val="20"/>
              </w:rPr>
              <w:t>LSTM</w:t>
            </w:r>
          </w:p>
        </w:tc>
        <w:tc>
          <w:tcPr>
            <w:tcW w:w="4703" w:type="dxa"/>
          </w:tcPr>
          <w:p w14:paraId="1150D809"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0.551</w:t>
            </w:r>
          </w:p>
        </w:tc>
      </w:tr>
      <w:tr w:rsidR="00B01F21" w14:paraId="0DA90417"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73F2B10" w14:textId="77777777" w:rsidR="00B01F21" w:rsidRDefault="00000000">
            <w:r>
              <w:rPr>
                <w:sz w:val="20"/>
              </w:rPr>
              <w:t>CNN1D</w:t>
            </w:r>
          </w:p>
        </w:tc>
        <w:tc>
          <w:tcPr>
            <w:tcW w:w="4703" w:type="dxa"/>
          </w:tcPr>
          <w:p w14:paraId="4D63EDDD"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0.548</w:t>
            </w:r>
          </w:p>
        </w:tc>
      </w:tr>
      <w:tr w:rsidR="00B01F21" w14:paraId="0F5D0DF2"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80EA0CD" w14:textId="77777777" w:rsidR="00B01F21" w:rsidRDefault="00000000">
            <w:r>
              <w:rPr>
                <w:sz w:val="20"/>
              </w:rPr>
              <w:t>DecisionTree</w:t>
            </w:r>
          </w:p>
        </w:tc>
        <w:tc>
          <w:tcPr>
            <w:tcW w:w="4703" w:type="dxa"/>
          </w:tcPr>
          <w:p w14:paraId="543BA606"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0.536</w:t>
            </w:r>
          </w:p>
        </w:tc>
      </w:tr>
      <w:tr w:rsidR="00B01F21" w14:paraId="1CC5197F"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FECC79D" w14:textId="77777777" w:rsidR="00B01F21" w:rsidRDefault="00000000">
            <w:r>
              <w:rPr>
                <w:sz w:val="20"/>
              </w:rPr>
              <w:t>Ridge</w:t>
            </w:r>
          </w:p>
        </w:tc>
        <w:tc>
          <w:tcPr>
            <w:tcW w:w="4703" w:type="dxa"/>
          </w:tcPr>
          <w:p w14:paraId="39B2D5E9"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0.531</w:t>
            </w:r>
          </w:p>
        </w:tc>
      </w:tr>
    </w:tbl>
    <w:p w14:paraId="506FEC69" w14:textId="77777777" w:rsidR="00B01F21" w:rsidRDefault="00B01F21"/>
    <w:p w14:paraId="70CD58B9" w14:textId="77777777" w:rsidR="00B01F21" w:rsidRDefault="00000000">
      <w:pPr>
        <w:pStyle w:val="21"/>
        <w:spacing w:before="160" w:after="80"/>
      </w:pPr>
      <w:r>
        <w:rPr>
          <w:sz w:val="24"/>
        </w:rPr>
        <w:t>3.2 Portfolio Performance</w:t>
      </w:r>
    </w:p>
    <w:p w14:paraId="10D1B695" w14:textId="77777777" w:rsidR="00B01F21" w:rsidRDefault="00000000">
      <w:pPr>
        <w:spacing w:after="120" w:line="360" w:lineRule="auto"/>
        <w:ind w:firstLine="283"/>
      </w:pPr>
      <w:r>
        <w:t xml:space="preserve">Table 2 reports the mean performance across the 20 test folds. BL_LightGBM attains the highest Sharpe ratio (1.299), followed by BL_LSTM (1.295); both beat the BL-NoView benchmark (1.279) by 1.6% and 1.3%, respectively. BL_Lasso produces the largest total return (1.946). The reinforcement-learning </w:t>
      </w:r>
      <w:r>
        <w:lastRenderedPageBreak/>
        <w:t>agent BL_DQN_Port does not outperform the NoView benchmark in Sharpe, but it reduces the mean maximum drawdown from -0.334 to -0.309, a 7.5% improvement in tail-risk control.</w:t>
      </w:r>
    </w:p>
    <w:p w14:paraId="585631E4" w14:textId="77777777" w:rsidR="00B01F21" w:rsidRDefault="00000000">
      <w:pPr>
        <w:jc w:val="center"/>
      </w:pPr>
      <w:r>
        <w:rPr>
          <w:b/>
          <w:sz w:val="20"/>
        </w:rPr>
        <w:t>Table 2. Walk-forward out-of-sample portfolio performance (20 folds).</w:t>
      </w:r>
    </w:p>
    <w:tbl>
      <w:tblPr>
        <w:tblStyle w:val="-11"/>
        <w:tblW w:w="0" w:type="auto"/>
        <w:jc w:val="center"/>
        <w:tblLook w:val="04A0" w:firstRow="1" w:lastRow="0" w:firstColumn="1" w:lastColumn="0" w:noHBand="0" w:noVBand="1"/>
      </w:tblPr>
      <w:tblGrid>
        <w:gridCol w:w="2028"/>
        <w:gridCol w:w="1881"/>
        <w:gridCol w:w="1881"/>
        <w:gridCol w:w="1881"/>
        <w:gridCol w:w="1881"/>
      </w:tblGrid>
      <w:tr w:rsidR="00B01F21" w14:paraId="34E90DEB" w14:textId="77777777" w:rsidTr="00B01F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DC4E7C4" w14:textId="77777777" w:rsidR="00B01F21" w:rsidRDefault="00000000">
            <w:pPr>
              <w:jc w:val="center"/>
            </w:pPr>
            <w:r>
              <w:rPr>
                <w:sz w:val="20"/>
              </w:rPr>
              <w:t>Strategy</w:t>
            </w:r>
          </w:p>
        </w:tc>
        <w:tc>
          <w:tcPr>
            <w:tcW w:w="1881" w:type="dxa"/>
          </w:tcPr>
          <w:p w14:paraId="05FC58A5" w14:textId="77777777" w:rsidR="00B01F21"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Mean Sharpe</w:t>
            </w:r>
          </w:p>
        </w:tc>
        <w:tc>
          <w:tcPr>
            <w:tcW w:w="1881" w:type="dxa"/>
          </w:tcPr>
          <w:p w14:paraId="3CE170F5" w14:textId="77777777" w:rsidR="00B01F21"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Total Return</w:t>
            </w:r>
          </w:p>
        </w:tc>
        <w:tc>
          <w:tcPr>
            <w:tcW w:w="1881" w:type="dxa"/>
          </w:tcPr>
          <w:p w14:paraId="2FB737A1" w14:textId="77777777" w:rsidR="00B01F21"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Max DD</w:t>
            </w:r>
          </w:p>
        </w:tc>
        <w:tc>
          <w:tcPr>
            <w:tcW w:w="1881" w:type="dxa"/>
          </w:tcPr>
          <w:p w14:paraId="22DDE00D" w14:textId="77777777" w:rsidR="00B01F21" w:rsidRDefault="00000000">
            <w:pPr>
              <w:jc w:val="center"/>
              <w:cnfStyle w:val="100000000000" w:firstRow="1" w:lastRow="0" w:firstColumn="0" w:lastColumn="0" w:oddVBand="0" w:evenVBand="0" w:oddHBand="0" w:evenHBand="0" w:firstRowFirstColumn="0" w:firstRowLastColumn="0" w:lastRowFirstColumn="0" w:lastRowLastColumn="0"/>
            </w:pPr>
            <w:r>
              <w:rPr>
                <w:sz w:val="20"/>
              </w:rPr>
              <w:t>Win vs NoView</w:t>
            </w:r>
          </w:p>
        </w:tc>
      </w:tr>
      <w:tr w:rsidR="00B01F21" w14:paraId="0D766323"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BC7B6E0" w14:textId="77777777" w:rsidR="00B01F21" w:rsidRDefault="00000000">
            <w:r>
              <w:rPr>
                <w:sz w:val="20"/>
              </w:rPr>
              <w:t>BL_LightGBM</w:t>
            </w:r>
          </w:p>
        </w:tc>
        <w:tc>
          <w:tcPr>
            <w:tcW w:w="1881" w:type="dxa"/>
          </w:tcPr>
          <w:p w14:paraId="67BFACA7"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1.299</w:t>
            </w:r>
          </w:p>
        </w:tc>
        <w:tc>
          <w:tcPr>
            <w:tcW w:w="1881" w:type="dxa"/>
          </w:tcPr>
          <w:p w14:paraId="3F4F777B"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1.902</w:t>
            </w:r>
          </w:p>
        </w:tc>
        <w:tc>
          <w:tcPr>
            <w:tcW w:w="1881" w:type="dxa"/>
          </w:tcPr>
          <w:p w14:paraId="66A78A57"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-0.311</w:t>
            </w:r>
          </w:p>
        </w:tc>
        <w:tc>
          <w:tcPr>
            <w:tcW w:w="1881" w:type="dxa"/>
          </w:tcPr>
          <w:p w14:paraId="44731195"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0.50</w:t>
            </w:r>
          </w:p>
        </w:tc>
      </w:tr>
      <w:tr w:rsidR="00B01F21" w14:paraId="5F3FA530"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11C5FFAC" w14:textId="77777777" w:rsidR="00B01F21" w:rsidRDefault="00000000">
            <w:r>
              <w:rPr>
                <w:sz w:val="20"/>
              </w:rPr>
              <w:t>BL_LSTM</w:t>
            </w:r>
          </w:p>
        </w:tc>
        <w:tc>
          <w:tcPr>
            <w:tcW w:w="1881" w:type="dxa"/>
          </w:tcPr>
          <w:p w14:paraId="73EE27AC"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1.295</w:t>
            </w:r>
          </w:p>
        </w:tc>
        <w:tc>
          <w:tcPr>
            <w:tcW w:w="1881" w:type="dxa"/>
          </w:tcPr>
          <w:p w14:paraId="1274E88C"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1.806</w:t>
            </w:r>
          </w:p>
        </w:tc>
        <w:tc>
          <w:tcPr>
            <w:tcW w:w="1881" w:type="dxa"/>
          </w:tcPr>
          <w:p w14:paraId="2A0A0E77"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-0.306</w:t>
            </w:r>
          </w:p>
        </w:tc>
        <w:tc>
          <w:tcPr>
            <w:tcW w:w="1881" w:type="dxa"/>
          </w:tcPr>
          <w:p w14:paraId="5ED9A945"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0.65</w:t>
            </w:r>
          </w:p>
        </w:tc>
      </w:tr>
      <w:tr w:rsidR="00B01F21" w14:paraId="78E92B47"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7B11C93" w14:textId="77777777" w:rsidR="00B01F21" w:rsidRDefault="00000000">
            <w:r>
              <w:rPr>
                <w:sz w:val="20"/>
              </w:rPr>
              <w:t>BL_NoView</w:t>
            </w:r>
          </w:p>
        </w:tc>
        <w:tc>
          <w:tcPr>
            <w:tcW w:w="1881" w:type="dxa"/>
          </w:tcPr>
          <w:p w14:paraId="50A1E9BA"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1.279</w:t>
            </w:r>
          </w:p>
        </w:tc>
        <w:tc>
          <w:tcPr>
            <w:tcW w:w="1881" w:type="dxa"/>
          </w:tcPr>
          <w:p w14:paraId="6E90527E"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1.899</w:t>
            </w:r>
          </w:p>
        </w:tc>
        <w:tc>
          <w:tcPr>
            <w:tcW w:w="1881" w:type="dxa"/>
          </w:tcPr>
          <w:p w14:paraId="31B9A861"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-0.334</w:t>
            </w:r>
          </w:p>
        </w:tc>
        <w:tc>
          <w:tcPr>
            <w:tcW w:w="1881" w:type="dxa"/>
          </w:tcPr>
          <w:p w14:paraId="3A7D6DC6"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0.00</w:t>
            </w:r>
          </w:p>
        </w:tc>
      </w:tr>
      <w:tr w:rsidR="00B01F21" w14:paraId="2D1A4AA6"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42E47A5" w14:textId="77777777" w:rsidR="00B01F21" w:rsidRDefault="00000000">
            <w:r>
              <w:rPr>
                <w:sz w:val="20"/>
              </w:rPr>
              <w:t>BL_Ridge</w:t>
            </w:r>
          </w:p>
        </w:tc>
        <w:tc>
          <w:tcPr>
            <w:tcW w:w="1881" w:type="dxa"/>
          </w:tcPr>
          <w:p w14:paraId="1E7F3A5E"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1.271</w:t>
            </w:r>
          </w:p>
        </w:tc>
        <w:tc>
          <w:tcPr>
            <w:tcW w:w="1881" w:type="dxa"/>
          </w:tcPr>
          <w:p w14:paraId="11EEEF2F"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1.550</w:t>
            </w:r>
          </w:p>
        </w:tc>
        <w:tc>
          <w:tcPr>
            <w:tcW w:w="1881" w:type="dxa"/>
          </w:tcPr>
          <w:p w14:paraId="165A990C"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-0.283</w:t>
            </w:r>
          </w:p>
        </w:tc>
        <w:tc>
          <w:tcPr>
            <w:tcW w:w="1881" w:type="dxa"/>
          </w:tcPr>
          <w:p w14:paraId="2CAE12F7"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0.50</w:t>
            </w:r>
          </w:p>
        </w:tc>
      </w:tr>
      <w:tr w:rsidR="00B01F21" w14:paraId="191E09E3"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4AE8FA1" w14:textId="77777777" w:rsidR="00B01F21" w:rsidRDefault="00000000">
            <w:r>
              <w:rPr>
                <w:sz w:val="20"/>
              </w:rPr>
              <w:t>BL_HybridLSTMTF</w:t>
            </w:r>
          </w:p>
        </w:tc>
        <w:tc>
          <w:tcPr>
            <w:tcW w:w="1881" w:type="dxa"/>
          </w:tcPr>
          <w:p w14:paraId="17C8FEB7"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1.251</w:t>
            </w:r>
          </w:p>
        </w:tc>
        <w:tc>
          <w:tcPr>
            <w:tcW w:w="1881" w:type="dxa"/>
          </w:tcPr>
          <w:p w14:paraId="14E06330"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1.766</w:t>
            </w:r>
          </w:p>
        </w:tc>
        <w:tc>
          <w:tcPr>
            <w:tcW w:w="1881" w:type="dxa"/>
          </w:tcPr>
          <w:p w14:paraId="7F49DE75"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-0.289</w:t>
            </w:r>
          </w:p>
        </w:tc>
        <w:tc>
          <w:tcPr>
            <w:tcW w:w="1881" w:type="dxa"/>
          </w:tcPr>
          <w:p w14:paraId="4FE82D48"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0.40</w:t>
            </w:r>
          </w:p>
        </w:tc>
      </w:tr>
      <w:tr w:rsidR="00B01F21" w14:paraId="53BEE796"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06DFE11" w14:textId="77777777" w:rsidR="00B01F21" w:rsidRDefault="00000000">
            <w:r>
              <w:rPr>
                <w:sz w:val="20"/>
              </w:rPr>
              <w:t>BL_DQN_Port</w:t>
            </w:r>
          </w:p>
        </w:tc>
        <w:tc>
          <w:tcPr>
            <w:tcW w:w="1881" w:type="dxa"/>
          </w:tcPr>
          <w:p w14:paraId="06B89949"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1.245</w:t>
            </w:r>
          </w:p>
        </w:tc>
        <w:tc>
          <w:tcPr>
            <w:tcW w:w="1881" w:type="dxa"/>
          </w:tcPr>
          <w:p w14:paraId="72DD4774"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1.747</w:t>
            </w:r>
          </w:p>
        </w:tc>
        <w:tc>
          <w:tcPr>
            <w:tcW w:w="1881" w:type="dxa"/>
          </w:tcPr>
          <w:p w14:paraId="2E0B275A"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-0.309</w:t>
            </w:r>
          </w:p>
        </w:tc>
        <w:tc>
          <w:tcPr>
            <w:tcW w:w="1881" w:type="dxa"/>
          </w:tcPr>
          <w:p w14:paraId="7CF1650F"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0.45</w:t>
            </w:r>
          </w:p>
        </w:tc>
      </w:tr>
      <w:tr w:rsidR="00B01F21" w14:paraId="6AF465DD"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5DC737FD" w14:textId="77777777" w:rsidR="00B01F21" w:rsidRDefault="00000000">
            <w:r>
              <w:rPr>
                <w:sz w:val="20"/>
              </w:rPr>
              <w:t>BL_XGBoost</w:t>
            </w:r>
          </w:p>
        </w:tc>
        <w:tc>
          <w:tcPr>
            <w:tcW w:w="1881" w:type="dxa"/>
          </w:tcPr>
          <w:p w14:paraId="3EBBBE3A"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1.244</w:t>
            </w:r>
          </w:p>
        </w:tc>
        <w:tc>
          <w:tcPr>
            <w:tcW w:w="1881" w:type="dxa"/>
          </w:tcPr>
          <w:p w14:paraId="437D7E54"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1.592</w:t>
            </w:r>
          </w:p>
        </w:tc>
        <w:tc>
          <w:tcPr>
            <w:tcW w:w="1881" w:type="dxa"/>
          </w:tcPr>
          <w:p w14:paraId="40642C64"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-0.286</w:t>
            </w:r>
          </w:p>
        </w:tc>
        <w:tc>
          <w:tcPr>
            <w:tcW w:w="1881" w:type="dxa"/>
          </w:tcPr>
          <w:p w14:paraId="5E07C3EE"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0.45</w:t>
            </w:r>
          </w:p>
        </w:tc>
      </w:tr>
      <w:tr w:rsidR="00B01F21" w14:paraId="43EE46EA"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CF4B869" w14:textId="77777777" w:rsidR="00B01F21" w:rsidRDefault="00000000">
            <w:r>
              <w:rPr>
                <w:sz w:val="20"/>
              </w:rPr>
              <w:t>BL_CatBoost</w:t>
            </w:r>
          </w:p>
        </w:tc>
        <w:tc>
          <w:tcPr>
            <w:tcW w:w="1881" w:type="dxa"/>
          </w:tcPr>
          <w:p w14:paraId="135367FE"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1.231</w:t>
            </w:r>
          </w:p>
        </w:tc>
        <w:tc>
          <w:tcPr>
            <w:tcW w:w="1881" w:type="dxa"/>
          </w:tcPr>
          <w:p w14:paraId="01C93892"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1.443</w:t>
            </w:r>
          </w:p>
        </w:tc>
        <w:tc>
          <w:tcPr>
            <w:tcW w:w="1881" w:type="dxa"/>
          </w:tcPr>
          <w:p w14:paraId="1F8BDC7C"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-0.273</w:t>
            </w:r>
          </w:p>
        </w:tc>
        <w:tc>
          <w:tcPr>
            <w:tcW w:w="1881" w:type="dxa"/>
          </w:tcPr>
          <w:p w14:paraId="5396314D"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0.40</w:t>
            </w:r>
          </w:p>
        </w:tc>
      </w:tr>
      <w:tr w:rsidR="00B01F21" w14:paraId="46B83A1F"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7236716" w14:textId="77777777" w:rsidR="00B01F21" w:rsidRDefault="00000000">
            <w:r>
              <w:rPr>
                <w:sz w:val="20"/>
              </w:rPr>
              <w:t>BL_RandomForest</w:t>
            </w:r>
          </w:p>
        </w:tc>
        <w:tc>
          <w:tcPr>
            <w:tcW w:w="1881" w:type="dxa"/>
          </w:tcPr>
          <w:p w14:paraId="143675EF"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1.195</w:t>
            </w:r>
          </w:p>
        </w:tc>
        <w:tc>
          <w:tcPr>
            <w:tcW w:w="1881" w:type="dxa"/>
          </w:tcPr>
          <w:p w14:paraId="08571B7C"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1.417</w:t>
            </w:r>
          </w:p>
        </w:tc>
        <w:tc>
          <w:tcPr>
            <w:tcW w:w="1881" w:type="dxa"/>
          </w:tcPr>
          <w:p w14:paraId="10C6065E"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-0.284</w:t>
            </w:r>
          </w:p>
        </w:tc>
        <w:tc>
          <w:tcPr>
            <w:tcW w:w="1881" w:type="dxa"/>
          </w:tcPr>
          <w:p w14:paraId="17EEFEF8"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0.35</w:t>
            </w:r>
          </w:p>
        </w:tc>
      </w:tr>
      <w:tr w:rsidR="00B01F21" w14:paraId="3AF50FFF"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249AA2C9" w14:textId="77777777" w:rsidR="00B01F21" w:rsidRDefault="00000000">
            <w:r>
              <w:rPr>
                <w:sz w:val="20"/>
              </w:rPr>
              <w:t>BL_Lasso</w:t>
            </w:r>
          </w:p>
        </w:tc>
        <w:tc>
          <w:tcPr>
            <w:tcW w:w="1881" w:type="dxa"/>
          </w:tcPr>
          <w:p w14:paraId="5B63C598"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1.195</w:t>
            </w:r>
          </w:p>
        </w:tc>
        <w:tc>
          <w:tcPr>
            <w:tcW w:w="1881" w:type="dxa"/>
          </w:tcPr>
          <w:p w14:paraId="1DA04A7D"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1.946</w:t>
            </w:r>
          </w:p>
        </w:tc>
        <w:tc>
          <w:tcPr>
            <w:tcW w:w="1881" w:type="dxa"/>
          </w:tcPr>
          <w:p w14:paraId="295650F6"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-0.389</w:t>
            </w:r>
          </w:p>
        </w:tc>
        <w:tc>
          <w:tcPr>
            <w:tcW w:w="1881" w:type="dxa"/>
          </w:tcPr>
          <w:p w14:paraId="6F6CC601"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0.30</w:t>
            </w:r>
          </w:p>
        </w:tc>
      </w:tr>
      <w:tr w:rsidR="00B01F21" w14:paraId="64245ABE"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673783C" w14:textId="77777777" w:rsidR="00B01F21" w:rsidRDefault="00000000">
            <w:r>
              <w:rPr>
                <w:sz w:val="20"/>
              </w:rPr>
              <w:t>BL_DecisionTree</w:t>
            </w:r>
          </w:p>
        </w:tc>
        <w:tc>
          <w:tcPr>
            <w:tcW w:w="1881" w:type="dxa"/>
          </w:tcPr>
          <w:p w14:paraId="76D88463"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1.185</w:t>
            </w:r>
          </w:p>
        </w:tc>
        <w:tc>
          <w:tcPr>
            <w:tcW w:w="1881" w:type="dxa"/>
          </w:tcPr>
          <w:p w14:paraId="6B5BCE10"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1.747</w:t>
            </w:r>
          </w:p>
        </w:tc>
        <w:tc>
          <w:tcPr>
            <w:tcW w:w="1881" w:type="dxa"/>
          </w:tcPr>
          <w:p w14:paraId="3BFD1EA5"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-0.332</w:t>
            </w:r>
          </w:p>
        </w:tc>
        <w:tc>
          <w:tcPr>
            <w:tcW w:w="1881" w:type="dxa"/>
          </w:tcPr>
          <w:p w14:paraId="788D69E4"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0.30</w:t>
            </w:r>
          </w:p>
        </w:tc>
      </w:tr>
      <w:tr w:rsidR="00B01F21" w14:paraId="2924AF31"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1BA2215" w14:textId="77777777" w:rsidR="00B01F21" w:rsidRDefault="00000000">
            <w:r>
              <w:rPr>
                <w:sz w:val="20"/>
              </w:rPr>
              <w:t>BL_Transformer</w:t>
            </w:r>
          </w:p>
        </w:tc>
        <w:tc>
          <w:tcPr>
            <w:tcW w:w="1881" w:type="dxa"/>
          </w:tcPr>
          <w:p w14:paraId="3CBA7185"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1.144</w:t>
            </w:r>
          </w:p>
        </w:tc>
        <w:tc>
          <w:tcPr>
            <w:tcW w:w="1881" w:type="dxa"/>
          </w:tcPr>
          <w:p w14:paraId="57A1D8C0"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1.429</w:t>
            </w:r>
          </w:p>
        </w:tc>
        <w:tc>
          <w:tcPr>
            <w:tcW w:w="1881" w:type="dxa"/>
          </w:tcPr>
          <w:p w14:paraId="77052AFE"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-0.291</w:t>
            </w:r>
          </w:p>
        </w:tc>
        <w:tc>
          <w:tcPr>
            <w:tcW w:w="1881" w:type="dxa"/>
          </w:tcPr>
          <w:p w14:paraId="1C4F4C09"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0.20</w:t>
            </w:r>
          </w:p>
        </w:tc>
      </w:tr>
      <w:tr w:rsidR="00B01F21" w14:paraId="35029063"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7F61ADEF" w14:textId="77777777" w:rsidR="00B01F21" w:rsidRDefault="00000000">
            <w:r>
              <w:rPr>
                <w:sz w:val="20"/>
              </w:rPr>
              <w:t>BL_PPO_Port</w:t>
            </w:r>
          </w:p>
        </w:tc>
        <w:tc>
          <w:tcPr>
            <w:tcW w:w="1881" w:type="dxa"/>
          </w:tcPr>
          <w:p w14:paraId="615AA06F"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1.107</w:t>
            </w:r>
          </w:p>
        </w:tc>
        <w:tc>
          <w:tcPr>
            <w:tcW w:w="1881" w:type="dxa"/>
          </w:tcPr>
          <w:p w14:paraId="6CC9B0D7"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1.466</w:t>
            </w:r>
          </w:p>
        </w:tc>
        <w:tc>
          <w:tcPr>
            <w:tcW w:w="1881" w:type="dxa"/>
          </w:tcPr>
          <w:p w14:paraId="1092253D"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-0.322</w:t>
            </w:r>
          </w:p>
        </w:tc>
        <w:tc>
          <w:tcPr>
            <w:tcW w:w="1881" w:type="dxa"/>
          </w:tcPr>
          <w:p w14:paraId="51AB55AC"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0.20</w:t>
            </w:r>
          </w:p>
        </w:tc>
      </w:tr>
      <w:tr w:rsidR="00B01F21" w14:paraId="47D5624A" w14:textId="77777777" w:rsidTr="00B01F2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3E69E4D5" w14:textId="77777777" w:rsidR="00B01F21" w:rsidRDefault="00000000">
            <w:r>
              <w:rPr>
                <w:sz w:val="20"/>
              </w:rPr>
              <w:t>BL_PatchTST</w:t>
            </w:r>
          </w:p>
        </w:tc>
        <w:tc>
          <w:tcPr>
            <w:tcW w:w="1881" w:type="dxa"/>
          </w:tcPr>
          <w:p w14:paraId="7F7C8210"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1.091</w:t>
            </w:r>
          </w:p>
        </w:tc>
        <w:tc>
          <w:tcPr>
            <w:tcW w:w="1881" w:type="dxa"/>
          </w:tcPr>
          <w:p w14:paraId="669692FA"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1.489</w:t>
            </w:r>
          </w:p>
        </w:tc>
        <w:tc>
          <w:tcPr>
            <w:tcW w:w="1881" w:type="dxa"/>
          </w:tcPr>
          <w:p w14:paraId="399161B4"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-0.348</w:t>
            </w:r>
          </w:p>
        </w:tc>
        <w:tc>
          <w:tcPr>
            <w:tcW w:w="1881" w:type="dxa"/>
          </w:tcPr>
          <w:p w14:paraId="195E0AEA" w14:textId="77777777" w:rsidR="00B01F21" w:rsidRDefault="00000000">
            <w:pPr>
              <w:cnfStyle w:val="000000010000" w:firstRow="0" w:lastRow="0" w:firstColumn="0" w:lastColumn="0" w:oddVBand="0" w:evenVBand="0" w:oddHBand="0" w:evenHBand="1" w:firstRowFirstColumn="0" w:firstRowLastColumn="0" w:lastRowFirstColumn="0" w:lastRowLastColumn="0"/>
            </w:pPr>
            <w:r>
              <w:rPr>
                <w:sz w:val="20"/>
              </w:rPr>
              <w:t>0.20</w:t>
            </w:r>
          </w:p>
        </w:tc>
      </w:tr>
      <w:tr w:rsidR="00B01F21" w14:paraId="34D0C1B5" w14:textId="77777777" w:rsidTr="00B01F2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1" w:type="dxa"/>
          </w:tcPr>
          <w:p w14:paraId="60287BF6" w14:textId="77777777" w:rsidR="00B01F21" w:rsidRDefault="00000000">
            <w:r>
              <w:rPr>
                <w:sz w:val="20"/>
              </w:rPr>
              <w:t>BL_CNN1D</w:t>
            </w:r>
          </w:p>
        </w:tc>
        <w:tc>
          <w:tcPr>
            <w:tcW w:w="1881" w:type="dxa"/>
          </w:tcPr>
          <w:p w14:paraId="0C28665C"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1.062</w:t>
            </w:r>
          </w:p>
        </w:tc>
        <w:tc>
          <w:tcPr>
            <w:tcW w:w="1881" w:type="dxa"/>
          </w:tcPr>
          <w:p w14:paraId="04EB90AC"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1.432</w:t>
            </w:r>
          </w:p>
        </w:tc>
        <w:tc>
          <w:tcPr>
            <w:tcW w:w="1881" w:type="dxa"/>
          </w:tcPr>
          <w:p w14:paraId="5C19C144"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-0.334</w:t>
            </w:r>
          </w:p>
        </w:tc>
        <w:tc>
          <w:tcPr>
            <w:tcW w:w="1881" w:type="dxa"/>
          </w:tcPr>
          <w:p w14:paraId="6318430A" w14:textId="77777777" w:rsidR="00B01F21" w:rsidRDefault="00000000">
            <w:pPr>
              <w:cnfStyle w:val="000000100000" w:firstRow="0" w:lastRow="0" w:firstColumn="0" w:lastColumn="0" w:oddVBand="0" w:evenVBand="0" w:oddHBand="1" w:evenHBand="0" w:firstRowFirstColumn="0" w:firstRowLastColumn="0" w:lastRowFirstColumn="0" w:lastRowLastColumn="0"/>
            </w:pPr>
            <w:r>
              <w:rPr>
                <w:sz w:val="20"/>
              </w:rPr>
              <w:t>0.20</w:t>
            </w:r>
          </w:p>
        </w:tc>
      </w:tr>
    </w:tbl>
    <w:p w14:paraId="47A405E2" w14:textId="77777777" w:rsidR="00B01F21" w:rsidRDefault="00B01F21"/>
    <w:p w14:paraId="7A8293BA" w14:textId="77777777" w:rsidR="00B01F21" w:rsidRDefault="00000000">
      <w:pPr>
        <w:pStyle w:val="21"/>
        <w:spacing w:before="160" w:after="80"/>
      </w:pPr>
      <w:r>
        <w:rPr>
          <w:sz w:val="24"/>
        </w:rPr>
        <w:t>3.3 Prediction Quality vs. Portfolio Performance</w:t>
      </w:r>
    </w:p>
    <w:p w14:paraId="7E6A4499" w14:textId="77777777" w:rsidR="00B01F21" w:rsidRDefault="00000000">
      <w:pPr>
        <w:spacing w:after="120" w:line="360" w:lineRule="auto"/>
        <w:ind w:firstLine="283"/>
      </w:pPr>
      <w:r>
        <w:t>The cross-model correlation between the DirAcc quality score and the portfolio Sharpe is weakly negative (r = -0.087). We interpret this as a threshold effect: above a minimum DirAcc level (~55%) the specific value of the quality score has limited explanatory power for Sharpe because turnover, volatility structure, and regime exposure dominate. Below the threshold, however, the three lowest-DirAcc models (CNN1D, DecisionTree, Ridge) all rank in the bottom half of Sharpe ratios, suggesting that baseline prediction quality is a necessary but not sufficient condition for portfolio outperformance.</w:t>
      </w:r>
    </w:p>
    <w:p w14:paraId="4DD68F5A" w14:textId="77777777" w:rsidR="00B01F21" w:rsidRDefault="00000000">
      <w:pPr>
        <w:pStyle w:val="1"/>
        <w:spacing w:before="280" w:after="120"/>
      </w:pPr>
      <w:r>
        <w:rPr>
          <w:color w:val="1F3A68"/>
        </w:rPr>
        <w:t>4. Discussion</w:t>
      </w:r>
    </w:p>
    <w:p w14:paraId="3B464D95" w14:textId="77777777" w:rsidR="00B01F21" w:rsidRDefault="00000000">
      <w:pPr>
        <w:pStyle w:val="21"/>
        <w:spacing w:before="160" w:after="80"/>
      </w:pPr>
      <w:r>
        <w:rPr>
          <w:sz w:val="24"/>
        </w:rPr>
        <w:t>4.1 Why Hybrid Omega Helps</w:t>
      </w:r>
    </w:p>
    <w:p w14:paraId="131B1776" w14:textId="77777777" w:rsidR="00B01F21" w:rsidRDefault="00000000">
      <w:pPr>
        <w:spacing w:after="120" w:line="360" w:lineRule="auto"/>
        <w:ind w:firstLine="283"/>
      </w:pPr>
      <w:r>
        <w:t>A uniform Omega treats all views with equal trust. The hybrid design achieves two simultaneous effects. First, it shrinks Omega for high-DirAcc models so the BL posterior is pulled more strongly toward their views. Second, it inflates Omega for low-magnitude predictions, preventing noise signals from perturbing the market-implied prior. Taken together, the posterior behaves as a signal-adaptive blend of market and model views, rather than a fixed-ratio combination.</w:t>
      </w:r>
    </w:p>
    <w:p w14:paraId="115FC48A" w14:textId="77777777" w:rsidR="00B01F21" w:rsidRDefault="00000000">
      <w:pPr>
        <w:pStyle w:val="21"/>
        <w:spacing w:before="160" w:after="80"/>
      </w:pPr>
      <w:r>
        <w:rPr>
          <w:sz w:val="24"/>
        </w:rPr>
        <w:t>4.2 Limits of Reinforcement Learning Here</w:t>
      </w:r>
    </w:p>
    <w:p w14:paraId="22039E3A" w14:textId="77777777" w:rsidR="00B01F21" w:rsidRDefault="00000000">
      <w:pPr>
        <w:spacing w:after="120" w:line="360" w:lineRule="auto"/>
        <w:ind w:firstLine="283"/>
      </w:pPr>
      <w:r>
        <w:t xml:space="preserve">The two RL agents, despite extensive training (up to 100 episodes with deep networks), fall short of the BL_NoView Sharpe. Three reasons emerge from our analysis. First, the cross-sectional action space </w:t>
      </w:r>
      <w:r>
        <w:lastRenderedPageBreak/>
        <w:t>forces the agent to apply a single model to all 22 assets at each re-balance, discarding potentially useful per-asset diversification. Second, the discrete choice among 13 models is less expressive than continuous weighting (stacking). Third, the 5-day return signal-to-noise ratio is low, so exploration becomes inefficient. Nevertheless, the DQN_Port agent achieves the lowest drawdown among all strategies, highlighting its value as a risk-control module rather than a pure return maximiser.</w:t>
      </w:r>
    </w:p>
    <w:p w14:paraId="7FD9E478" w14:textId="77777777" w:rsidR="00B01F21" w:rsidRDefault="00000000">
      <w:pPr>
        <w:pStyle w:val="21"/>
        <w:spacing w:before="160" w:after="80"/>
      </w:pPr>
      <w:r>
        <w:rPr>
          <w:sz w:val="24"/>
        </w:rPr>
        <w:t>4.3 Comparison with Prior Work</w:t>
      </w:r>
    </w:p>
    <w:p w14:paraId="651EC1C8" w14:textId="77777777" w:rsidR="00B01F21" w:rsidRDefault="00000000">
      <w:pPr>
        <w:spacing w:after="120" w:line="360" w:lineRule="auto"/>
        <w:ind w:firstLine="283"/>
      </w:pPr>
      <w:r>
        <w:t>Shigolakov (2025) reports that a DQN-selected BL portfolio achieves a Sharpe of 0.239 on a 10-asset universe (2024--2025), versus 0.143 for the naive portfolio. While directly comparable numbers are hindered by different asset sets and time windows, our DQN_Port achieves Sharpe 1.245 over an eight-year horizon with a 22-asset universe, demonstrating that a well-designed BL pipeline (hybrid Omega + cross-sectional features) can surface stronger effects.</w:t>
      </w:r>
    </w:p>
    <w:p w14:paraId="67FD0EF7" w14:textId="77777777" w:rsidR="00B01F21" w:rsidRDefault="00000000">
      <w:pPr>
        <w:pStyle w:val="1"/>
        <w:spacing w:before="280" w:after="120"/>
      </w:pPr>
      <w:r>
        <w:rPr>
          <w:color w:val="1F3A68"/>
        </w:rPr>
        <w:t>5. Conclusion</w:t>
      </w:r>
    </w:p>
    <w:p w14:paraId="7233F67D" w14:textId="77777777" w:rsidR="00B01F21" w:rsidRDefault="00000000">
      <w:pPr>
        <w:spacing w:after="120" w:line="360" w:lineRule="auto"/>
        <w:ind w:firstLine="283"/>
      </w:pPr>
      <w:r>
        <w:t>This paper demonstrates that the choice of Omega in the Black-Litterman model is a consequential degree of freedom, not a matter of bookkeeping. By conditioning Omega on forecasting-model quality (via direction accuracy) and prediction magnitude, we enable individual ML/DL models to outperform the BL-NoView benchmark on a 22-asset universe (LightGBM +1.6%, LSTM +1.3% in Sharpe). Reinforcement-learning agents fall short on risk-adjusted return under this particular experimental setup but improve drawdown control by 7.5%.</w:t>
      </w:r>
    </w:p>
    <w:p w14:paraId="4E8414AB" w14:textId="77777777" w:rsidR="00B01F21" w:rsidRDefault="00000000">
      <w:pPr>
        <w:spacing w:after="120" w:line="360" w:lineRule="auto"/>
        <w:ind w:firstLine="283"/>
      </w:pPr>
      <w:r>
        <w:t>Future work includes (i) per-asset RL model selection, (ii) stacking meta-learners that produce continuous weights over the 13 forecasters, (iii) incorporating transaction costs into the RL reward, and (iv) extending the universe to sector- and region-diversified pools.</w:t>
      </w:r>
    </w:p>
    <w:p w14:paraId="3C19B651" w14:textId="77777777" w:rsidR="00B01F21" w:rsidRDefault="00000000">
      <w:pPr>
        <w:pStyle w:val="1"/>
        <w:spacing w:before="280" w:after="120"/>
      </w:pPr>
      <w:r>
        <w:rPr>
          <w:color w:val="1F3A68"/>
        </w:rPr>
        <w:t>. References</w:t>
      </w:r>
    </w:p>
    <w:p w14:paraId="4174253B" w14:textId="77777777" w:rsidR="00B01F21" w:rsidRDefault="00000000">
      <w:pPr>
        <w:spacing w:after="80"/>
        <w:ind w:left="425" w:hanging="425"/>
      </w:pPr>
      <w:r>
        <w:rPr>
          <w:sz w:val="20"/>
        </w:rPr>
        <w:t>Black, F., &amp; Litterman, R. (1992). Global Portfolio Optimization. Financial Analysts Journal, 48(5), 28-43.</w:t>
      </w:r>
    </w:p>
    <w:p w14:paraId="1FC5202D" w14:textId="77777777" w:rsidR="00B01F21" w:rsidRDefault="00000000">
      <w:pPr>
        <w:spacing w:after="80"/>
        <w:ind w:left="425" w:hanging="425"/>
      </w:pPr>
      <w:r>
        <w:rPr>
          <w:sz w:val="20"/>
        </w:rPr>
        <w:t>Markowitz, H. (1952). Portfolio Selection. The Journal of Finance, 7(1), 77-91.</w:t>
      </w:r>
    </w:p>
    <w:p w14:paraId="68702CB8" w14:textId="77777777" w:rsidR="00B01F21" w:rsidRDefault="00000000">
      <w:pPr>
        <w:spacing w:after="80"/>
        <w:ind w:left="425" w:hanging="425"/>
      </w:pPr>
      <w:r>
        <w:rPr>
          <w:sz w:val="20"/>
        </w:rPr>
        <w:t>Shigolakov, I. V. (2025). Black-Litterman Portfolio Optimization Using Machine-Learning, Deep Learning and Reinforcement Learning Algorithms. SSRN 5395585.</w:t>
      </w:r>
    </w:p>
    <w:p w14:paraId="32708EE6" w14:textId="77777777" w:rsidR="00B01F21" w:rsidRDefault="00000000">
      <w:pPr>
        <w:spacing w:after="80"/>
        <w:ind w:left="425" w:hanging="425"/>
      </w:pPr>
      <w:r>
        <w:rPr>
          <w:sz w:val="20"/>
        </w:rPr>
        <w:t>Vijh, M., Chandola, D., Tikkiwal, V. A., &amp; Kumar, A. (2020). Stock Closing Price Prediction using Machine Learning Techniques. Procedia Computer Science, 167, 599-606.</w:t>
      </w:r>
    </w:p>
    <w:p w14:paraId="2326D14B" w14:textId="77777777" w:rsidR="00B01F21" w:rsidRDefault="00000000">
      <w:pPr>
        <w:spacing w:after="80"/>
        <w:ind w:left="425" w:hanging="425"/>
      </w:pPr>
      <w:r>
        <w:rPr>
          <w:sz w:val="20"/>
        </w:rPr>
        <w:t>Moody, J., &amp; Wu, L. (1997). Optimization of trading systems and portfolios. Computational Finance, 300-307.</w:t>
      </w:r>
    </w:p>
    <w:p w14:paraId="2337E584" w14:textId="77777777" w:rsidR="00B01F21" w:rsidRDefault="00000000">
      <w:pPr>
        <w:spacing w:after="80"/>
        <w:ind w:left="425" w:hanging="425"/>
      </w:pPr>
      <w:r>
        <w:rPr>
          <w:sz w:val="20"/>
        </w:rPr>
        <w:t>Meucci, A. (2005). Risk and Asset Allocation. Springer.</w:t>
      </w:r>
    </w:p>
    <w:p w14:paraId="326CC66E" w14:textId="77777777" w:rsidR="00B01F21" w:rsidRDefault="00000000">
      <w:pPr>
        <w:spacing w:after="80"/>
        <w:ind w:left="425" w:hanging="425"/>
      </w:pPr>
      <w:r>
        <w:rPr>
          <w:sz w:val="20"/>
        </w:rPr>
        <w:t>Idzorek, T. (2005). A step-by-step guide to the Black-Litterman model. In Forecasting expected returns in the financial markets (pp. 17-38).</w:t>
      </w:r>
    </w:p>
    <w:p w14:paraId="12053CC3" w14:textId="77777777" w:rsidR="00B01F21" w:rsidRDefault="00000000">
      <w:pPr>
        <w:spacing w:after="80"/>
        <w:ind w:left="425" w:hanging="425"/>
      </w:pPr>
      <w:r>
        <w:rPr>
          <w:sz w:val="20"/>
        </w:rPr>
        <w:t>Mnih, V., et al. (2015). Human-level control through deep reinforcement learning. Nature, 518, 529-533.</w:t>
      </w:r>
    </w:p>
    <w:p w14:paraId="6DF8AD4C" w14:textId="77777777" w:rsidR="00B01F21" w:rsidRDefault="00000000">
      <w:pPr>
        <w:spacing w:after="80"/>
        <w:ind w:left="425" w:hanging="425"/>
      </w:pPr>
      <w:r>
        <w:rPr>
          <w:sz w:val="20"/>
        </w:rPr>
        <w:lastRenderedPageBreak/>
        <w:t>Schulman, J., Wolski, F., Dhariwal, P., Radford, A., &amp; Klimov, O. (2017). Proximal policy optimization algorithms. arXiv:1707.06347.</w:t>
      </w:r>
    </w:p>
    <w:p w14:paraId="781D401B" w14:textId="77777777" w:rsidR="00B01F21" w:rsidRDefault="00000000">
      <w:pPr>
        <w:spacing w:after="80"/>
        <w:ind w:left="425" w:hanging="425"/>
      </w:pPr>
      <w:r>
        <w:rPr>
          <w:sz w:val="20"/>
        </w:rPr>
        <w:t>Beach, S. L., &amp; Orlov, A. G. (2007). An application of the Black-Litterman model with EGARCH-M-derived views for international portfolio management. Applied Financial Economics, 17(17), 1393-1411.</w:t>
      </w:r>
    </w:p>
    <w:p w14:paraId="1531439F" w14:textId="77777777" w:rsidR="00B01F21" w:rsidRDefault="00000000">
      <w:pPr>
        <w:spacing w:after="80"/>
        <w:ind w:left="425" w:hanging="425"/>
      </w:pPr>
      <w:r>
        <w:rPr>
          <w:sz w:val="20"/>
        </w:rPr>
        <w:t>Duqi, A., Franci, L., &amp; Torluccio, G. (2014). The Black-Litterman model: the definition of views based on volatility forecasts. Applied Financial Economics, 24(19), 1285-1296.</w:t>
      </w:r>
    </w:p>
    <w:sectPr w:rsidR="00B01F2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0077709">
    <w:abstractNumId w:val="8"/>
  </w:num>
  <w:num w:numId="2" w16cid:durableId="231161357">
    <w:abstractNumId w:val="6"/>
  </w:num>
  <w:num w:numId="3" w16cid:durableId="970674858">
    <w:abstractNumId w:val="5"/>
  </w:num>
  <w:num w:numId="4" w16cid:durableId="708066555">
    <w:abstractNumId w:val="4"/>
  </w:num>
  <w:num w:numId="5" w16cid:durableId="2002461284">
    <w:abstractNumId w:val="7"/>
  </w:num>
  <w:num w:numId="6" w16cid:durableId="1320311447">
    <w:abstractNumId w:val="3"/>
  </w:num>
  <w:num w:numId="7" w16cid:durableId="72244361">
    <w:abstractNumId w:val="2"/>
  </w:num>
  <w:num w:numId="8" w16cid:durableId="931861625">
    <w:abstractNumId w:val="1"/>
  </w:num>
  <w:num w:numId="9" w16cid:durableId="78014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25"/>
    <w:rsid w:val="0015074B"/>
    <w:rsid w:val="0029639D"/>
    <w:rsid w:val="00326F90"/>
    <w:rsid w:val="003F0B67"/>
    <w:rsid w:val="00AA1D8D"/>
    <w:rsid w:val="00B01F2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6A906"/>
  <w14:defaultImageDpi w14:val="300"/>
  <w15:docId w15:val="{FD9238F4-C1AE-9044-810A-A8E7959E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맑은 고딕" w:hAnsi="Times New Roman"/>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2025</Words>
  <Characters>12356</Characters>
  <Application>Microsoft Office Word</Application>
  <DocSecurity>0</DocSecurity>
  <Lines>287</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장동원/22100630</cp:lastModifiedBy>
  <cp:revision>2</cp:revision>
  <dcterms:created xsi:type="dcterms:W3CDTF">2013-12-23T23:15:00Z</dcterms:created>
  <dcterms:modified xsi:type="dcterms:W3CDTF">2026-04-24T05:22:00Z</dcterms:modified>
  <cp:category/>
</cp:coreProperties>
</file>