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58C15" w14:textId="77777777" w:rsidR="00080C97" w:rsidRPr="00DD1217" w:rsidRDefault="00CD3F71" w:rsidP="00DD1217">
      <w:pPr>
        <w:pStyle w:val="NoSpacing"/>
        <w:rPr>
          <w:color w:val="000000" w:themeColor="text1"/>
        </w:rPr>
      </w:pPr>
      <w:r w:rsidRPr="00DD1217">
        <w:rPr>
          <w:color w:val="000000" w:themeColor="text1"/>
        </w:rPr>
        <w:t>Jackson Warren</w:t>
      </w:r>
    </w:p>
    <w:p w14:paraId="1FABEAAE" w14:textId="77777777" w:rsidR="00080C97" w:rsidRPr="00DD1217" w:rsidRDefault="00CD3F71" w:rsidP="00DD1217">
      <w:pPr>
        <w:pStyle w:val="NoSpacing"/>
        <w:rPr>
          <w:color w:val="000000" w:themeColor="text1"/>
        </w:rPr>
      </w:pPr>
      <w:r w:rsidRPr="00DD1217">
        <w:rPr>
          <w:color w:val="000000" w:themeColor="text1"/>
        </w:rPr>
        <w:t>Jeremy Bergen</w:t>
      </w:r>
    </w:p>
    <w:p w14:paraId="2156E204" w14:textId="77777777" w:rsidR="00080C97" w:rsidRPr="00DD1217" w:rsidRDefault="00CD3F71" w:rsidP="00DD1217">
      <w:pPr>
        <w:pStyle w:val="NoSpacing"/>
        <w:rPr>
          <w:color w:val="000000" w:themeColor="text1"/>
        </w:rPr>
      </w:pPr>
      <w:r w:rsidRPr="00DD1217">
        <w:rPr>
          <w:color w:val="000000" w:themeColor="text1"/>
        </w:rPr>
        <w:t>CSCI 370</w:t>
      </w:r>
    </w:p>
    <w:p w14:paraId="1D296DE6" w14:textId="29C92E50" w:rsidR="007D4B2F" w:rsidRPr="00DD1217" w:rsidRDefault="00521095" w:rsidP="00DD1217">
      <w:pPr>
        <w:pStyle w:val="NoSpacing"/>
        <w:rPr>
          <w:color w:val="000000" w:themeColor="text1"/>
        </w:rPr>
      </w:pPr>
      <w:r w:rsidRPr="00DD1217">
        <w:rPr>
          <w:color w:val="000000" w:themeColor="text1"/>
        </w:rPr>
        <w:t>9/24/21</w:t>
      </w:r>
    </w:p>
    <w:p w14:paraId="5969DE1B" w14:textId="6E5AEFA5" w:rsidR="00080C97" w:rsidRPr="00DD1217" w:rsidRDefault="00521095" w:rsidP="00DD1217">
      <w:pPr>
        <w:pStyle w:val="Title"/>
        <w:rPr>
          <w:color w:val="000000" w:themeColor="text1"/>
        </w:rPr>
      </w:pPr>
      <w:r w:rsidRPr="00DD1217">
        <w:rPr>
          <w:color w:val="000000" w:themeColor="text1"/>
        </w:rPr>
        <w:t>Week 4 Assignment</w:t>
      </w:r>
      <w:r w:rsidR="00EC2FE4" w:rsidRPr="00DD1217">
        <w:rPr>
          <w:color w:val="000000" w:themeColor="text1"/>
        </w:rPr>
        <w:t xml:space="preserve">: </w:t>
      </w:r>
      <w:r w:rsidRPr="00DD1217">
        <w:rPr>
          <w:color w:val="000000" w:themeColor="text1"/>
        </w:rPr>
        <w:t xml:space="preserve">SOX vs </w:t>
      </w:r>
      <w:r w:rsidR="006274BC" w:rsidRPr="00DD1217">
        <w:rPr>
          <w:color w:val="000000" w:themeColor="text1"/>
        </w:rPr>
        <w:t>HIPAA</w:t>
      </w:r>
    </w:p>
    <w:p w14:paraId="02FBD3D3" w14:textId="49187B8A" w:rsidR="006D76E0" w:rsidRPr="00DD1217" w:rsidRDefault="006D76E0" w:rsidP="00DD1217">
      <w:pPr>
        <w:rPr>
          <w:color w:val="000000" w:themeColor="text1"/>
        </w:rPr>
      </w:pPr>
      <w:r w:rsidRPr="00DD1217">
        <w:rPr>
          <w:color w:val="000000" w:themeColor="text1"/>
        </w:rPr>
        <w:t>Retention Requirements:</w:t>
      </w:r>
    </w:p>
    <w:p w14:paraId="4B482D28" w14:textId="41E69B96" w:rsidR="006D76E0" w:rsidRPr="00DD1217" w:rsidRDefault="00776BCC" w:rsidP="00DD1217">
      <w:pPr>
        <w:rPr>
          <w:color w:val="000000" w:themeColor="text1"/>
        </w:rPr>
      </w:pPr>
      <w:r w:rsidRPr="00DD1217">
        <w:rPr>
          <w:color w:val="000000" w:themeColor="text1"/>
        </w:rPr>
        <w:t>SOX has very clear guidelines for different sets of information</w:t>
      </w:r>
      <w:r w:rsidR="006274BC" w:rsidRPr="00DD1217">
        <w:rPr>
          <w:color w:val="000000" w:themeColor="text1"/>
        </w:rPr>
        <w:t xml:space="preserve">, some of which differ based on what they are. For example, tax returns and payable ledgers must be retained for 7 years, while things like customer invoices must be retained for 5 years. Payroll and bank statements must be kept forever. HIPAA is very similar, but differs when it comes to territory and position of the keeper of said documents. In Florida, physicians must maintain documents for 5 years, while hospitals must for 7. Age also plays a role, as in Nevada, where minors must have their records maintained till they reach the age of 23. Needless to say, HIPAA is a very complex target when it comes to retention requirements. </w:t>
      </w:r>
    </w:p>
    <w:p w14:paraId="52F7C70B" w14:textId="7D68B4FF" w:rsidR="006D76E0" w:rsidRPr="00DD1217" w:rsidRDefault="006D76E0" w:rsidP="00DD1217">
      <w:pPr>
        <w:rPr>
          <w:color w:val="000000" w:themeColor="text1"/>
        </w:rPr>
      </w:pPr>
      <w:r w:rsidRPr="00DD1217">
        <w:rPr>
          <w:color w:val="000000" w:themeColor="text1"/>
        </w:rPr>
        <w:t>Reporting Requirements:</w:t>
      </w:r>
    </w:p>
    <w:p w14:paraId="34F4A332" w14:textId="1925626B" w:rsidR="004C6499" w:rsidRPr="00DD1217" w:rsidRDefault="004C6499" w:rsidP="00DD1217">
      <w:pPr>
        <w:rPr>
          <w:color w:val="000000" w:themeColor="text1"/>
        </w:rPr>
      </w:pPr>
      <w:r w:rsidRPr="00DD1217">
        <w:rPr>
          <w:color w:val="000000" w:themeColor="text1"/>
        </w:rPr>
        <w:t xml:space="preserve">SOX requires that all companies must create an end-of-year financial disclosure report. </w:t>
      </w:r>
      <w:r w:rsidR="00CE53DD" w:rsidRPr="00DD1217">
        <w:rPr>
          <w:color w:val="000000" w:themeColor="text1"/>
        </w:rPr>
        <w:t xml:space="preserve">This then must be audited by an independent third-party that reviews this report as well as their policies and procedures. Once again, there is a swath of information on HIPAA reporting guidelines. Reporting is obviously a large issue for HIPAA, as its primary purpose is to protect information. </w:t>
      </w:r>
      <w:r w:rsidR="00386983" w:rsidRPr="00DD1217">
        <w:rPr>
          <w:color w:val="000000" w:themeColor="text1"/>
        </w:rPr>
        <w:t xml:space="preserve">Mostly, what I’ve found is the only reporting requirements for HIPAA is under the Privacy Rule, or has signed authorization from the individual. </w:t>
      </w:r>
      <w:r w:rsidR="003125BB" w:rsidRPr="00DD1217">
        <w:rPr>
          <w:color w:val="000000" w:themeColor="text1"/>
        </w:rPr>
        <w:t xml:space="preserve">This privacy rule protects individuals from </w:t>
      </w:r>
      <w:r w:rsidR="00D67E0E" w:rsidRPr="00DD1217">
        <w:rPr>
          <w:color w:val="000000" w:themeColor="text1"/>
        </w:rPr>
        <w:t>release</w:t>
      </w:r>
      <w:r w:rsidR="003125BB" w:rsidRPr="00DD1217">
        <w:rPr>
          <w:color w:val="000000" w:themeColor="text1"/>
        </w:rPr>
        <w:t xml:space="preserve"> of their information </w:t>
      </w:r>
      <w:r w:rsidR="00D67E0E" w:rsidRPr="00DD1217">
        <w:rPr>
          <w:color w:val="000000" w:themeColor="text1"/>
        </w:rPr>
        <w:t xml:space="preserve">in many circumstances, and does not have </w:t>
      </w:r>
      <w:proofErr w:type="gramStart"/>
      <w:r w:rsidR="00D67E0E" w:rsidRPr="00DD1217">
        <w:rPr>
          <w:color w:val="000000" w:themeColor="text1"/>
        </w:rPr>
        <w:t>an</w:t>
      </w:r>
      <w:proofErr w:type="gramEnd"/>
      <w:r w:rsidR="00D67E0E" w:rsidRPr="00DD1217">
        <w:rPr>
          <w:color w:val="000000" w:themeColor="text1"/>
        </w:rPr>
        <w:t xml:space="preserve"> time allotment for needed reports. </w:t>
      </w:r>
    </w:p>
    <w:p w14:paraId="0E8EBE5D" w14:textId="267F5889" w:rsidR="006D76E0" w:rsidRPr="00DD1217" w:rsidRDefault="006D76E0" w:rsidP="00DD1217">
      <w:pPr>
        <w:rPr>
          <w:color w:val="000000" w:themeColor="text1"/>
        </w:rPr>
      </w:pPr>
      <w:r w:rsidRPr="00DD1217">
        <w:rPr>
          <w:color w:val="000000" w:themeColor="text1"/>
        </w:rPr>
        <w:lastRenderedPageBreak/>
        <w:t>Logging Requirements:</w:t>
      </w:r>
    </w:p>
    <w:p w14:paraId="7E743F01" w14:textId="6580E83C" w:rsidR="00DD1217" w:rsidRPr="00D222FE" w:rsidRDefault="00DD1217" w:rsidP="00977B05">
      <w:pPr>
        <w:shd w:val="clear" w:color="auto" w:fill="FFFFFF"/>
        <w:suppressAutoHyphens w:val="0"/>
        <w:spacing w:before="100" w:beforeAutospacing="1" w:after="100" w:afterAutospacing="1"/>
        <w:rPr>
          <w:rFonts w:ascii="Arial Black" w:eastAsia="Times New Roman" w:hAnsi="Arial Black" w:cs="Times New Roman"/>
          <w:color w:val="000000"/>
          <w:sz w:val="26"/>
          <w:szCs w:val="26"/>
          <w:lang w:eastAsia="en-US"/>
        </w:rPr>
      </w:pPr>
      <w:r w:rsidRPr="00DD1217">
        <w:rPr>
          <w:color w:val="000000" w:themeColor="text1"/>
        </w:rPr>
        <w:t xml:space="preserve">SOX is much more business oriented for this category as well. Specifically, SOX requires that </w:t>
      </w:r>
      <w:r w:rsidRPr="00DD1217">
        <w:rPr>
          <w:rFonts w:eastAsia="Times New Roman" w:cstheme="minorHAnsi"/>
          <w:color w:val="000000" w:themeColor="text1"/>
          <w:lang w:eastAsia="en-US"/>
        </w:rPr>
        <w:t xml:space="preserve">Internal controls, Network activity, Database activity, Login activity (success and failures), Account activity, User activity, </w:t>
      </w:r>
      <w:r>
        <w:rPr>
          <w:rFonts w:eastAsia="Times New Roman" w:cstheme="minorHAnsi"/>
          <w:color w:val="000000" w:themeColor="text1"/>
          <w:lang w:eastAsia="en-US"/>
        </w:rPr>
        <w:t xml:space="preserve">and </w:t>
      </w:r>
      <w:r w:rsidRPr="00DD1217">
        <w:rPr>
          <w:rFonts w:eastAsia="Times New Roman" w:cstheme="minorHAnsi"/>
          <w:color w:val="000000" w:themeColor="text1"/>
          <w:lang w:eastAsia="en-US"/>
        </w:rPr>
        <w:t>Information Access</w:t>
      </w:r>
      <w:r>
        <w:rPr>
          <w:rFonts w:eastAsia="Times New Roman" w:cstheme="minorHAnsi"/>
          <w:color w:val="000000" w:themeColor="text1"/>
          <w:lang w:eastAsia="en-US"/>
        </w:rPr>
        <w:t xml:space="preserve"> are all logged, </w:t>
      </w:r>
      <w:r w:rsidRPr="00D222FE">
        <w:rPr>
          <w:rFonts w:eastAsia="Times New Roman" w:cstheme="minorHAnsi"/>
          <w:color w:val="000000" w:themeColor="text1"/>
          <w:lang w:eastAsia="en-US"/>
        </w:rPr>
        <w:t xml:space="preserve">monitored, and reported. </w:t>
      </w:r>
      <w:r w:rsidR="00F01887" w:rsidRPr="00D222FE">
        <w:rPr>
          <w:rFonts w:eastAsia="Times New Roman" w:cstheme="minorHAnsi"/>
          <w:color w:val="000000" w:themeColor="text1"/>
          <w:lang w:eastAsia="en-US"/>
        </w:rPr>
        <w:t>Obviously</w:t>
      </w:r>
      <w:r w:rsidR="00F73B77" w:rsidRPr="00D222FE">
        <w:rPr>
          <w:rFonts w:eastAsia="Times New Roman" w:cstheme="minorHAnsi"/>
          <w:color w:val="000000" w:themeColor="text1"/>
          <w:lang w:eastAsia="en-US"/>
        </w:rPr>
        <w:t xml:space="preserve">, HIPAA will require very thorough activity logs. Application usage logs, access requests, really any activity requesting any HIPAA information must be logged and kept, or even reported if unauthorized. </w:t>
      </w:r>
      <w:r w:rsidR="00D222FE" w:rsidRPr="00D222FE">
        <w:rPr>
          <w:rFonts w:eastAsia="Times New Roman" w:cstheme="minorHAnsi"/>
          <w:color w:val="000000" w:themeColor="text1"/>
          <w:lang w:eastAsia="en-US"/>
        </w:rPr>
        <w:t xml:space="preserve">Specifically, this includes </w:t>
      </w:r>
      <w:r w:rsidR="00D222FE">
        <w:rPr>
          <w:rFonts w:eastAsia="Times New Roman" w:cstheme="minorHAnsi"/>
          <w:color w:val="000000" w:themeColor="text1"/>
          <w:lang w:eastAsia="en-US"/>
        </w:rPr>
        <w:t>e</w:t>
      </w:r>
      <w:r w:rsidR="00D222FE" w:rsidRPr="00D222FE">
        <w:rPr>
          <w:rFonts w:eastAsia="Times New Roman" w:cstheme="minorHAnsi"/>
          <w:color w:val="000000" w:themeColor="text1"/>
          <w:lang w:eastAsia="en-US"/>
        </w:rPr>
        <w:t>ach time a user log</w:t>
      </w:r>
      <w:r w:rsidR="00D222FE">
        <w:rPr>
          <w:rFonts w:eastAsia="Times New Roman" w:cstheme="minorHAnsi"/>
          <w:color w:val="000000" w:themeColor="text1"/>
          <w:lang w:eastAsia="en-US"/>
        </w:rPr>
        <w:t>s in</w:t>
      </w:r>
      <w:r w:rsidR="00D222FE" w:rsidRPr="00D222FE">
        <w:rPr>
          <w:rFonts w:eastAsia="Times New Roman" w:cstheme="minorHAnsi"/>
          <w:color w:val="000000" w:themeColor="text1"/>
          <w:lang w:eastAsia="en-US"/>
        </w:rPr>
        <w:t xml:space="preserve">, </w:t>
      </w:r>
      <w:r w:rsidR="00D222FE">
        <w:rPr>
          <w:rFonts w:eastAsia="Times New Roman" w:cstheme="minorHAnsi"/>
          <w:color w:val="000000" w:themeColor="text1"/>
          <w:lang w:eastAsia="en-US"/>
        </w:rPr>
        <w:t>when</w:t>
      </w:r>
      <w:r w:rsidR="00D222FE" w:rsidRPr="00D222FE">
        <w:rPr>
          <w:rFonts w:eastAsia="Times New Roman" w:cstheme="minorHAnsi"/>
          <w:color w:val="000000" w:themeColor="text1"/>
          <w:lang w:eastAsia="en-US"/>
        </w:rPr>
        <w:t xml:space="preserve">ver changes are made to databases, </w:t>
      </w:r>
      <w:r w:rsidR="00D222FE">
        <w:rPr>
          <w:rFonts w:eastAsia="Times New Roman" w:cstheme="minorHAnsi"/>
          <w:color w:val="000000" w:themeColor="text1"/>
          <w:lang w:eastAsia="en-US"/>
        </w:rPr>
        <w:t>w</w:t>
      </w:r>
      <w:r w:rsidR="00D222FE" w:rsidRPr="00D222FE">
        <w:rPr>
          <w:rFonts w:eastAsia="Times New Roman" w:cstheme="minorHAnsi"/>
          <w:color w:val="000000" w:themeColor="text1"/>
          <w:lang w:eastAsia="en-US"/>
        </w:rPr>
        <w:t xml:space="preserve">hen new users are added, </w:t>
      </w:r>
      <w:r w:rsidR="00D222FE">
        <w:rPr>
          <w:rFonts w:eastAsia="Times New Roman" w:cstheme="minorHAnsi"/>
          <w:color w:val="000000" w:themeColor="text1"/>
          <w:lang w:eastAsia="en-US"/>
        </w:rPr>
        <w:t>a</w:t>
      </w:r>
      <w:r w:rsidR="00D222FE" w:rsidRPr="00D222FE">
        <w:rPr>
          <w:rFonts w:eastAsia="Times New Roman" w:cstheme="minorHAnsi"/>
          <w:color w:val="000000" w:themeColor="text1"/>
          <w:lang w:eastAsia="en-US"/>
        </w:rPr>
        <w:t xml:space="preserve">ccess levels for each user, </w:t>
      </w:r>
      <w:r w:rsidR="00D222FE">
        <w:rPr>
          <w:rFonts w:eastAsia="Times New Roman" w:cstheme="minorHAnsi"/>
          <w:color w:val="000000" w:themeColor="text1"/>
          <w:lang w:eastAsia="en-US"/>
        </w:rPr>
        <w:t>f</w:t>
      </w:r>
      <w:r w:rsidR="00D222FE" w:rsidRPr="00D222FE">
        <w:rPr>
          <w:rFonts w:eastAsia="Times New Roman" w:cstheme="minorHAnsi"/>
          <w:color w:val="000000" w:themeColor="text1"/>
          <w:lang w:eastAsia="en-US"/>
        </w:rPr>
        <w:t xml:space="preserve">ile access by users, </w:t>
      </w:r>
      <w:r w:rsidR="00D222FE">
        <w:rPr>
          <w:rFonts w:eastAsia="Times New Roman" w:cstheme="minorHAnsi"/>
          <w:color w:val="000000" w:themeColor="text1"/>
          <w:lang w:eastAsia="en-US"/>
        </w:rPr>
        <w:t>l</w:t>
      </w:r>
      <w:r w:rsidR="00D222FE" w:rsidRPr="00D222FE">
        <w:rPr>
          <w:rFonts w:eastAsia="Times New Roman" w:cstheme="minorHAnsi"/>
          <w:color w:val="000000" w:themeColor="text1"/>
          <w:lang w:eastAsia="en-US"/>
        </w:rPr>
        <w:t xml:space="preserve">ogins to operating systems, </w:t>
      </w:r>
      <w:r w:rsidR="00D222FE">
        <w:rPr>
          <w:rFonts w:eastAsia="Times New Roman" w:cstheme="minorHAnsi"/>
          <w:color w:val="000000" w:themeColor="text1"/>
          <w:lang w:eastAsia="en-US"/>
        </w:rPr>
        <w:t>f</w:t>
      </w:r>
      <w:r w:rsidR="00D222FE" w:rsidRPr="00D222FE">
        <w:rPr>
          <w:rFonts w:eastAsia="Times New Roman" w:cstheme="minorHAnsi"/>
          <w:color w:val="000000" w:themeColor="text1"/>
          <w:lang w:eastAsia="en-US"/>
        </w:rPr>
        <w:t xml:space="preserve">irewall logs, </w:t>
      </w:r>
      <w:r w:rsidR="00D222FE">
        <w:rPr>
          <w:rFonts w:eastAsia="Times New Roman" w:cstheme="minorHAnsi"/>
          <w:color w:val="000000" w:themeColor="text1"/>
          <w:lang w:eastAsia="en-US"/>
        </w:rPr>
        <w:t>a</w:t>
      </w:r>
      <w:r w:rsidR="00D222FE" w:rsidRPr="00D222FE">
        <w:rPr>
          <w:rFonts w:eastAsia="Times New Roman" w:cstheme="minorHAnsi"/>
          <w:color w:val="000000" w:themeColor="text1"/>
          <w:lang w:eastAsia="en-US"/>
        </w:rPr>
        <w:t xml:space="preserve">nti-malware logs. </w:t>
      </w:r>
      <w:r w:rsidR="00CB0958" w:rsidRPr="00D222FE">
        <w:rPr>
          <w:rFonts w:eastAsia="Times New Roman" w:cstheme="minorHAnsi"/>
          <w:color w:val="000000" w:themeColor="text1"/>
          <w:lang w:eastAsia="en-US"/>
        </w:rPr>
        <w:t xml:space="preserve">These logs must be kept for a minimum of 6 years, but this also differs by many different factors. </w:t>
      </w:r>
    </w:p>
    <w:p w14:paraId="1A2F0844" w14:textId="6806FC9E" w:rsidR="006D76E0" w:rsidRDefault="006D76E0" w:rsidP="00DD1217">
      <w:pPr>
        <w:rPr>
          <w:color w:val="000000" w:themeColor="text1"/>
        </w:rPr>
      </w:pPr>
      <w:r w:rsidRPr="00DD1217">
        <w:rPr>
          <w:color w:val="000000" w:themeColor="text1"/>
        </w:rPr>
        <w:t>Security Requirements:</w:t>
      </w:r>
    </w:p>
    <w:p w14:paraId="6F162046" w14:textId="2EC44FD0" w:rsidR="008010AD" w:rsidRPr="00DD1217" w:rsidRDefault="008010AD" w:rsidP="00DD1217">
      <w:pPr>
        <w:rPr>
          <w:color w:val="000000" w:themeColor="text1"/>
        </w:rPr>
      </w:pPr>
      <w:r>
        <w:rPr>
          <w:color w:val="000000" w:themeColor="text1"/>
        </w:rPr>
        <w:t xml:space="preserve">For actual security, SOX is mostly based off the idea of checks and balances. </w:t>
      </w:r>
      <w:r w:rsidR="00CB7EA1">
        <w:rPr>
          <w:color w:val="000000" w:themeColor="text1"/>
        </w:rPr>
        <w:t xml:space="preserve">Those complying with SOX must comply with all the previously stated items or those responsible could face jail time. </w:t>
      </w:r>
      <w:r w:rsidR="00E11E03">
        <w:rPr>
          <w:color w:val="000000" w:themeColor="text1"/>
        </w:rPr>
        <w:t xml:space="preserve">They also must provide evidence that they are following security policies and enforcement of the such. I couldn’t find anything on physical security or exact security measures required for SOX. For HIPAA, I could not find any specific security requirements either. As long as </w:t>
      </w:r>
      <w:r w:rsidR="0032328B">
        <w:rPr>
          <w:color w:val="000000" w:themeColor="text1"/>
        </w:rPr>
        <w:t xml:space="preserve">companies under HIPAA are capable </w:t>
      </w:r>
      <w:r w:rsidR="0014065C">
        <w:rPr>
          <w:color w:val="000000" w:themeColor="text1"/>
        </w:rPr>
        <w:t xml:space="preserve">and have proof </w:t>
      </w:r>
      <w:r w:rsidR="0032328B">
        <w:rPr>
          <w:color w:val="000000" w:themeColor="text1"/>
        </w:rPr>
        <w:t xml:space="preserve">of </w:t>
      </w:r>
      <w:r w:rsidR="0014065C">
        <w:rPr>
          <w:color w:val="000000" w:themeColor="text1"/>
        </w:rPr>
        <w:t xml:space="preserve">the ability to </w:t>
      </w:r>
      <w:r w:rsidR="0032328B">
        <w:rPr>
          <w:color w:val="000000" w:themeColor="text1"/>
        </w:rPr>
        <w:t>protect the personal data they state (which that in itself is very complex and long), they don’t state any other specific requirements for security</w:t>
      </w:r>
      <w:r w:rsidR="0014065C">
        <w:rPr>
          <w:color w:val="000000" w:themeColor="text1"/>
        </w:rPr>
        <w:t xml:space="preserve"> (such as a specific set of programs or hardware)</w:t>
      </w:r>
      <w:r w:rsidR="0032328B">
        <w:rPr>
          <w:color w:val="000000" w:themeColor="text1"/>
        </w:rPr>
        <w:t xml:space="preserve">. </w:t>
      </w:r>
    </w:p>
    <w:p w14:paraId="4B821E2E" w14:textId="23C55663" w:rsidR="00776BCC" w:rsidRDefault="00776BCC" w:rsidP="00DD1217">
      <w:pPr>
        <w:rPr>
          <w:color w:val="000000" w:themeColor="text1"/>
        </w:rPr>
      </w:pPr>
    </w:p>
    <w:p w14:paraId="648FC74A" w14:textId="7ADD4BFA" w:rsidR="00F35F57" w:rsidRDefault="00F35F57" w:rsidP="00DD1217">
      <w:pPr>
        <w:rPr>
          <w:color w:val="000000" w:themeColor="text1"/>
        </w:rPr>
      </w:pPr>
    </w:p>
    <w:p w14:paraId="16B8BDD1" w14:textId="77777777" w:rsidR="00F35F57" w:rsidRPr="00DD1217" w:rsidRDefault="00F35F57" w:rsidP="00DD1217">
      <w:pPr>
        <w:rPr>
          <w:color w:val="000000" w:themeColor="text1"/>
        </w:rPr>
      </w:pPr>
    </w:p>
    <w:p w14:paraId="1CB1914D" w14:textId="4BDC92D7" w:rsidR="00776BCC" w:rsidRPr="00DD1217" w:rsidRDefault="00776BCC" w:rsidP="00DD1217">
      <w:pPr>
        <w:rPr>
          <w:color w:val="000000" w:themeColor="text1"/>
        </w:rPr>
      </w:pPr>
      <w:r w:rsidRPr="00DD1217">
        <w:rPr>
          <w:color w:val="000000" w:themeColor="text1"/>
        </w:rPr>
        <w:lastRenderedPageBreak/>
        <w:t xml:space="preserve">References: </w:t>
      </w:r>
    </w:p>
    <w:p w14:paraId="47B19638" w14:textId="77777777" w:rsidR="00F35F57" w:rsidRPr="00F35F57" w:rsidRDefault="00F35F57" w:rsidP="00F35F57">
      <w:pPr>
        <w:suppressAutoHyphens w:val="0"/>
        <w:ind w:left="720" w:hanging="720"/>
        <w:rPr>
          <w:rFonts w:ascii="Times New Roman" w:eastAsia="Times New Roman" w:hAnsi="Times New Roman" w:cs="Times New Roman"/>
          <w:lang w:eastAsia="en-US"/>
        </w:rPr>
      </w:pPr>
      <w:r w:rsidRPr="00F35F57">
        <w:rPr>
          <w:rFonts w:ascii="Times New Roman" w:eastAsia="Times New Roman" w:hAnsi="Times New Roman" w:cs="Times New Roman"/>
          <w:lang w:eastAsia="en-US"/>
        </w:rPr>
        <w:t xml:space="preserve">Compliancy Group. (2020, November 30). </w:t>
      </w:r>
      <w:r w:rsidRPr="00F35F57">
        <w:rPr>
          <w:rFonts w:ascii="Times New Roman" w:eastAsia="Times New Roman" w:hAnsi="Times New Roman" w:cs="Times New Roman"/>
          <w:i/>
          <w:iCs/>
          <w:lang w:eastAsia="en-US"/>
        </w:rPr>
        <w:t xml:space="preserve">What Are HIPAA Audit Trail and Audit Log </w:t>
      </w:r>
      <w:proofErr w:type="gramStart"/>
      <w:r w:rsidRPr="00F35F57">
        <w:rPr>
          <w:rFonts w:ascii="Times New Roman" w:eastAsia="Times New Roman" w:hAnsi="Times New Roman" w:cs="Times New Roman"/>
          <w:i/>
          <w:iCs/>
          <w:lang w:eastAsia="en-US"/>
        </w:rPr>
        <w:t>Requirements</w:t>
      </w:r>
      <w:r w:rsidRPr="00F35F57">
        <w:rPr>
          <w:rFonts w:ascii="Times New Roman" w:eastAsia="Times New Roman" w:hAnsi="Times New Roman" w:cs="Times New Roman"/>
          <w:lang w:eastAsia="en-US"/>
        </w:rPr>
        <w:t>.</w:t>
      </w:r>
      <w:proofErr w:type="gramEnd"/>
      <w:r w:rsidRPr="00F35F57">
        <w:rPr>
          <w:rFonts w:ascii="Times New Roman" w:eastAsia="Times New Roman" w:hAnsi="Times New Roman" w:cs="Times New Roman"/>
          <w:lang w:eastAsia="en-US"/>
        </w:rPr>
        <w:t xml:space="preserve"> https://compliancy-group.com/hipaa-audit-log-requirements/</w:t>
      </w:r>
    </w:p>
    <w:p w14:paraId="02DCC7BA" w14:textId="77777777" w:rsidR="00F35F57" w:rsidRPr="00F35F57" w:rsidRDefault="00F35F57" w:rsidP="00F35F57">
      <w:pPr>
        <w:suppressAutoHyphens w:val="0"/>
        <w:ind w:left="720" w:hanging="720"/>
        <w:rPr>
          <w:rFonts w:ascii="Times New Roman" w:eastAsia="Times New Roman" w:hAnsi="Times New Roman" w:cs="Times New Roman"/>
          <w:lang w:eastAsia="en-US"/>
        </w:rPr>
      </w:pPr>
      <w:r w:rsidRPr="00F35F57">
        <w:rPr>
          <w:rFonts w:ascii="Times New Roman" w:eastAsia="Times New Roman" w:hAnsi="Times New Roman" w:cs="Times New Roman"/>
          <w:lang w:eastAsia="en-US"/>
        </w:rPr>
        <w:t xml:space="preserve">Compliancy Group. (2021, May 25). </w:t>
      </w:r>
      <w:r w:rsidRPr="00F35F57">
        <w:rPr>
          <w:rFonts w:ascii="Times New Roman" w:eastAsia="Times New Roman" w:hAnsi="Times New Roman" w:cs="Times New Roman"/>
          <w:i/>
          <w:iCs/>
          <w:lang w:eastAsia="en-US"/>
        </w:rPr>
        <w:t xml:space="preserve">What is the HIPAA Security Rule: Safeguards &amp; </w:t>
      </w:r>
      <w:proofErr w:type="gramStart"/>
      <w:r w:rsidRPr="00F35F57">
        <w:rPr>
          <w:rFonts w:ascii="Times New Roman" w:eastAsia="Times New Roman" w:hAnsi="Times New Roman" w:cs="Times New Roman"/>
          <w:i/>
          <w:iCs/>
          <w:lang w:eastAsia="en-US"/>
        </w:rPr>
        <w:t>Requirements</w:t>
      </w:r>
      <w:r w:rsidRPr="00F35F57">
        <w:rPr>
          <w:rFonts w:ascii="Times New Roman" w:eastAsia="Times New Roman" w:hAnsi="Times New Roman" w:cs="Times New Roman"/>
          <w:lang w:eastAsia="en-US"/>
        </w:rPr>
        <w:t>.</w:t>
      </w:r>
      <w:proofErr w:type="gramEnd"/>
      <w:r w:rsidRPr="00F35F57">
        <w:rPr>
          <w:rFonts w:ascii="Times New Roman" w:eastAsia="Times New Roman" w:hAnsi="Times New Roman" w:cs="Times New Roman"/>
          <w:lang w:eastAsia="en-US"/>
        </w:rPr>
        <w:t xml:space="preserve"> https://compliancy-group.com/hipaa-security-rule/</w:t>
      </w:r>
    </w:p>
    <w:p w14:paraId="6AE6D4D4" w14:textId="77777777" w:rsidR="00F35F57" w:rsidRPr="00F35F57" w:rsidRDefault="00F35F57" w:rsidP="00F35F57">
      <w:pPr>
        <w:suppressAutoHyphens w:val="0"/>
        <w:ind w:left="720" w:hanging="720"/>
        <w:rPr>
          <w:rFonts w:ascii="Times New Roman" w:eastAsia="Times New Roman" w:hAnsi="Times New Roman" w:cs="Times New Roman"/>
          <w:lang w:eastAsia="en-US"/>
        </w:rPr>
      </w:pPr>
      <w:r w:rsidRPr="00F35F57">
        <w:rPr>
          <w:rFonts w:ascii="Times New Roman" w:eastAsia="Times New Roman" w:hAnsi="Times New Roman" w:cs="Times New Roman"/>
          <w:lang w:eastAsia="en-US"/>
        </w:rPr>
        <w:t xml:space="preserve">Journal, H. (2021, July 22). </w:t>
      </w:r>
      <w:r w:rsidRPr="00F35F57">
        <w:rPr>
          <w:rFonts w:ascii="Times New Roman" w:eastAsia="Times New Roman" w:hAnsi="Times New Roman" w:cs="Times New Roman"/>
          <w:i/>
          <w:iCs/>
          <w:lang w:eastAsia="en-US"/>
        </w:rPr>
        <w:t>Clarifying the HIPAA Retention Requirements</w:t>
      </w:r>
      <w:r w:rsidRPr="00F35F57">
        <w:rPr>
          <w:rFonts w:ascii="Times New Roman" w:eastAsia="Times New Roman" w:hAnsi="Times New Roman" w:cs="Times New Roman"/>
          <w:lang w:eastAsia="en-US"/>
        </w:rPr>
        <w:t>. HIPAA Journal. https://www.hipaajournal.com/hipaa-retention-requirements/</w:t>
      </w:r>
    </w:p>
    <w:p w14:paraId="347FB3F1" w14:textId="77777777" w:rsidR="00F35F57" w:rsidRPr="00F35F57" w:rsidRDefault="00F35F57" w:rsidP="00F35F57">
      <w:pPr>
        <w:suppressAutoHyphens w:val="0"/>
        <w:ind w:left="720" w:hanging="720"/>
        <w:rPr>
          <w:rFonts w:ascii="Times New Roman" w:eastAsia="Times New Roman" w:hAnsi="Times New Roman" w:cs="Times New Roman"/>
          <w:lang w:eastAsia="en-US"/>
        </w:rPr>
      </w:pPr>
      <w:r w:rsidRPr="00F35F57">
        <w:rPr>
          <w:rFonts w:ascii="Times New Roman" w:eastAsia="Times New Roman" w:hAnsi="Times New Roman" w:cs="Times New Roman"/>
          <w:lang w:eastAsia="en-US"/>
        </w:rPr>
        <w:t xml:space="preserve">Myerson, J. (2019, June 13). </w:t>
      </w:r>
      <w:r w:rsidRPr="00F35F57">
        <w:rPr>
          <w:rFonts w:ascii="Times New Roman" w:eastAsia="Times New Roman" w:hAnsi="Times New Roman" w:cs="Times New Roman"/>
          <w:i/>
          <w:iCs/>
          <w:lang w:eastAsia="en-US"/>
        </w:rPr>
        <w:t>4 steps to remain compliant with SOX data retention policies</w:t>
      </w:r>
      <w:r w:rsidRPr="00F35F57">
        <w:rPr>
          <w:rFonts w:ascii="Times New Roman" w:eastAsia="Times New Roman" w:hAnsi="Times New Roman" w:cs="Times New Roman"/>
          <w:lang w:eastAsia="en-US"/>
        </w:rPr>
        <w:t xml:space="preserve">. </w:t>
      </w:r>
      <w:proofErr w:type="spellStart"/>
      <w:r w:rsidRPr="00F35F57">
        <w:rPr>
          <w:rFonts w:ascii="Times New Roman" w:eastAsia="Times New Roman" w:hAnsi="Times New Roman" w:cs="Times New Roman"/>
          <w:lang w:eastAsia="en-US"/>
        </w:rPr>
        <w:t>SearchCompliance</w:t>
      </w:r>
      <w:proofErr w:type="spellEnd"/>
      <w:r w:rsidRPr="00F35F57">
        <w:rPr>
          <w:rFonts w:ascii="Times New Roman" w:eastAsia="Times New Roman" w:hAnsi="Times New Roman" w:cs="Times New Roman"/>
          <w:lang w:eastAsia="en-US"/>
        </w:rPr>
        <w:t>. https://searchcompliance.techtarget.com/tip/Four-steps-to-consolidate-SOX-data-retention-and-deletion-processes</w:t>
      </w:r>
    </w:p>
    <w:p w14:paraId="2226F6C0" w14:textId="77777777" w:rsidR="00F35F57" w:rsidRPr="00F35F57" w:rsidRDefault="00F35F57" w:rsidP="00F35F57">
      <w:pPr>
        <w:suppressAutoHyphens w:val="0"/>
        <w:ind w:left="720" w:hanging="720"/>
        <w:rPr>
          <w:rFonts w:ascii="Times New Roman" w:eastAsia="Times New Roman" w:hAnsi="Times New Roman" w:cs="Times New Roman"/>
          <w:lang w:eastAsia="en-US"/>
        </w:rPr>
      </w:pPr>
      <w:r w:rsidRPr="00F35F57">
        <w:rPr>
          <w:rFonts w:ascii="Times New Roman" w:eastAsia="Times New Roman" w:hAnsi="Times New Roman" w:cs="Times New Roman"/>
          <w:lang w:eastAsia="en-US"/>
        </w:rPr>
        <w:t xml:space="preserve">Rights, O. F. C. (2020, December 10). </w:t>
      </w:r>
      <w:r w:rsidRPr="00F35F57">
        <w:rPr>
          <w:rFonts w:ascii="Times New Roman" w:eastAsia="Times New Roman" w:hAnsi="Times New Roman" w:cs="Times New Roman"/>
          <w:i/>
          <w:iCs/>
          <w:lang w:eastAsia="en-US"/>
        </w:rPr>
        <w:t>Privacy</w:t>
      </w:r>
      <w:r w:rsidRPr="00F35F57">
        <w:rPr>
          <w:rFonts w:ascii="Times New Roman" w:eastAsia="Times New Roman" w:hAnsi="Times New Roman" w:cs="Times New Roman"/>
          <w:lang w:eastAsia="en-US"/>
        </w:rPr>
        <w:t>. HHS.Gov. https://www.hhs.gov/hipaa/for-professionals/privacy/index.html</w:t>
      </w:r>
    </w:p>
    <w:p w14:paraId="4BD4E131" w14:textId="77777777" w:rsidR="00F35F57" w:rsidRPr="00F35F57" w:rsidRDefault="00F35F57" w:rsidP="00F35F57">
      <w:pPr>
        <w:suppressAutoHyphens w:val="0"/>
        <w:ind w:left="720" w:hanging="720"/>
        <w:rPr>
          <w:rFonts w:ascii="Times New Roman" w:eastAsia="Times New Roman" w:hAnsi="Times New Roman" w:cs="Times New Roman"/>
          <w:lang w:eastAsia="en-US"/>
        </w:rPr>
      </w:pPr>
      <w:r w:rsidRPr="00F35F57">
        <w:rPr>
          <w:rFonts w:ascii="Times New Roman" w:eastAsia="Times New Roman" w:hAnsi="Times New Roman" w:cs="Times New Roman"/>
          <w:i/>
          <w:iCs/>
          <w:lang w:eastAsia="en-US"/>
        </w:rPr>
        <w:t>Sarbanes-Oxley (SOX) Audit Requirements</w:t>
      </w:r>
      <w:r w:rsidRPr="00F35F57">
        <w:rPr>
          <w:rFonts w:ascii="Times New Roman" w:eastAsia="Times New Roman" w:hAnsi="Times New Roman" w:cs="Times New Roman"/>
          <w:lang w:eastAsia="en-US"/>
        </w:rPr>
        <w:t>. (2021, September 18). Https://Www.Sarbanes-Oxley-101.Com/Sarbanes-Oxley-Audits.Htm. https://www.sarbanes-oxley-101.com/sarbanes-oxley-audits.htm</w:t>
      </w:r>
    </w:p>
    <w:p w14:paraId="42E0AB81" w14:textId="77777777" w:rsidR="003125BB" w:rsidRPr="00DD1217" w:rsidRDefault="003125BB" w:rsidP="00DD1217">
      <w:pPr>
        <w:rPr>
          <w:color w:val="000000" w:themeColor="text1"/>
        </w:rPr>
      </w:pPr>
      <w:bookmarkStart w:id="0" w:name="_GoBack"/>
      <w:bookmarkEnd w:id="0"/>
    </w:p>
    <w:sectPr w:rsidR="003125BB" w:rsidRPr="00DD121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A1171" w14:textId="77777777" w:rsidR="00027D64" w:rsidRDefault="00027D64">
      <w:pPr>
        <w:spacing w:line="240" w:lineRule="auto"/>
      </w:pPr>
      <w:r>
        <w:separator/>
      </w:r>
    </w:p>
  </w:endnote>
  <w:endnote w:type="continuationSeparator" w:id="0">
    <w:p w14:paraId="24C9B3EF" w14:textId="77777777" w:rsidR="00027D64" w:rsidRDefault="00027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591F1" w14:textId="77777777" w:rsidR="00027D64" w:rsidRDefault="00027D64">
      <w:pPr>
        <w:spacing w:line="240" w:lineRule="auto"/>
      </w:pPr>
      <w:r>
        <w:separator/>
      </w:r>
    </w:p>
  </w:footnote>
  <w:footnote w:type="continuationSeparator" w:id="0">
    <w:p w14:paraId="4D18DF4D" w14:textId="77777777" w:rsidR="00027D64" w:rsidRDefault="00027D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A2EA5" w14:textId="77777777" w:rsidR="00080C97" w:rsidRDefault="00027D64">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A4B40" w14:textId="77777777" w:rsidR="00080C97" w:rsidRDefault="00027D64">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D594F6D"/>
    <w:multiLevelType w:val="multilevel"/>
    <w:tmpl w:val="9820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27D64"/>
    <w:rsid w:val="00080C97"/>
    <w:rsid w:val="0014065C"/>
    <w:rsid w:val="003125BB"/>
    <w:rsid w:val="0032328B"/>
    <w:rsid w:val="0034643D"/>
    <w:rsid w:val="00386983"/>
    <w:rsid w:val="003E748F"/>
    <w:rsid w:val="004C6499"/>
    <w:rsid w:val="004F4936"/>
    <w:rsid w:val="00521095"/>
    <w:rsid w:val="006274BC"/>
    <w:rsid w:val="006A64A8"/>
    <w:rsid w:val="006D76E0"/>
    <w:rsid w:val="00776BCC"/>
    <w:rsid w:val="007D4B2F"/>
    <w:rsid w:val="008010AD"/>
    <w:rsid w:val="008E2A21"/>
    <w:rsid w:val="00925A42"/>
    <w:rsid w:val="00965112"/>
    <w:rsid w:val="00977B05"/>
    <w:rsid w:val="00AB1E45"/>
    <w:rsid w:val="00B82F8F"/>
    <w:rsid w:val="00BD3A4E"/>
    <w:rsid w:val="00C26420"/>
    <w:rsid w:val="00CB0958"/>
    <w:rsid w:val="00CB7EA1"/>
    <w:rsid w:val="00CD3F71"/>
    <w:rsid w:val="00CE53DD"/>
    <w:rsid w:val="00D222FE"/>
    <w:rsid w:val="00D67E0E"/>
    <w:rsid w:val="00DD1217"/>
    <w:rsid w:val="00E11E03"/>
    <w:rsid w:val="00EC2FE4"/>
    <w:rsid w:val="00F01887"/>
    <w:rsid w:val="00F35F57"/>
    <w:rsid w:val="00F73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6F0F0"/>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776BCC"/>
    <w:rPr>
      <w:color w:val="5F5F5F" w:themeColor="hyperlink"/>
      <w:u w:val="single"/>
    </w:rPr>
  </w:style>
  <w:style w:type="character" w:styleId="UnresolvedMention">
    <w:name w:val="Unresolved Mention"/>
    <w:basedOn w:val="DefaultParagraphFont"/>
    <w:uiPriority w:val="99"/>
    <w:semiHidden/>
    <w:unhideWhenUsed/>
    <w:rsid w:val="00776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03381039">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8183746">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48839338">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E4167C"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E4167C"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07080E"/>
    <w:rsid w:val="00174D0D"/>
    <w:rsid w:val="00A32745"/>
    <w:rsid w:val="00E4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625B8B-1202-8C46-A947-FD511568E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39</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16</cp:revision>
  <dcterms:created xsi:type="dcterms:W3CDTF">2021-08-27T16:00:00Z</dcterms:created>
  <dcterms:modified xsi:type="dcterms:W3CDTF">2021-09-18T20:45:00Z</dcterms:modified>
</cp:coreProperties>
</file>