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insurance-demo-scenario-bible"/>
    <w:p>
      <w:pPr>
        <w:pStyle w:val="Heading1"/>
      </w:pPr>
      <w:r>
        <w:t xml:space="preserve">Insurance demo scenario bible</w:t>
      </w:r>
    </w:p>
    <w:p>
      <w:pPr>
        <w:pStyle w:val="FirstParagraph"/>
      </w:pPr>
      <w:r>
        <w:t xml:space="preserve">This document describes the fictive "world" of the scenario that provides context for the demonstration project. Where it uses insurance or data-model terms, it follows</w:t>
      </w:r>
      <w:r>
        <w:t xml:space="preserve"> </w:t>
      </w:r>
      <w:r>
        <w:rPr>
          <w:bCs/>
          <w:b/>
        </w:rPr>
        <w:t xml:space="preserve">HL7 FHIR 4.0.1 (R4)</w:t>
      </w:r>
      <w:r>
        <w:t xml:space="preserve">.</w:t>
      </w:r>
    </w:p>
    <w:p>
      <w:pPr>
        <w:pStyle w:val="BlockText"/>
      </w:pPr>
      <w:r>
        <w:rPr>
          <w:bCs/>
          <w:b/>
        </w:rPr>
        <w:t xml:space="preserve">v4 change note:</w:t>
      </w:r>
      <w:r>
        <w:t xml:space="preserve"> </w:t>
      </w:r>
      <w:r>
        <w:t xml:space="preserve">Collapsed the scenario from two insurers to one. Rationale: insurer was the least interesting axis to demonstrate (it varies as letterhead/claims-contact swaps, not conditional logic), and having two insurers made it ambiguous whether a downstream difference was caused by the insurer or by company/plan/level/state/employee. A single insurer keeps every downstream variation legibly attributable to the axes the toolchain is actually meant to showcase. See "Removed from the cast" below for what changed and the Parked decisions table for what was dropped.</w:t>
      </w:r>
    </w:p>
    <w:p>
      <w:pPr>
        <w:pStyle w:val="BlockText"/>
      </w:pPr>
      <w:r>
        <w:rPr>
          <w:bCs/>
          <w:b/>
        </w:rPr>
        <w:t xml:space="preserve">Note (2026-09-26):</w:t>
      </w:r>
      <w:r>
        <w:t xml:space="preserve"> </w:t>
      </w:r>
      <w:r>
        <w:t xml:space="preserve">The cast, plans, and org structure described below (Lone Pine Logistics, the two "Prairie" TX plans) predate a later session's changes — Lone Pine Logistics was renamed to Whitfield Dynamics, split into TX and FL offices (Key Accounts segment), and the Prairie plans were retired in favor of "Crestline PPO 1000." A full v5 rewrite of this document is still pending; the live source of truth for the current cast is the HAPI FHIR transaction Bundle saved alongside this doc.</w:t>
      </w:r>
    </w:p>
    <w:p>
      <w:pPr>
        <w:pStyle w:val="BlockText"/>
      </w:pPr>
      <w:r>
        <w:rPr>
          <w:bCs/>
          <w:b/>
        </w:rPr>
        <w:t xml:space="preserve">Correction (2026-10-01):</w:t>
      </w:r>
      <w:r>
        <w:t xml:space="preserve"> </w:t>
      </w:r>
      <w:r>
        <w:t xml:space="preserve">The current Bundle is</w:t>
      </w:r>
      <w:r>
        <w:t xml:space="preserve"> </w:t>
      </w:r>
      <w:r>
        <w:rPr>
          <w:rStyle w:val="VerbatimChar"/>
        </w:rPr>
        <w:t xml:space="preserve">hapi-fhir-transaction-bundle.json</w:t>
      </w:r>
      <w:r>
        <w:t xml:space="preserve"> </w:t>
      </w:r>
      <w:r>
        <w:t xml:space="preserve">(no version suffix; version history is kept in Git). The earlier</w:t>
      </w:r>
      <w:r>
        <w:t xml:space="preserve"> </w:t>
      </w:r>
      <w:r>
        <w:rPr>
          <w:rStyle w:val="VerbatimChar"/>
        </w:rPr>
        <w:t xml:space="preserve">-v1</w:t>
      </w:r>
      <w:r>
        <w:t xml:space="preserve"> </w:t>
      </w:r>
      <w:r>
        <w:t xml:space="preserve">and</w:t>
      </w:r>
      <w:r>
        <w:t xml:space="preserve"> </w:t>
      </w:r>
      <w:r>
        <w:rPr>
          <w:rStyle w:val="VerbatimChar"/>
        </w:rPr>
        <w:t xml:space="preserve">-v2</w:t>
      </w:r>
      <w:r>
        <w:t xml:space="preserve"> </w:t>
      </w:r>
      <w:r>
        <w:t xml:space="preserve">files are superseded and are not to be loaded. The 2026-09-26 note above named v2 as current; v2 was in fact superseded by a corrected file because it stored dollar amounts with</w:t>
      </w:r>
      <w:r>
        <w:t xml:space="preserve"> </w:t>
      </w:r>
      <w:r>
        <w:rPr>
          <w:rStyle w:val="VerbatimChar"/>
        </w:rPr>
        <w:t xml:space="preserve">currency</w:t>
      </w:r>
      <w:r>
        <w:t xml:space="preserve"> </w:t>
      </w:r>
      <w:r>
        <w:t xml:space="preserve">on a Quantity.</w:t>
      </w:r>
      <w:r>
        <w:t xml:space="preserve"> </w:t>
      </w:r>
      <w:r>
        <w:rPr>
          <w:rStyle w:val="VerbatimChar"/>
        </w:rPr>
        <w:t xml:space="preserve">currency</w:t>
      </w:r>
      <w:r>
        <w:t xml:space="preserve"> </w:t>
      </w:r>
      <w:r>
        <w:t xml:space="preserve">belongs to Money, and HAPI silently dropped it. The current file stores dollar amounts as Quantity with</w:t>
      </w:r>
      <w:r>
        <w:t xml:space="preserve"> </w:t>
      </w:r>
      <w:r>
        <w:rPr>
          <w:rStyle w:val="VerbatimChar"/>
        </w:rPr>
        <w:t xml:space="preserve">unit: USD</w:t>
      </w:r>
      <w:r>
        <w:t xml:space="preserve">.</w:t>
      </w:r>
    </w:p>
    <w:p>
      <w:pPr>
        <w:pStyle w:val="FirstParagraph"/>
      </w:pPr>
      <w:r>
        <w:t xml:space="preserve">The thing being demonstrated is a toolchain that produces a Certificate of Coverage for an employer-provided, fully insured healthcare insurance plan. Each step of the process produces an artifact which, in turn, is used in the next step, until the CoC is published.</w:t>
      </w:r>
    </w:p>
    <w:p>
      <w:pPr>
        <w:numPr>
          <w:ilvl w:val="0"/>
          <w:numId w:val="1001"/>
        </w:numPr>
      </w:pPr>
      <w:r>
        <w:t xml:space="preserve">Employee information (demographic information and coverage choices) is captured as data in a SQLite database file.</w:t>
      </w:r>
    </w:p>
    <w:p>
      <w:pPr>
        <w:numPr>
          <w:ilvl w:val="0"/>
          <w:numId w:val="1001"/>
        </w:numPr>
      </w:pPr>
      <w:r>
        <w:t xml:space="preserve">A query produces a report as a JSON file containing the data to be included in the CoC.</w:t>
      </w:r>
    </w:p>
    <w:p>
      <w:pPr>
        <w:numPr>
          <w:ilvl w:val="0"/>
          <w:numId w:val="1001"/>
        </w:numPr>
      </w:pPr>
      <w:r>
        <w:t xml:space="preserve">The data in the JSON report is included in the Certificate of Coverage, a DITA XML document structured to accommodate the employee information.</w:t>
      </w:r>
    </w:p>
    <w:p>
      <w:pPr>
        <w:numPr>
          <w:ilvl w:val="0"/>
          <w:numId w:val="1001"/>
        </w:numPr>
      </w:pPr>
      <w:r>
        <w:t xml:space="preserve">The DITA document is resolved to include the proper boilerplate and other content filtered and profiled for the Insurer (the company providing the insurance plan to the Company and covering the cost of claims), the Company (the organization offering the group plan to its employees), the specific Plan (which can vary among those on offer), the level of coverage (Gold, Silver, Bronze), the State (because regulations vary among states), and the individual employee (according to the coverage chosen).</w:t>
      </w:r>
    </w:p>
    <w:p>
      <w:pPr>
        <w:numPr>
          <w:ilvl w:val="0"/>
          <w:numId w:val="1001"/>
        </w:numPr>
      </w:pPr>
      <w:r>
        <w:t xml:space="preserve">The fully resolved DITA document is transformed to a PDF for delivery to the new employee.</w:t>
      </w:r>
    </w:p>
    <w:bookmarkStart w:id="20" w:name="audience"/>
    <w:p>
      <w:pPr>
        <w:pStyle w:val="Heading2"/>
      </w:pPr>
      <w:r>
        <w:t xml:space="preserve">Audience</w:t>
      </w:r>
    </w:p>
    <w:p>
      <w:pPr>
        <w:pStyle w:val="FirstParagraph"/>
      </w:pPr>
      <w:r>
        <w:t xml:space="preserve">The demo is intended primarily for managers whose responsibilities include documentation and content production. These would be the experts in charge of hiring consultants to improve processes and toolchains.</w:t>
      </w:r>
    </w:p>
    <w:bookmarkEnd w:id="20"/>
    <w:bookmarkStart w:id="21" w:name="goal"/>
    <w:p>
      <w:pPr>
        <w:pStyle w:val="Heading2"/>
      </w:pPr>
      <w:r>
        <w:t xml:space="preserve">Goal</w:t>
      </w:r>
    </w:p>
    <w:p>
      <w:pPr>
        <w:pStyle w:val="FirstParagraph"/>
      </w:pPr>
      <w:r>
        <w:t xml:space="preserve">The goal of the demo is to secure a contract to design and help build such a toolchain and teach its use, where necessary. To do this, the demonstration should generate confidence in the tools, the process, and the team.</w:t>
      </w:r>
    </w:p>
    <w:p>
      <w:pPr>
        <w:pStyle w:val="BodyText"/>
      </w:pPr>
      <w:r>
        <w:t xml:space="preserve">The audience (the manager, and the technical lead who may vet the work) are</w:t>
      </w:r>
      <w:r>
        <w:t xml:space="preserve"> </w:t>
      </w:r>
      <w:r>
        <w:rPr>
          <w:bCs/>
          <w:b/>
        </w:rPr>
        <w:t xml:space="preserve">not</w:t>
      </w:r>
      <w:r>
        <w:t xml:space="preserve"> </w:t>
      </w:r>
      <w:r>
        <w:t xml:space="preserve">actors in the scenario. They view the demo from outside the fictive world and appear nowhere in the database or in any published document.</w:t>
      </w:r>
    </w:p>
    <w:bookmarkEnd w:id="21"/>
    <w:bookmarkStart w:id="28" w:name="the-world-of-the-scenario"/>
    <w:p>
      <w:pPr>
        <w:pStyle w:val="Heading2"/>
      </w:pPr>
      <w:r>
        <w:t xml:space="preserve">The world of the scenario</w:t>
      </w:r>
    </w:p>
    <w:p>
      <w:pPr>
        <w:pStyle w:val="FirstParagraph"/>
      </w:pPr>
      <w:r>
        <w:t xml:space="preserve">These are the assumptions, constants, and constraints assumed as the context for the demonstration toolchain: the fictive parties, their roles, and other supporting concepts.</w:t>
      </w:r>
    </w:p>
    <w:bookmarkStart w:id="22" w:name="axioms"/>
    <w:p>
      <w:pPr>
        <w:pStyle w:val="Heading3"/>
      </w:pPr>
      <w:r>
        <w:t xml:space="preserve">Axioms</w:t>
      </w:r>
    </w:p>
    <w:p>
      <w:pPr>
        <w:pStyle w:val="FirstParagraph"/>
      </w:pPr>
      <w:r>
        <w:t xml:space="preserve">Rules of this fictive world. They are stipulated, not claims about the real world.</w:t>
      </w:r>
    </w:p>
    <w:p>
      <w:pPr>
        <w:numPr>
          <w:ilvl w:val="0"/>
          <w:numId w:val="1002"/>
        </w:numPr>
        <w:pStyle w:val="Compact"/>
      </w:pPr>
      <w:r>
        <w:rPr>
          <w:bCs/>
          <w:b/>
        </w:rPr>
        <w:t xml:space="preserve">Every plan has a HIOS Plan ID.</w:t>
      </w:r>
      <w:r>
        <w:t xml:space="preserve"> </w:t>
      </w:r>
      <w:r>
        <w:t xml:space="preserve">CMS assigns one to every plan, so every plan in the database has one. Whether it is printed on a given enrollment form (some forms show it in a box marked "Internal Use Only," others omit it) is irrelevant to the employee and to the data model.</w:t>
      </w:r>
    </w:p>
    <w:p>
      <w:pPr>
        <w:numPr>
          <w:ilvl w:val="0"/>
          <w:numId w:val="1002"/>
        </w:numPr>
        <w:pStyle w:val="Compact"/>
      </w:pPr>
      <w:r>
        <w:rPr>
          <w:bCs/>
          <w:b/>
        </w:rPr>
        <w:t xml:space="preserve">The plans already exist before any employee enrolls.</w:t>
      </w:r>
      <w:r>
        <w:t xml:space="preserve"> </w:t>
      </w:r>
      <w:r>
        <w:t xml:space="preserve">Enrollment means choosing from existing plans, not creating them.</w:t>
      </w:r>
    </w:p>
    <w:p>
      <w:pPr>
        <w:numPr>
          <w:ilvl w:val="0"/>
          <w:numId w:val="1002"/>
        </w:numPr>
        <w:pStyle w:val="Compact"/>
      </w:pPr>
      <w:r>
        <w:rPr>
          <w:bCs/>
          <w:b/>
        </w:rPr>
        <w:t xml:space="preserve">All plans are fully insured</w:t>
      </w:r>
      <w:r>
        <w:t xml:space="preserve"> </w:t>
      </w:r>
      <w:r>
        <w:t xml:space="preserve">and offered by an employer to its employees.</w:t>
      </w:r>
    </w:p>
    <w:p>
      <w:pPr>
        <w:numPr>
          <w:ilvl w:val="0"/>
          <w:numId w:val="1002"/>
        </w:numPr>
        <w:pStyle w:val="Compact"/>
      </w:pPr>
      <w:r>
        <w:rPr>
          <w:bCs/>
          <w:b/>
        </w:rPr>
        <w:t xml:space="preserve">Coverage is employee-only.</w:t>
      </w:r>
      <w:r>
        <w:t xml:space="preserve"> </w:t>
      </w:r>
      <w:r>
        <w:t xml:space="preserve">No dependents.</w:t>
      </w:r>
    </w:p>
    <w:p>
      <w:pPr>
        <w:numPr>
          <w:ilvl w:val="0"/>
          <w:numId w:val="1002"/>
        </w:numPr>
        <w:pStyle w:val="Compact"/>
      </w:pPr>
      <w:r>
        <w:rPr>
          <w:bCs/>
          <w:b/>
        </w:rPr>
        <w:t xml:space="preserve">Medical, dental, and vision are the coverage categories in scope.</w:t>
      </w:r>
      <w:r>
        <w:t xml:space="preserve"> </w:t>
      </w:r>
      <w:r>
        <w:t xml:space="preserve">Life and AD&amp;D are out.</w:t>
      </w:r>
    </w:p>
    <w:p>
      <w:pPr>
        <w:numPr>
          <w:ilvl w:val="0"/>
          <w:numId w:val="1002"/>
        </w:numPr>
        <w:pStyle w:val="Compact"/>
      </w:pPr>
      <w:r>
        <w:rPr>
          <w:bCs/>
          <w:b/>
        </w:rPr>
        <w:t xml:space="preserve">Three states:</w:t>
      </w:r>
      <w:r>
        <w:t xml:space="preserve"> </w:t>
      </w:r>
      <w:r>
        <w:t xml:space="preserve">New York, Texas, and Florida.</w:t>
      </w:r>
    </w:p>
    <w:p>
      <w:pPr>
        <w:numPr>
          <w:ilvl w:val="0"/>
          <w:numId w:val="1002"/>
        </w:numPr>
        <w:pStyle w:val="Compact"/>
      </w:pPr>
      <w:r>
        <w:rPr>
          <w:bCs/>
          <w:b/>
        </w:rPr>
        <w:t xml:space="preserve">Each Coverage has its own payor.</w:t>
      </w:r>
      <w:r>
        <w:t xml:space="preserve"> </w:t>
      </w:r>
      <w:r>
        <w:t xml:space="preserve">Per FHIR, the insurer is recorded on each Coverage, so different coverage categories</w:t>
      </w:r>
      <w:r>
        <w:t xml:space="preserve"> </w:t>
      </w:r>
      <w:r>
        <w:rPr>
          <w:iCs/>
          <w:i/>
        </w:rPr>
        <w:t xml:space="preserve">may</w:t>
      </w:r>
      <w:r>
        <w:t xml:space="preserve"> </w:t>
      </w:r>
      <w:r>
        <w:t xml:space="preserve">come from different insurers. The demo's sample data uses one insurer per employee to keep things simple.</w:t>
      </w:r>
    </w:p>
    <w:p>
      <w:pPr>
        <w:numPr>
          <w:ilvl w:val="0"/>
          <w:numId w:val="1002"/>
        </w:numPr>
        <w:pStyle w:val="Compact"/>
      </w:pPr>
      <w:r>
        <w:rPr>
          <w:bCs/>
          <w:b/>
        </w:rPr>
        <w:t xml:space="preserve">One insurer, licensed in all three states.</w:t>
      </w:r>
      <w:r>
        <w:t xml:space="preserve"> </w:t>
      </w:r>
      <w:r>
        <w:rPr>
          <w:iCs/>
          <w:i/>
        </w:rPr>
        <w:t xml:space="preserve">(New in v4.)</w:t>
      </w:r>
      <w:r>
        <w:t xml:space="preserve"> </w:t>
      </w:r>
      <w:r>
        <w:t xml:space="preserve">All plans and all Coverages in the sample data share a single payor. This keeps insurer out of the set of axes that vary downstream, so every profiling difference the demo shows is attributable to company, plan, level, state, or the individual employee — not to which insurer is involved.</w:t>
      </w:r>
    </w:p>
    <w:bookmarkEnd w:id="22"/>
    <w:bookmarkStart w:id="23" w:name="dramatis-personae"/>
    <w:p>
      <w:pPr>
        <w:pStyle w:val="Heading3"/>
      </w:pPr>
      <w:r>
        <w:t xml:space="preserve">Dramatis personae</w:t>
      </w:r>
    </w:p>
    <w:p>
      <w:pPr>
        <w:pStyle w:val="FirstParagraph"/>
      </w:pPr>
      <w:r>
        <w:t xml:space="preserve">These are the players who populate the database and published documents. Each has a place in the database and a role to play in the scenario. The FHIR column shows where each sits in FHIR 4.0.1.</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Who they are in the scenario</w:t>
            </w:r>
          </w:p>
        </w:tc>
        <w:tc>
          <w:tcPr/>
          <w:p>
            <w:pPr>
              <w:pStyle w:val="Compact"/>
              <w:jc w:val="left"/>
            </w:pPr>
            <w:r>
              <w:t xml:space="preserve">FHIR 4.0.1</w:t>
            </w:r>
          </w:p>
        </w:tc>
        <w:tc>
          <w:tcPr/>
          <w:p>
            <w:pPr>
              <w:pStyle w:val="Compact"/>
              <w:jc w:val="left"/>
            </w:pPr>
            <w:r>
              <w:t xml:space="preserve">Schema home</w:t>
            </w:r>
          </w:p>
        </w:tc>
      </w:tr>
      <w:tr>
        <w:tc>
          <w:tcPr/>
          <w:p>
            <w:pPr>
              <w:pStyle w:val="Compact"/>
              <w:jc w:val="left"/>
            </w:pPr>
            <w:r>
              <w:rPr>
                <w:bCs/>
                <w:b/>
              </w:rPr>
              <w:t xml:space="preserve">Employee</w:t>
            </w:r>
          </w:p>
        </w:tc>
        <w:tc>
          <w:tcPr/>
          <w:p>
            <w:pPr>
              <w:pStyle w:val="Compact"/>
              <w:jc w:val="left"/>
            </w:pPr>
            <w:r>
              <w:t xml:space="preserve">Fills out the enrollment form and receives the Certificate of Coverage. Is both the</w:t>
            </w:r>
            <w:r>
              <w:t xml:space="preserve"> </w:t>
            </w:r>
            <w:r>
              <w:rPr>
                <w:iCs/>
                <w:i/>
              </w:rPr>
              <w:t xml:space="preserve">subscriber</w:t>
            </w:r>
            <w:r>
              <w:t xml:space="preserve"> </w:t>
            </w:r>
            <w:r>
              <w:t xml:space="preserve">(the person the coverage is issued under) and the</w:t>
            </w:r>
            <w:r>
              <w:t xml:space="preserve"> </w:t>
            </w:r>
            <w:r>
              <w:rPr>
                <w:iCs/>
                <w:i/>
              </w:rPr>
              <w:t xml:space="preserve">beneficiary</w:t>
            </w:r>
            <w:r>
              <w:t xml:space="preserve"> </w:t>
            </w:r>
            <w:r>
              <w:t xml:space="preserve">(the person who receives the benefits), with a relationship of "self."</w:t>
            </w:r>
          </w:p>
        </w:tc>
        <w:tc>
          <w:tcPr/>
          <w:p>
            <w:pPr>
              <w:pStyle w:val="Compact"/>
              <w:jc w:val="left"/>
            </w:pPr>
            <w:r>
              <w:rPr>
                <w:rStyle w:val="VerbatimChar"/>
              </w:rPr>
              <w:t xml:space="preserve">Patient</w:t>
            </w:r>
            <w:r>
              <w:t xml:space="preserve">, referenced by</w:t>
            </w:r>
            <w:r>
              <w:t xml:space="preserve"> </w:t>
            </w:r>
            <w:r>
              <w:rPr>
                <w:rStyle w:val="VerbatimChar"/>
              </w:rPr>
              <w:t xml:space="preserve">Coverage.subscriber</w:t>
            </w:r>
            <w:r>
              <w:t xml:space="preserve"> </w:t>
            </w:r>
            <w:r>
              <w:t xml:space="preserve">and</w:t>
            </w:r>
            <w:r>
              <w:t xml:space="preserve"> </w:t>
            </w:r>
            <w:r>
              <w:rPr>
                <w:rStyle w:val="VerbatimChar"/>
              </w:rPr>
              <w:t xml:space="preserve">Coverage.beneficiary</w:t>
            </w:r>
          </w:p>
        </w:tc>
        <w:tc>
          <w:tcPr/>
          <w:p>
            <w:pPr>
              <w:pStyle w:val="Compact"/>
              <w:jc w:val="left"/>
            </w:pPr>
            <w:r>
              <w:rPr>
                <w:rStyle w:val="VerbatimChar"/>
              </w:rPr>
              <w:t xml:space="preserve">patients</w:t>
            </w:r>
          </w:p>
        </w:tc>
      </w:tr>
      <w:tr>
        <w:tc>
          <w:tcPr/>
          <w:p>
            <w:pPr>
              <w:pStyle w:val="Compact"/>
              <w:jc w:val="left"/>
            </w:pPr>
            <w:r>
              <w:rPr>
                <w:bCs/>
                <w:b/>
              </w:rPr>
              <w:t xml:space="preserve">Company</w:t>
            </w:r>
          </w:p>
        </w:tc>
        <w:tc>
          <w:tcPr/>
          <w:p>
            <w:pPr>
              <w:pStyle w:val="Compact"/>
              <w:jc w:val="left"/>
            </w:pPr>
            <w:r>
              <w:t xml:space="preserve">The employer. The</w:t>
            </w:r>
            <w:r>
              <w:t xml:space="preserve"> </w:t>
            </w:r>
            <w:r>
              <w:rPr>
                <w:iCs/>
                <w:i/>
              </w:rPr>
              <w:t xml:space="preserve">policyholder</w:t>
            </w:r>
            <w:r>
              <w:t xml:space="preserve"> </w:t>
            </w:r>
            <w:r>
              <w:t xml:space="preserve">of the group policy, the owner of the contract, and the organization offering the group plan to its employees.</w:t>
            </w:r>
          </w:p>
        </w:tc>
        <w:tc>
          <w:tcPr/>
          <w:p>
            <w:pPr>
              <w:pStyle w:val="Compact"/>
              <w:jc w:val="left"/>
            </w:pPr>
            <w:r>
              <w:rPr>
                <w:rStyle w:val="VerbatimChar"/>
              </w:rPr>
              <w:t xml:space="preserve">Organization</w:t>
            </w:r>
            <w:r>
              <w:t xml:space="preserve">, referenced by</w:t>
            </w:r>
            <w:r>
              <w:t xml:space="preserve"> </w:t>
            </w:r>
            <w:r>
              <w:rPr>
                <w:rStyle w:val="VerbatimChar"/>
              </w:rPr>
              <w:t xml:space="preserve">Coverage.policyHolder</w:t>
            </w:r>
          </w:p>
        </w:tc>
        <w:tc>
          <w:tcPr/>
          <w:p>
            <w:pPr>
              <w:pStyle w:val="Compact"/>
              <w:jc w:val="left"/>
            </w:pPr>
            <w:r>
              <w:rPr>
                <w:rStyle w:val="VerbatimChar"/>
              </w:rPr>
              <w:t xml:space="preserve">organizations</w:t>
            </w:r>
            <w:r>
              <w:t xml:space="preserve"> </w:t>
            </w:r>
            <w:r>
              <w:t xml:space="preserve">(</w:t>
            </w:r>
            <w:r>
              <w:rPr>
                <w:rStyle w:val="VerbatimChar"/>
              </w:rPr>
              <w:t xml:space="preserve">org_type = 'employer'</w:t>
            </w:r>
            <w:r>
              <w:t xml:space="preserve">)</w:t>
            </w:r>
          </w:p>
        </w:tc>
      </w:tr>
      <w:tr>
        <w:tc>
          <w:tcPr/>
          <w:p>
            <w:pPr>
              <w:pStyle w:val="Compact"/>
              <w:jc w:val="left"/>
            </w:pPr>
            <w:r>
              <w:rPr>
                <w:bCs/>
                <w:b/>
              </w:rPr>
              <w:t xml:space="preserve">Insurer</w:t>
            </w:r>
          </w:p>
        </w:tc>
        <w:tc>
          <w:tcPr/>
          <w:p>
            <w:pPr>
              <w:pStyle w:val="Compact"/>
              <w:jc w:val="left"/>
            </w:pPr>
            <w:r>
              <w:t xml:space="preserve">The carrier. Issues the policy, bears the risk, and pays claims. The</w:t>
            </w:r>
            <w:r>
              <w:t xml:space="preserve"> </w:t>
            </w:r>
            <w:r>
              <w:rPr>
                <w:iCs/>
                <w:i/>
              </w:rPr>
              <w:t xml:space="preserve">payor</w:t>
            </w:r>
            <w:r>
              <w:t xml:space="preserve"> </w:t>
            </w:r>
            <w:r>
              <w:t xml:space="preserve">on each Coverage and the owner of each Plan.</w:t>
            </w:r>
          </w:p>
        </w:tc>
        <w:tc>
          <w:tcPr/>
          <w:p>
            <w:pPr>
              <w:pStyle w:val="Compact"/>
              <w:jc w:val="left"/>
            </w:pPr>
            <w:r>
              <w:rPr>
                <w:rStyle w:val="VerbatimChar"/>
              </w:rPr>
              <w:t xml:space="preserve">Organization</w:t>
            </w:r>
            <w:r>
              <w:t xml:space="preserve">, referenced by</w:t>
            </w:r>
            <w:r>
              <w:t xml:space="preserve"> </w:t>
            </w:r>
            <w:r>
              <w:rPr>
                <w:rStyle w:val="VerbatimChar"/>
              </w:rPr>
              <w:t xml:space="preserve">Coverage.payor</w:t>
            </w:r>
            <w:r>
              <w:t xml:space="preserve"> </w:t>
            </w:r>
            <w:r>
              <w:t xml:space="preserve">and</w:t>
            </w:r>
            <w:r>
              <w:t xml:space="preserve"> </w:t>
            </w:r>
            <w:r>
              <w:rPr>
                <w:rStyle w:val="VerbatimChar"/>
              </w:rPr>
              <w:t xml:space="preserve">InsurancePlan.ownedBy</w:t>
            </w:r>
          </w:p>
        </w:tc>
        <w:tc>
          <w:tcPr/>
          <w:p>
            <w:pPr>
              <w:pStyle w:val="Compact"/>
              <w:jc w:val="left"/>
            </w:pPr>
            <w:r>
              <w:rPr>
                <w:rStyle w:val="VerbatimChar"/>
              </w:rPr>
              <w:t xml:space="preserve">organizations</w:t>
            </w:r>
            <w:r>
              <w:t xml:space="preserve"> </w:t>
            </w:r>
            <w:r>
              <w:t xml:space="preserve">(</w:t>
            </w:r>
            <w:r>
              <w:rPr>
                <w:rStyle w:val="VerbatimChar"/>
              </w:rPr>
              <w:t xml:space="preserve">org_type = 'insurer'</w:t>
            </w:r>
            <w:r>
              <w:t xml:space="preserve">)</w:t>
            </w:r>
          </w:p>
        </w:tc>
      </w:tr>
      <w:tr>
        <w:tc>
          <w:tcPr/>
          <w:p>
            <w:pPr>
              <w:pStyle w:val="Compact"/>
              <w:jc w:val="left"/>
            </w:pPr>
            <w:r>
              <w:rPr>
                <w:bCs/>
                <w:b/>
              </w:rPr>
              <w:t xml:space="preserve">Plan</w:t>
            </w:r>
          </w:p>
        </w:tc>
        <w:tc>
          <w:tcPr/>
          <w:p>
            <w:pPr>
              <w:pStyle w:val="Compact"/>
              <w:jc w:val="left"/>
            </w:pPr>
            <w:r>
              <w:t xml:space="preserve">The insurance product the Insurer offers, identified by its HIOS Plan ID and carrying a level of coverage. A thing rather than a person, but it drives the profiling, so it earns a place in the cast.</w:t>
            </w:r>
          </w:p>
        </w:tc>
        <w:tc>
          <w:tcPr/>
          <w:p>
            <w:pPr>
              <w:pStyle w:val="Compact"/>
              <w:jc w:val="left"/>
            </w:pPr>
            <w:r>
              <w:rPr>
                <w:rStyle w:val="VerbatimChar"/>
              </w:rPr>
              <w:t xml:space="preserve">InsurancePlan</w:t>
            </w:r>
          </w:p>
        </w:tc>
        <w:tc>
          <w:tcPr/>
          <w:p>
            <w:pPr>
              <w:pStyle w:val="Compact"/>
              <w:jc w:val="left"/>
            </w:pPr>
            <w:r>
              <w:rPr>
                <w:rStyle w:val="VerbatimChar"/>
              </w:rPr>
              <w:t xml:space="preserve">insurance_plans</w:t>
            </w:r>
          </w:p>
        </w:tc>
      </w:tr>
      <w:tr>
        <w:tc>
          <w:tcPr/>
          <w:p>
            <w:pPr>
              <w:pStyle w:val="Compact"/>
              <w:jc w:val="left"/>
            </w:pPr>
            <w:r>
              <w:rPr>
                <w:bCs/>
                <w:b/>
              </w:rPr>
              <w:t xml:space="preserve">Benefits administrator</w:t>
            </w:r>
            <w:r>
              <w:t xml:space="preserve"> </w:t>
            </w:r>
            <w:r>
              <w:rPr>
                <w:iCs/>
                <w:i/>
              </w:rPr>
              <w:t xml:space="preserve">(off-stage)</w:t>
            </w:r>
          </w:p>
        </w:tc>
        <w:tc>
          <w:tcPr/>
          <w:p>
            <w:pPr>
              <w:pStyle w:val="Compact"/>
              <w:jc w:val="left"/>
            </w:pPr>
            <w:r>
              <w:t xml:space="preserve">The HR person who receives the enrollment form and matches it to the correct existing plan. Implied by the process; never represented in data or in the CoC.</w:t>
            </w:r>
          </w:p>
        </w:tc>
        <w:tc>
          <w:tcPr/>
          <w:p>
            <w:pPr>
              <w:pStyle w:val="Compact"/>
              <w:jc w:val="left"/>
            </w:pPr>
            <w:r>
              <w:t xml:space="preserve">none</w:t>
            </w:r>
          </w:p>
        </w:tc>
        <w:tc>
          <w:tcPr/>
          <w:p>
            <w:pPr>
              <w:pStyle w:val="Compact"/>
              <w:jc w:val="left"/>
            </w:pPr>
            <w:r>
              <w:t xml:space="preserve">none</w:t>
            </w:r>
          </w:p>
        </w:tc>
      </w:tr>
    </w:tbl>
    <w:p>
      <w:pPr>
        <w:pStyle w:val="BodyText"/>
      </w:pPr>
      <w:r>
        <w:rPr>
          <w:bCs/>
          <w:b/>
        </w:rPr>
        <w:t xml:space="preserve">Removed from the cast:</w:t>
      </w:r>
      <w:r>
        <w:t xml:space="preserve"> </w:t>
      </w:r>
      <w:r>
        <w:t xml:space="preserve">Providers (doctors, hospitals, service providers). Nothing in the enrollment-to-CoC pipeline touches them. They can be restored if a later scenario needs them.</w:t>
      </w:r>
    </w:p>
    <w:p>
      <w:pPr>
        <w:pStyle w:val="BodyText"/>
      </w:pPr>
      <w:r>
        <w:rPr>
          <w:bCs/>
          <w:b/>
        </w:rPr>
        <w:t xml:space="preserve">Reduced in v4:</w:t>
      </w:r>
      <w:r>
        <w:t xml:space="preserve"> </w:t>
      </w:r>
      <w:r>
        <w:t xml:space="preserve">A second insurer (Tessaly Mutual). All Texas plans and coverages that were previously issued by Tessaly are now issued by Alderwood Health Plans, licensed in all three states. See "The cast in the fictive world" below.</w:t>
      </w:r>
    </w:p>
    <w:bookmarkEnd w:id="23"/>
    <w:bookmarkStart w:id="24" w:name="glossary"/>
    <w:p>
      <w:pPr>
        <w:pStyle w:val="Heading3"/>
      </w:pPr>
      <w:r>
        <w:t xml:space="preserve">Glossary</w:t>
      </w:r>
    </w:p>
    <w:p>
      <w:pPr>
        <w:pStyle w:val="FirstParagraph"/>
      </w:pPr>
      <w:r>
        <w:t xml:space="preserve">One term per concept. Use these terms consistently in the bible, the schema, the JSON, and the DITA.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Meaning in this scenario</w:t>
            </w:r>
          </w:p>
        </w:tc>
      </w:tr>
      <w:tr>
        <w:tc>
          <w:tcPr/>
          <w:p>
            <w:pPr>
              <w:pStyle w:val="Compact"/>
              <w:jc w:val="left"/>
            </w:pPr>
            <w:r>
              <w:rPr>
                <w:bCs/>
                <w:b/>
              </w:rPr>
              <w:t xml:space="preserve">Subscriber</w:t>
            </w:r>
          </w:p>
        </w:tc>
        <w:tc>
          <w:tcPr/>
          <w:p>
            <w:pPr>
              <w:pStyle w:val="Compact"/>
              <w:jc w:val="left"/>
            </w:pPr>
            <w:r>
              <w:t xml:space="preserve">The person the coverage is issued under: the employee (</w:t>
            </w:r>
            <w:r>
              <w:rPr>
                <w:rStyle w:val="VerbatimChar"/>
              </w:rPr>
              <w:t xml:space="preserve">Coverage.subscriber</w:t>
            </w:r>
            <w:r>
              <w:t xml:space="preserve">).</w:t>
            </w:r>
          </w:p>
        </w:tc>
      </w:tr>
      <w:tr>
        <w:tc>
          <w:tcPr/>
          <w:p>
            <w:pPr>
              <w:pStyle w:val="Compact"/>
              <w:jc w:val="left"/>
            </w:pPr>
            <w:r>
              <w:rPr>
                <w:bCs/>
                <w:b/>
              </w:rPr>
              <w:t xml:space="preserve">Beneficiary</w:t>
            </w:r>
          </w:p>
        </w:tc>
        <w:tc>
          <w:tcPr/>
          <w:p>
            <w:pPr>
              <w:pStyle w:val="Compact"/>
              <w:jc w:val="left"/>
            </w:pPr>
            <w:r>
              <w:t xml:space="preserve">The person who receives the benefits: the employee (</w:t>
            </w:r>
            <w:r>
              <w:rPr>
                <w:rStyle w:val="VerbatimChar"/>
              </w:rPr>
              <w:t xml:space="preserve">Coverage.beneficiary</w:t>
            </w:r>
            <w:r>
              <w:t xml:space="preserve">). Because there are no dependents, subscriber and beneficiary are the same person, with a relationship of "self."</w:t>
            </w:r>
          </w:p>
        </w:tc>
      </w:tr>
      <w:tr>
        <w:tc>
          <w:tcPr/>
          <w:p>
            <w:pPr>
              <w:pStyle w:val="Compact"/>
              <w:jc w:val="left"/>
            </w:pPr>
            <w:r>
              <w:rPr>
                <w:bCs/>
                <w:b/>
              </w:rPr>
              <w:t xml:space="preserve">Policyholder</w:t>
            </w:r>
          </w:p>
        </w:tc>
        <w:tc>
          <w:tcPr/>
          <w:p>
            <w:pPr>
              <w:pStyle w:val="Compact"/>
              <w:jc w:val="left"/>
            </w:pPr>
            <w:r>
              <w:t xml:space="preserve">The owner of the group policy: the Company (</w:t>
            </w:r>
            <w:r>
              <w:rPr>
                <w:rStyle w:val="VerbatimChar"/>
              </w:rPr>
              <w:t xml:space="preserve">Coverage.policyHolder</w:t>
            </w:r>
            <w:r>
              <w:t xml:space="preserve">). Not the employee.</w:t>
            </w:r>
          </w:p>
        </w:tc>
      </w:tr>
      <w:tr>
        <w:tc>
          <w:tcPr/>
          <w:p>
            <w:pPr>
              <w:pStyle w:val="Compact"/>
              <w:jc w:val="left"/>
            </w:pPr>
            <w:r>
              <w:rPr>
                <w:bCs/>
                <w:b/>
              </w:rPr>
              <w:t xml:space="preserve">Payor</w:t>
            </w:r>
          </w:p>
        </w:tc>
        <w:tc>
          <w:tcPr/>
          <w:p>
            <w:pPr>
              <w:pStyle w:val="Compact"/>
              <w:jc w:val="left"/>
            </w:pPr>
            <w:r>
              <w:t xml:space="preserve">The organization that issues the policy and pays claims: the Insurer (</w:t>
            </w:r>
            <w:r>
              <w:rPr>
                <w:rStyle w:val="VerbatimChar"/>
              </w:rPr>
              <w:t xml:space="preserve">Coverage.payor</w:t>
            </w:r>
            <w:r>
              <w:t xml:space="preserve">). Note that although the Company may contribute to the premium, it is not the payor in FHIR terms.</w:t>
            </w:r>
          </w:p>
        </w:tc>
      </w:tr>
      <w:tr>
        <w:tc>
          <w:tcPr/>
          <w:p>
            <w:pPr>
              <w:pStyle w:val="Compact"/>
              <w:jc w:val="left"/>
            </w:pPr>
            <w:r>
              <w:rPr>
                <w:bCs/>
                <w:b/>
              </w:rPr>
              <w:t xml:space="preserve">Patient</w:t>
            </w:r>
          </w:p>
        </w:tc>
        <w:tc>
          <w:tcPr/>
          <w:p>
            <w:pPr>
              <w:pStyle w:val="Compact"/>
              <w:jc w:val="left"/>
            </w:pPr>
            <w:r>
              <w:t xml:space="preserve">The FHIR resource type used to store the employee. "Patient" is a data-model term only. Documents call this person the employee or the subscriber.</w:t>
            </w:r>
          </w:p>
        </w:tc>
      </w:tr>
      <w:tr>
        <w:tc>
          <w:tcPr/>
          <w:p>
            <w:pPr>
              <w:pStyle w:val="Compact"/>
              <w:jc w:val="left"/>
            </w:pPr>
            <w:r>
              <w:rPr>
                <w:bCs/>
                <w:b/>
              </w:rPr>
              <w:t xml:space="preserve">Plan</w:t>
            </w:r>
          </w:p>
        </w:tc>
        <w:tc>
          <w:tcPr/>
          <w:p>
            <w:pPr>
              <w:pStyle w:val="Compact"/>
              <w:jc w:val="left"/>
            </w:pPr>
            <w:r>
              <w:t xml:space="preserve">An insurance product offered by an Insurer (</w:t>
            </w:r>
            <w:r>
              <w:rPr>
                <w:rStyle w:val="VerbatimChar"/>
              </w:rPr>
              <w:t xml:space="preserve">InsurancePlan</w:t>
            </w:r>
            <w:r>
              <w:t xml:space="preserve">), with a HIOS Plan ID.</w:t>
            </w:r>
          </w:p>
        </w:tc>
      </w:tr>
      <w:tr>
        <w:tc>
          <w:tcPr/>
          <w:p>
            <w:pPr>
              <w:pStyle w:val="Compact"/>
              <w:jc w:val="left"/>
            </w:pPr>
            <w:r>
              <w:rPr>
                <w:bCs/>
                <w:b/>
              </w:rPr>
              <w:t xml:space="preserve">Coverage</w:t>
            </w:r>
          </w:p>
        </w:tc>
        <w:tc>
          <w:tcPr/>
          <w:p>
            <w:pPr>
              <w:pStyle w:val="Compact"/>
              <w:jc w:val="left"/>
            </w:pPr>
            <w:r>
              <w:t xml:space="preserve">An instance of coverage sold to an employee under a Plan: one per coverage category (medical, dental, vision).</w:t>
            </w:r>
          </w:p>
        </w:tc>
      </w:tr>
      <w:tr>
        <w:tc>
          <w:tcPr/>
          <w:p>
            <w:pPr>
              <w:pStyle w:val="Compact"/>
              <w:jc w:val="left"/>
            </w:pPr>
            <w:r>
              <w:rPr>
                <w:bCs/>
                <w:b/>
              </w:rPr>
              <w:t xml:space="preserve">Level of coverage</w:t>
            </w:r>
          </w:p>
        </w:tc>
        <w:tc>
          <w:tcPr/>
          <w:p>
            <w:pPr>
              <w:pStyle w:val="Compact"/>
              <w:jc w:val="left"/>
            </w:pPr>
            <w:r>
              <w:t xml:space="preserve">Gold, Silver, or Bronze.</w:t>
            </w:r>
          </w:p>
        </w:tc>
      </w:tr>
      <w:tr>
        <w:tc>
          <w:tcPr/>
          <w:p>
            <w:pPr>
              <w:pStyle w:val="Compact"/>
              <w:jc w:val="left"/>
            </w:pPr>
            <w:r>
              <w:rPr>
                <w:bCs/>
                <w:b/>
              </w:rPr>
              <w:t xml:space="preserve">Certificate of Coverage (CoC)</w:t>
            </w:r>
          </w:p>
        </w:tc>
        <w:tc>
          <w:tcPr/>
          <w:p>
            <w:pPr>
              <w:pStyle w:val="Compact"/>
              <w:jc w:val="left"/>
            </w:pPr>
            <w:r>
              <w:t xml:space="preserve">The published PDF delivered to the employee.</w:t>
            </w:r>
          </w:p>
        </w:tc>
      </w:tr>
    </w:tbl>
    <w:bookmarkEnd w:id="24"/>
    <w:bookmarkStart w:id="25" w:name="the-cast-in-the-fictive-world"/>
    <w:p>
      <w:pPr>
        <w:pStyle w:val="Heading3"/>
      </w:pPr>
      <w:r>
        <w:t xml:space="preserve">The cast in the fictive world</w:t>
      </w:r>
    </w:p>
    <w:p>
      <w:pPr>
        <w:pStyle w:val="FirstParagraph"/>
      </w:pPr>
      <w:r>
        <w:t xml:space="preserve">Names are fictive placeholders. Check them for collisions with real companies before publishing. HIOS Plan IDs follow the real 14-character format (5-digit issuer ID, 2-letter state code, 3-digit product ID, 4-digit plan variant), but the issuer IDs are invented.</w:t>
      </w:r>
    </w:p>
    <w:p>
      <w:pPr>
        <w:pStyle w:val="BodyText"/>
      </w:pPr>
      <w:r>
        <w:rPr>
          <w:bCs/>
          <w:b/>
        </w:rPr>
        <w:t xml:space="preserve">Insurer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Insurer</w:t>
            </w:r>
          </w:p>
        </w:tc>
        <w:tc>
          <w:tcPr/>
          <w:p>
            <w:pPr>
              <w:pStyle w:val="Compact"/>
              <w:jc w:val="left"/>
            </w:pPr>
            <w:r>
              <w:t xml:space="preserve">HIOS issuer ID</w:t>
            </w:r>
          </w:p>
        </w:tc>
        <w:tc>
          <w:tcPr/>
          <w:p>
            <w:pPr>
              <w:pStyle w:val="Compact"/>
              <w:jc w:val="left"/>
            </w:pPr>
            <w:r>
              <w:t xml:space="preserve">Licensed in</w:t>
            </w:r>
          </w:p>
        </w:tc>
      </w:tr>
      <w:tr>
        <w:tc>
          <w:tcPr/>
          <w:p>
            <w:pPr>
              <w:pStyle w:val="Compact"/>
              <w:jc w:val="left"/>
            </w:pPr>
            <w:r>
              <w:t xml:space="preserve">Alderwood Health Plans</w:t>
            </w:r>
          </w:p>
        </w:tc>
        <w:tc>
          <w:tcPr/>
          <w:p>
            <w:pPr>
              <w:pStyle w:val="Compact"/>
              <w:jc w:val="left"/>
            </w:pPr>
            <w:r>
              <w:t xml:space="preserve">99101</w:t>
            </w:r>
          </w:p>
        </w:tc>
        <w:tc>
          <w:tcPr/>
          <w:p>
            <w:pPr>
              <w:pStyle w:val="Compact"/>
              <w:jc w:val="left"/>
            </w:pPr>
            <w:r>
              <w:t xml:space="preserve">NY, FL, TX</w:t>
            </w:r>
          </w:p>
        </w:tc>
      </w:tr>
    </w:tbl>
    <w:p>
      <w:pPr>
        <w:pStyle w:val="BodyText"/>
      </w:pPr>
      <w:r>
        <w:rPr>
          <w:iCs/>
          <w:i/>
        </w:rPr>
        <w:t xml:space="preserve">(v3 had a second insurer, Tessaly Mutual, licensed in TX only. Removed in v4 — see axiom 8.)</w:t>
      </w:r>
    </w:p>
    <w:p>
      <w:pPr>
        <w:pStyle w:val="BodyText"/>
      </w:pPr>
      <w:r>
        <w:rPr>
          <w:bCs/>
          <w:b/>
        </w:rPr>
        <w:t xml:space="preserve">Companies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Company</w:t>
            </w:r>
          </w:p>
        </w:tc>
        <w:tc>
          <w:tcPr/>
          <w:p>
            <w:pPr>
              <w:pStyle w:val="Compact"/>
              <w:jc w:val="left"/>
            </w:pPr>
            <w:r>
              <w:t xml:space="preserve">State</w:t>
            </w:r>
          </w:p>
        </w:tc>
        <w:tc>
          <w:tcPr/>
          <w:p>
            <w:pPr>
              <w:pStyle w:val="Compact"/>
              <w:jc w:val="left"/>
            </w:pPr>
            <w:r>
              <w:t xml:space="preserve">Insurer</w:t>
            </w:r>
          </w:p>
        </w:tc>
        <w:tc>
          <w:tcPr/>
          <w:p>
            <w:pPr>
              <w:pStyle w:val="Compact"/>
              <w:jc w:val="left"/>
            </w:pPr>
            <w:r>
              <w:t xml:space="preserve">Notes</w:t>
            </w:r>
          </w:p>
        </w:tc>
      </w:tr>
      <w:tr>
        <w:tc>
          <w:tcPr/>
          <w:p>
            <w:pPr>
              <w:pStyle w:val="Compact"/>
              <w:jc w:val="left"/>
            </w:pPr>
            <w:r>
              <w:t xml:space="preserve">Harbor &amp; Finch Design Studio</w:t>
            </w:r>
          </w:p>
        </w:tc>
        <w:tc>
          <w:tcPr/>
          <w:p>
            <w:pPr>
              <w:pStyle w:val="Compact"/>
              <w:jc w:val="left"/>
            </w:pPr>
            <w:r>
              <w:t xml:space="preserve">NY</w:t>
            </w:r>
          </w:p>
        </w:tc>
        <w:tc>
          <w:tcPr/>
          <w:p>
            <w:pPr>
              <w:pStyle w:val="Compact"/>
              <w:jc w:val="left"/>
            </w:pPr>
            <w:r>
              <w:t xml:space="preserve">Alderwood Health Plans</w:t>
            </w:r>
          </w:p>
        </w:tc>
        <w:tc>
          <w:tcPr/>
          <w:p>
            <w:pPr>
              <w:pStyle w:val="Compact"/>
              <w:jc w:val="left"/>
            </w:pPr>
            <w:r>
              <w:t xml:space="preserve">Small design firm</w:t>
            </w:r>
          </w:p>
        </w:tc>
      </w:tr>
      <w:tr>
        <w:tc>
          <w:tcPr/>
          <w:p>
            <w:pPr>
              <w:pStyle w:val="Compact"/>
              <w:jc w:val="left"/>
            </w:pPr>
            <w:r>
              <w:t xml:space="preserve">Gulfline Marine Supply</w:t>
            </w:r>
          </w:p>
        </w:tc>
        <w:tc>
          <w:tcPr/>
          <w:p>
            <w:pPr>
              <w:pStyle w:val="Compact"/>
              <w:jc w:val="left"/>
            </w:pPr>
            <w:r>
              <w:t xml:space="preserve">FL</w:t>
            </w:r>
          </w:p>
        </w:tc>
        <w:tc>
          <w:tcPr/>
          <w:p>
            <w:pPr>
              <w:pStyle w:val="Compact"/>
              <w:jc w:val="left"/>
            </w:pPr>
            <w:r>
              <w:t xml:space="preserve">Alderwood Health Plans</w:t>
            </w:r>
          </w:p>
        </w:tc>
        <w:tc>
          <w:tcPr/>
          <w:p>
            <w:pPr>
              <w:pStyle w:val="Compact"/>
              <w:jc w:val="left"/>
            </w:pPr>
            <w:r>
              <w:t xml:space="preserve">Regional distributor</w:t>
            </w:r>
          </w:p>
        </w:tc>
      </w:tr>
      <w:tr>
        <w:tc>
          <w:tcPr/>
          <w:p>
            <w:pPr>
              <w:pStyle w:val="Compact"/>
              <w:jc w:val="left"/>
            </w:pPr>
            <w:r>
              <w:t xml:space="preserve">Lone Pine Logistics</w:t>
            </w:r>
          </w:p>
        </w:tc>
        <w:tc>
          <w:tcPr/>
          <w:p>
            <w:pPr>
              <w:pStyle w:val="Compact"/>
              <w:jc w:val="left"/>
            </w:pPr>
            <w:r>
              <w:t xml:space="preserve">TX</w:t>
            </w:r>
          </w:p>
        </w:tc>
        <w:tc>
          <w:tcPr/>
          <w:p>
            <w:pPr>
              <w:pStyle w:val="Compact"/>
              <w:jc w:val="left"/>
            </w:pPr>
            <w:r>
              <w:t xml:space="preserve">Alderwood Health Plans</w:t>
            </w:r>
          </w:p>
        </w:tc>
        <w:tc>
          <w:tcPr/>
          <w:p>
            <w:pPr>
              <w:pStyle w:val="Compact"/>
              <w:jc w:val="left"/>
            </w:pPr>
            <w:r>
              <w:t xml:space="preserve">Freight and warehousing — insurer changed from Tessaly Mutual in v4.</w:t>
            </w:r>
            <w:r>
              <w:t xml:space="preserve"> </w:t>
            </w:r>
            <w:r>
              <w:rPr>
                <w:bCs/>
                <w:b/>
              </w:rPr>
              <w:t xml:space="preserve">Superseded 2026-09-26: renamed Whitfield Dynamics, split into TX/FL offices — see note at top of document.</w:t>
            </w:r>
          </w:p>
        </w:tc>
      </w:tr>
    </w:tbl>
    <w:p>
      <w:pPr>
        <w:pStyle w:val="BodyText"/>
      </w:pPr>
      <w:r>
        <w:rPr>
          <w:bCs/>
          <w:b/>
        </w:rPr>
        <w:t xml:space="preserve">Plans</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HIOS Plan ID</w:t>
            </w:r>
          </w:p>
        </w:tc>
        <w:tc>
          <w:tcPr/>
          <w:p>
            <w:pPr>
              <w:pStyle w:val="Compact"/>
              <w:jc w:val="left"/>
            </w:pPr>
            <w:r>
              <w:t xml:space="preserve">Plan name</w:t>
            </w:r>
          </w:p>
        </w:tc>
        <w:tc>
          <w:tcPr/>
          <w:p>
            <w:pPr>
              <w:pStyle w:val="Compact"/>
              <w:jc w:val="left"/>
            </w:pPr>
            <w:r>
              <w:t xml:space="preserve">Insurer</w:t>
            </w:r>
          </w:p>
        </w:tc>
        <w:tc>
          <w:tcPr/>
          <w:p>
            <w:pPr>
              <w:pStyle w:val="Compact"/>
              <w:jc w:val="left"/>
            </w:pPr>
            <w:r>
              <w:t xml:space="preserve">State</w:t>
            </w:r>
          </w:p>
        </w:tc>
        <w:tc>
          <w:tcPr/>
          <w:p>
            <w:pPr>
              <w:pStyle w:val="Compact"/>
              <w:jc w:val="left"/>
            </w:pPr>
            <w:r>
              <w:t xml:space="preserve">Plan type</w:t>
            </w:r>
          </w:p>
        </w:tc>
        <w:tc>
          <w:tcPr/>
          <w:p>
            <w:pPr>
              <w:pStyle w:val="Compact"/>
              <w:jc w:val="left"/>
            </w:pPr>
            <w:r>
              <w:t xml:space="preserve">Level</w:t>
            </w:r>
          </w:p>
        </w:tc>
        <w:tc>
          <w:tcPr/>
          <w:p>
            <w:pPr>
              <w:pStyle w:val="Compact"/>
              <w:jc w:val="left"/>
            </w:pPr>
            <w:r>
              <w:t xml:space="preserve">Plan year</w:t>
            </w:r>
          </w:p>
        </w:tc>
      </w:tr>
      <w:tr>
        <w:tc>
          <w:tcPr/>
          <w:p>
            <w:pPr>
              <w:pStyle w:val="Compact"/>
              <w:jc w:val="left"/>
            </w:pPr>
            <w:r>
              <w:t xml:space="preserve">99101NY0010001</w:t>
            </w:r>
          </w:p>
        </w:tc>
        <w:tc>
          <w:tcPr/>
          <w:p>
            <w:pPr>
              <w:pStyle w:val="Compact"/>
              <w:jc w:val="left"/>
            </w:pPr>
            <w:r>
              <w:t xml:space="preserve">Alderwood Harborline PPO Gold</w:t>
            </w:r>
          </w:p>
        </w:tc>
        <w:tc>
          <w:tcPr/>
          <w:p>
            <w:pPr>
              <w:pStyle w:val="Compact"/>
              <w:jc w:val="left"/>
            </w:pPr>
            <w:r>
              <w:t xml:space="preserve">Alderwood</w:t>
            </w:r>
          </w:p>
        </w:tc>
        <w:tc>
          <w:tcPr/>
          <w:p>
            <w:pPr>
              <w:pStyle w:val="Compact"/>
              <w:jc w:val="left"/>
            </w:pPr>
            <w:r>
              <w:t xml:space="preserve">NY</w:t>
            </w:r>
          </w:p>
        </w:tc>
        <w:tc>
          <w:tcPr/>
          <w:p>
            <w:pPr>
              <w:pStyle w:val="Compact"/>
              <w:jc w:val="left"/>
            </w:pPr>
            <w:r>
              <w:t xml:space="preserve">PPO</w:t>
            </w:r>
          </w:p>
        </w:tc>
        <w:tc>
          <w:tcPr/>
          <w:p>
            <w:pPr>
              <w:pStyle w:val="Compact"/>
              <w:jc w:val="left"/>
            </w:pPr>
            <w:r>
              <w:t xml:space="preserve">Gold</w:t>
            </w:r>
          </w:p>
        </w:tc>
        <w:tc>
          <w:tcPr/>
          <w:p>
            <w:pPr>
              <w:pStyle w:val="Compact"/>
              <w:jc w:val="left"/>
            </w:pPr>
            <w:r>
              <w:t xml:space="preserve">2026</w:t>
            </w:r>
          </w:p>
        </w:tc>
      </w:tr>
      <w:tr>
        <w:tc>
          <w:tcPr/>
          <w:p>
            <w:pPr>
              <w:pStyle w:val="Compact"/>
              <w:jc w:val="left"/>
            </w:pPr>
            <w:r>
              <w:t xml:space="preserve">99101NY0010002</w:t>
            </w:r>
          </w:p>
        </w:tc>
        <w:tc>
          <w:tcPr/>
          <w:p>
            <w:pPr>
              <w:pStyle w:val="Compact"/>
              <w:jc w:val="left"/>
            </w:pPr>
            <w:r>
              <w:t xml:space="preserve">Alderwood Harborline PPO Silver</w:t>
            </w:r>
          </w:p>
        </w:tc>
        <w:tc>
          <w:tcPr/>
          <w:p>
            <w:pPr>
              <w:pStyle w:val="Compact"/>
              <w:jc w:val="left"/>
            </w:pPr>
            <w:r>
              <w:t xml:space="preserve">Alderwood</w:t>
            </w:r>
          </w:p>
        </w:tc>
        <w:tc>
          <w:tcPr/>
          <w:p>
            <w:pPr>
              <w:pStyle w:val="Compact"/>
              <w:jc w:val="left"/>
            </w:pPr>
            <w:r>
              <w:t xml:space="preserve">NY</w:t>
            </w:r>
          </w:p>
        </w:tc>
        <w:tc>
          <w:tcPr/>
          <w:p>
            <w:pPr>
              <w:pStyle w:val="Compact"/>
              <w:jc w:val="left"/>
            </w:pPr>
            <w:r>
              <w:t xml:space="preserve">PPO</w:t>
            </w:r>
          </w:p>
        </w:tc>
        <w:tc>
          <w:tcPr/>
          <w:p>
            <w:pPr>
              <w:pStyle w:val="Compact"/>
              <w:jc w:val="left"/>
            </w:pPr>
            <w:r>
              <w:t xml:space="preserve">Silver</w:t>
            </w:r>
          </w:p>
        </w:tc>
        <w:tc>
          <w:tcPr/>
          <w:p>
            <w:pPr>
              <w:pStyle w:val="Compact"/>
              <w:jc w:val="left"/>
            </w:pPr>
            <w:r>
              <w:t xml:space="preserve">2026</w:t>
            </w:r>
          </w:p>
        </w:tc>
      </w:tr>
      <w:tr>
        <w:tc>
          <w:tcPr/>
          <w:p>
            <w:pPr>
              <w:pStyle w:val="Compact"/>
              <w:jc w:val="left"/>
            </w:pPr>
            <w:r>
              <w:t xml:space="preserve">99101FL0020001</w:t>
            </w:r>
          </w:p>
        </w:tc>
        <w:tc>
          <w:tcPr/>
          <w:p>
            <w:pPr>
              <w:pStyle w:val="Compact"/>
              <w:jc w:val="left"/>
            </w:pPr>
            <w:r>
              <w:t xml:space="preserve">Alderwood Coastal HMO Gold</w:t>
            </w:r>
          </w:p>
        </w:tc>
        <w:tc>
          <w:tcPr/>
          <w:p>
            <w:pPr>
              <w:pStyle w:val="Compact"/>
              <w:jc w:val="left"/>
            </w:pPr>
            <w:r>
              <w:t xml:space="preserve">Alderwood</w:t>
            </w:r>
          </w:p>
        </w:tc>
        <w:tc>
          <w:tcPr/>
          <w:p>
            <w:pPr>
              <w:pStyle w:val="Compact"/>
              <w:jc w:val="left"/>
            </w:pPr>
            <w:r>
              <w:t xml:space="preserve">FL</w:t>
            </w:r>
          </w:p>
        </w:tc>
        <w:tc>
          <w:tcPr/>
          <w:p>
            <w:pPr>
              <w:pStyle w:val="Compact"/>
              <w:jc w:val="left"/>
            </w:pPr>
            <w:r>
              <w:t xml:space="preserve">HMO</w:t>
            </w:r>
          </w:p>
        </w:tc>
        <w:tc>
          <w:tcPr/>
          <w:p>
            <w:pPr>
              <w:pStyle w:val="Compact"/>
              <w:jc w:val="left"/>
            </w:pPr>
            <w:r>
              <w:t xml:space="preserve">Gold</w:t>
            </w:r>
          </w:p>
        </w:tc>
        <w:tc>
          <w:tcPr/>
          <w:p>
            <w:pPr>
              <w:pStyle w:val="Compact"/>
              <w:jc w:val="left"/>
            </w:pPr>
            <w:r>
              <w:t xml:space="preserve">2026</w:t>
            </w:r>
          </w:p>
        </w:tc>
      </w:tr>
      <w:tr>
        <w:tc>
          <w:tcPr/>
          <w:p>
            <w:pPr>
              <w:pStyle w:val="Compact"/>
              <w:jc w:val="left"/>
            </w:pPr>
            <w:r>
              <w:t xml:space="preserve">99101FL0020002</w:t>
            </w:r>
          </w:p>
        </w:tc>
        <w:tc>
          <w:tcPr/>
          <w:p>
            <w:pPr>
              <w:pStyle w:val="Compact"/>
              <w:jc w:val="left"/>
            </w:pPr>
            <w:r>
              <w:t xml:space="preserve">Alderwood Coastal HMO Bronze</w:t>
            </w:r>
          </w:p>
        </w:tc>
        <w:tc>
          <w:tcPr/>
          <w:p>
            <w:pPr>
              <w:pStyle w:val="Compact"/>
              <w:jc w:val="left"/>
            </w:pPr>
            <w:r>
              <w:t xml:space="preserve">Alderwood</w:t>
            </w:r>
          </w:p>
        </w:tc>
        <w:tc>
          <w:tcPr/>
          <w:p>
            <w:pPr>
              <w:pStyle w:val="Compact"/>
              <w:jc w:val="left"/>
            </w:pPr>
            <w:r>
              <w:t xml:space="preserve">FL</w:t>
            </w:r>
          </w:p>
        </w:tc>
        <w:tc>
          <w:tcPr/>
          <w:p>
            <w:pPr>
              <w:pStyle w:val="Compact"/>
              <w:jc w:val="left"/>
            </w:pPr>
            <w:r>
              <w:t xml:space="preserve">HMO</w:t>
            </w:r>
          </w:p>
        </w:tc>
        <w:tc>
          <w:tcPr/>
          <w:p>
            <w:pPr>
              <w:pStyle w:val="Compact"/>
              <w:jc w:val="left"/>
            </w:pPr>
            <w:r>
              <w:t xml:space="preserve">Bronze</w:t>
            </w:r>
          </w:p>
        </w:tc>
        <w:tc>
          <w:tcPr/>
          <w:p>
            <w:pPr>
              <w:pStyle w:val="Compact"/>
              <w:jc w:val="left"/>
            </w:pPr>
            <w:r>
              <w:t xml:space="preserve">2026</w:t>
            </w:r>
          </w:p>
        </w:tc>
      </w:tr>
      <w:tr>
        <w:tc>
          <w:tcPr/>
          <w:p>
            <w:pPr>
              <w:pStyle w:val="Compact"/>
              <w:jc w:val="left"/>
            </w:pPr>
            <w:r>
              <w:rPr>
                <w:strike/>
              </w:rPr>
              <w:t xml:space="preserve">99101TX0030001</w:t>
            </w:r>
          </w:p>
        </w:tc>
        <w:tc>
          <w:tcPr/>
          <w:p>
            <w:pPr>
              <w:pStyle w:val="Compact"/>
              <w:jc w:val="left"/>
            </w:pPr>
            <w:r>
              <w:rPr>
                <w:strike/>
              </w:rPr>
              <w:t xml:space="preserve">Alderwood Prairie PPO Gold</w:t>
            </w:r>
          </w:p>
        </w:tc>
        <w:tc>
          <w:tcPr/>
          <w:p>
            <w:pPr>
              <w:pStyle w:val="Compact"/>
              <w:jc w:val="left"/>
            </w:pPr>
            <w:r>
              <w:t xml:space="preserve">Alderwood</w:t>
            </w:r>
          </w:p>
        </w:tc>
        <w:tc>
          <w:tcPr/>
          <w:p>
            <w:pPr>
              <w:pStyle w:val="Compact"/>
              <w:jc w:val="left"/>
            </w:pPr>
            <w:r>
              <w:t xml:space="preserve">TX</w:t>
            </w:r>
          </w:p>
        </w:tc>
        <w:tc>
          <w:tcPr/>
          <w:p>
            <w:pPr>
              <w:pStyle w:val="Compact"/>
              <w:jc w:val="left"/>
            </w:pPr>
            <w:r>
              <w:t xml:space="preserve">PPO</w:t>
            </w:r>
          </w:p>
        </w:tc>
        <w:tc>
          <w:tcPr/>
          <w:p>
            <w:pPr>
              <w:pStyle w:val="Compact"/>
              <w:jc w:val="left"/>
            </w:pPr>
            <w:r>
              <w:t xml:space="preserve">Gold</w:t>
            </w:r>
          </w:p>
        </w:tc>
        <w:tc>
          <w:tcPr/>
          <w:p>
            <w:pPr>
              <w:pStyle w:val="Compact"/>
              <w:jc w:val="left"/>
            </w:pPr>
            <w:r>
              <w:t xml:space="preserve">2026</w:t>
            </w:r>
          </w:p>
        </w:tc>
      </w:tr>
      <w:tr>
        <w:tc>
          <w:tcPr/>
          <w:p>
            <w:pPr>
              <w:pStyle w:val="Compact"/>
              <w:jc w:val="left"/>
            </w:pPr>
            <w:r>
              <w:rPr>
                <w:strike/>
              </w:rPr>
              <w:t xml:space="preserve">99101TX0030002</w:t>
            </w:r>
          </w:p>
        </w:tc>
        <w:tc>
          <w:tcPr/>
          <w:p>
            <w:pPr>
              <w:pStyle w:val="Compact"/>
              <w:jc w:val="left"/>
            </w:pPr>
            <w:r>
              <w:rPr>
                <w:strike/>
              </w:rPr>
              <w:t xml:space="preserve">Alderwood Prairie PPO Silver</w:t>
            </w:r>
          </w:p>
        </w:tc>
        <w:tc>
          <w:tcPr/>
          <w:p>
            <w:pPr>
              <w:pStyle w:val="Compact"/>
              <w:jc w:val="left"/>
            </w:pPr>
            <w:r>
              <w:t xml:space="preserve">Alderwood</w:t>
            </w:r>
          </w:p>
        </w:tc>
        <w:tc>
          <w:tcPr/>
          <w:p>
            <w:pPr>
              <w:pStyle w:val="Compact"/>
              <w:jc w:val="left"/>
            </w:pPr>
            <w:r>
              <w:t xml:space="preserve">TX</w:t>
            </w:r>
          </w:p>
        </w:tc>
        <w:tc>
          <w:tcPr/>
          <w:p>
            <w:pPr>
              <w:pStyle w:val="Compact"/>
              <w:jc w:val="left"/>
            </w:pPr>
            <w:r>
              <w:t xml:space="preserve">PPO</w:t>
            </w:r>
          </w:p>
        </w:tc>
        <w:tc>
          <w:tcPr/>
          <w:p>
            <w:pPr>
              <w:pStyle w:val="Compact"/>
              <w:jc w:val="left"/>
            </w:pPr>
            <w:r>
              <w:t xml:space="preserve">Silver</w:t>
            </w:r>
          </w:p>
        </w:tc>
        <w:tc>
          <w:tcPr/>
          <w:p>
            <w:pPr>
              <w:pStyle w:val="Compact"/>
              <w:jc w:val="left"/>
            </w:pPr>
            <w:r>
              <w:t xml:space="preserve">2026</w:t>
            </w:r>
          </w:p>
        </w:tc>
      </w:tr>
    </w:tbl>
    <w:p>
      <w:pPr>
        <w:pStyle w:val="BodyText"/>
      </w:pPr>
      <w:r>
        <w:rPr>
          <w:iCs/>
          <w:i/>
        </w:rPr>
        <w:t xml:space="preserve">Retired 2026-09-26: both Prairie plans deleted from the scenario — Whitfield Dynamics (formerly Lone Pine) moved to the Key Accounts segment and uses "Crestline PPO 1000" instead (no metal tier; large-group plans don't use the ACA metal-tier convention). See the transaction Bundle for the current plan set.</w:t>
      </w:r>
    </w:p>
    <w:p>
      <w:pPr>
        <w:pStyle w:val="BodyText"/>
      </w:pPr>
      <w:r>
        <w:rPr>
          <w:bCs/>
          <w:b/>
        </w:rPr>
        <w:t xml:space="preserve">Sample employees</w:t>
      </w:r>
    </w:p>
    <w:p>
      <w:pPr>
        <w:pStyle w:val="BodyText"/>
      </w:pPr>
      <w:r>
        <w:t xml:space="preserve">Each employee chooses one plan from those their Company offers, plus optional dental and vision. Medical, dental, and vision are each a separate Coverage.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Employee</w:t>
            </w:r>
          </w:p>
        </w:tc>
        <w:tc>
          <w:tcPr/>
          <w:p>
            <w:pPr>
              <w:pStyle w:val="Compact"/>
              <w:jc w:val="left"/>
            </w:pPr>
            <w:r>
              <w:t xml:space="preserve">Company</w:t>
            </w:r>
          </w:p>
        </w:tc>
        <w:tc>
          <w:tcPr/>
          <w:p>
            <w:pPr>
              <w:pStyle w:val="Compact"/>
              <w:jc w:val="left"/>
            </w:pPr>
            <w:r>
              <w:t xml:space="preserve">Plan chosen</w:t>
            </w:r>
          </w:p>
        </w:tc>
        <w:tc>
          <w:tcPr/>
          <w:p>
            <w:pPr>
              <w:pStyle w:val="Compact"/>
              <w:jc w:val="left"/>
            </w:pPr>
            <w:r>
              <w:t xml:space="preserve">Medical</w:t>
            </w:r>
          </w:p>
        </w:tc>
        <w:tc>
          <w:tcPr/>
          <w:p>
            <w:pPr>
              <w:pStyle w:val="Compact"/>
              <w:jc w:val="left"/>
            </w:pPr>
            <w:r>
              <w:t xml:space="preserve">Dental</w:t>
            </w:r>
          </w:p>
        </w:tc>
        <w:tc>
          <w:tcPr/>
          <w:p>
            <w:pPr>
              <w:pStyle w:val="Compact"/>
              <w:jc w:val="left"/>
            </w:pPr>
            <w:r>
              <w:t xml:space="preserve">Vision</w:t>
            </w:r>
          </w:p>
        </w:tc>
      </w:tr>
      <w:tr>
        <w:tc>
          <w:tcPr/>
          <w:p>
            <w:pPr>
              <w:pStyle w:val="Compact"/>
              <w:jc w:val="left"/>
            </w:pPr>
            <w:r>
              <w:t xml:space="preserve">Maya Okafor</w:t>
            </w:r>
          </w:p>
        </w:tc>
        <w:tc>
          <w:tcPr/>
          <w:p>
            <w:pPr>
              <w:pStyle w:val="Compact"/>
              <w:jc w:val="left"/>
            </w:pPr>
            <w:r>
              <w:t xml:space="preserve">Harbor &amp; Finch Design Studio (NY)</w:t>
            </w:r>
          </w:p>
        </w:tc>
        <w:tc>
          <w:tcPr/>
          <w:p>
            <w:pPr>
              <w:pStyle w:val="Compact"/>
              <w:jc w:val="left"/>
            </w:pPr>
            <w:r>
              <w:t xml:space="preserve">Harborline PPO Gold</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Daniel Reyes</w:t>
            </w:r>
          </w:p>
        </w:tc>
        <w:tc>
          <w:tcPr/>
          <w:p>
            <w:pPr>
              <w:pStyle w:val="Compact"/>
              <w:jc w:val="left"/>
            </w:pPr>
            <w:r>
              <w:t xml:space="preserve">Harbor &amp; Finch Design Studio (NY)</w:t>
            </w:r>
          </w:p>
        </w:tc>
        <w:tc>
          <w:tcPr/>
          <w:p>
            <w:pPr>
              <w:pStyle w:val="Compact"/>
              <w:jc w:val="left"/>
            </w:pPr>
            <w:r>
              <w:t xml:space="preserve">Harborline PPO Silver</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Priya Nair</w:t>
            </w:r>
          </w:p>
        </w:tc>
        <w:tc>
          <w:tcPr/>
          <w:p>
            <w:pPr>
              <w:pStyle w:val="Compact"/>
              <w:jc w:val="left"/>
            </w:pPr>
            <w:r>
              <w:t xml:space="preserve">Gulfline Marine Supply (FL)</w:t>
            </w:r>
          </w:p>
        </w:tc>
        <w:tc>
          <w:tcPr/>
          <w:p>
            <w:pPr>
              <w:pStyle w:val="Compact"/>
              <w:jc w:val="left"/>
            </w:pPr>
            <w:r>
              <w:t xml:space="preserve">Coastal HMO Gold</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Tom Brennan</w:t>
            </w:r>
          </w:p>
        </w:tc>
        <w:tc>
          <w:tcPr/>
          <w:p>
            <w:pPr>
              <w:pStyle w:val="Compact"/>
              <w:jc w:val="left"/>
            </w:pPr>
            <w:r>
              <w:t xml:space="preserve">Gulfline Marine Supply (FL)</w:t>
            </w:r>
          </w:p>
        </w:tc>
        <w:tc>
          <w:tcPr/>
          <w:p>
            <w:pPr>
              <w:pStyle w:val="Compact"/>
              <w:jc w:val="left"/>
            </w:pPr>
            <w:r>
              <w:t xml:space="preserve">Coastal HMO Bronze</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Lucia Herrera</w:t>
            </w:r>
          </w:p>
        </w:tc>
        <w:tc>
          <w:tcPr/>
          <w:p>
            <w:pPr>
              <w:pStyle w:val="Compact"/>
              <w:jc w:val="left"/>
            </w:pPr>
            <w:r>
              <w:t xml:space="preserve">Whitfield Dynamics – Texas</w:t>
            </w:r>
            <w:r>
              <w:t xml:space="preserve"> </w:t>
            </w:r>
            <w:r>
              <w:rPr>
                <w:iCs/>
                <w:i/>
              </w:rPr>
              <w:t xml:space="preserve">(formerly Lone Pine Logistics)</w:t>
            </w:r>
          </w:p>
        </w:tc>
        <w:tc>
          <w:tcPr/>
          <w:p>
            <w:pPr>
              <w:pStyle w:val="Compact"/>
              <w:jc w:val="left"/>
            </w:pPr>
            <w:r>
              <w:t xml:space="preserve">Crestline PPO 1000</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Kevin Walsh</w:t>
            </w:r>
          </w:p>
        </w:tc>
        <w:tc>
          <w:tcPr/>
          <w:p>
            <w:pPr>
              <w:pStyle w:val="Compact"/>
              <w:jc w:val="left"/>
            </w:pPr>
            <w:r>
              <w:t xml:space="preserve">Whitfield Dynamics – Florida</w:t>
            </w:r>
            <w:r>
              <w:t xml:space="preserve"> </w:t>
            </w:r>
            <w:r>
              <w:rPr>
                <w:iCs/>
                <w:i/>
              </w:rPr>
              <w:t xml:space="preserve">(formerly Lone Pine Logistics, TX)</w:t>
            </w:r>
          </w:p>
        </w:tc>
        <w:tc>
          <w:tcPr/>
          <w:p>
            <w:pPr>
              <w:pStyle w:val="Compact"/>
              <w:jc w:val="left"/>
            </w:pPr>
            <w:r>
              <w:t xml:space="preserve">Crestline PPO 1000</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r>
    </w:tbl>
    <w:p>
      <w:pPr>
        <w:pStyle w:val="BodyText"/>
      </w:pPr>
      <w:r>
        <w:rPr>
          <w:iCs/>
          <w:i/>
        </w:rPr>
        <w:t xml:space="preserve">Employee-to-company assignments unchanged from v3/v4 for the first four. Lucia Herrera and Kevin Walsh's employer was renamed and split by office 2026-09-26; Kevin moved to the new Florida office and both moved onto Crestline PPO 1000 (see transaction Bundle).</w:t>
      </w:r>
    </w:p>
    <w:bookmarkEnd w:id="25"/>
    <w:bookmarkStart w:id="26" w:name="variation-axes-at-a-glance"/>
    <w:p>
      <w:pPr>
        <w:pStyle w:val="Heading3"/>
      </w:pPr>
      <w:r>
        <w:t xml:space="preserve">Variation axes at a glance</w:t>
      </w:r>
    </w:p>
    <w:p>
      <w:pPr>
        <w:pStyle w:val="FirstParagraph"/>
      </w:pPr>
      <w:r>
        <w:rPr>
          <w:iCs/>
          <w:i/>
        </w:rPr>
        <w:t xml:space="preserve">(New in v4 — summarizes the counts behind the cast tables above. Counts below reflect the original v4 cast; see the 2026-09-26 note for what has since changed.)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Axis</w:t>
            </w:r>
          </w:p>
        </w:tc>
        <w:tc>
          <w:tcPr/>
          <w:p>
            <w:pPr>
              <w:pStyle w:val="Compact"/>
              <w:jc w:val="left"/>
            </w:pPr>
            <w:r>
              <w:t xml:space="preserve">Count</w:t>
            </w:r>
          </w:p>
        </w:tc>
        <w:tc>
          <w:tcPr/>
          <w:p>
            <w:pPr>
              <w:pStyle w:val="Compact"/>
              <w:jc w:val="left"/>
            </w:pPr>
            <w:r>
              <w:t xml:space="preserve">Values</w:t>
            </w:r>
          </w:p>
        </w:tc>
      </w:tr>
      <w:tr>
        <w:tc>
          <w:tcPr/>
          <w:p>
            <w:pPr>
              <w:pStyle w:val="Compact"/>
              <w:jc w:val="left"/>
            </w:pPr>
            <w:r>
              <w:t xml:space="preserve">Insurers</w:t>
            </w:r>
          </w:p>
        </w:tc>
        <w:tc>
          <w:tcPr/>
          <w:p>
            <w:pPr>
              <w:pStyle w:val="Compact"/>
              <w:jc w:val="left"/>
            </w:pPr>
            <w:r>
              <w:t xml:space="preserve">1</w:t>
            </w:r>
          </w:p>
        </w:tc>
        <w:tc>
          <w:tcPr/>
          <w:p>
            <w:pPr>
              <w:pStyle w:val="Compact"/>
              <w:jc w:val="left"/>
            </w:pPr>
            <w:r>
              <w:t xml:space="preserve">Alderwood Health Plans</w:t>
            </w:r>
          </w:p>
        </w:tc>
      </w:tr>
      <w:tr>
        <w:tc>
          <w:tcPr/>
          <w:p>
            <w:pPr>
              <w:pStyle w:val="Compact"/>
              <w:jc w:val="left"/>
            </w:pPr>
            <w:r>
              <w:t xml:space="preserve">Companies (employers)</w:t>
            </w:r>
          </w:p>
        </w:tc>
        <w:tc>
          <w:tcPr/>
          <w:p>
            <w:pPr>
              <w:pStyle w:val="Compact"/>
              <w:jc w:val="left"/>
            </w:pPr>
            <w:r>
              <w:t xml:space="preserve">3</w:t>
            </w:r>
          </w:p>
        </w:tc>
        <w:tc>
          <w:tcPr/>
          <w:p>
            <w:pPr>
              <w:pStyle w:val="Compact"/>
              <w:jc w:val="left"/>
            </w:pPr>
            <w:r>
              <w:t xml:space="preserve">Harbor &amp; Finch Design Studio (NY), Gulfline Marine Supply (FL), Lone Pine Logistics (TX)</w:t>
            </w:r>
          </w:p>
        </w:tc>
      </w:tr>
      <w:tr>
        <w:tc>
          <w:tcPr/>
          <w:p>
            <w:pPr>
              <w:pStyle w:val="Compact"/>
              <w:jc w:val="left"/>
            </w:pPr>
            <w:r>
              <w:t xml:space="preserve">States</w:t>
            </w:r>
          </w:p>
        </w:tc>
        <w:tc>
          <w:tcPr/>
          <w:p>
            <w:pPr>
              <w:pStyle w:val="Compact"/>
              <w:jc w:val="left"/>
            </w:pPr>
            <w:r>
              <w:t xml:space="preserve">3</w:t>
            </w:r>
          </w:p>
        </w:tc>
        <w:tc>
          <w:tcPr/>
          <w:p>
            <w:pPr>
              <w:pStyle w:val="Compact"/>
              <w:jc w:val="left"/>
            </w:pPr>
            <w:r>
              <w:t xml:space="preserve">NY, FL, TX</w:t>
            </w:r>
          </w:p>
        </w:tc>
      </w:tr>
      <w:tr>
        <w:tc>
          <w:tcPr/>
          <w:p>
            <w:pPr>
              <w:pStyle w:val="Compact"/>
              <w:jc w:val="left"/>
            </w:pPr>
            <w:r>
              <w:t xml:space="preserve">Plans</w:t>
            </w:r>
          </w:p>
        </w:tc>
        <w:tc>
          <w:tcPr/>
          <w:p>
            <w:pPr>
              <w:pStyle w:val="Compact"/>
              <w:jc w:val="left"/>
            </w:pPr>
            <w:r>
              <w:t xml:space="preserve">6</w:t>
            </w:r>
          </w:p>
        </w:tc>
        <w:tc>
          <w:tcPr/>
          <w:p>
            <w:pPr>
              <w:pStyle w:val="Compact"/>
              <w:jc w:val="left"/>
            </w:pPr>
            <w:r>
              <w:t xml:space="preserve">2 per company, spanning Gold/Silver/Bronze</w:t>
            </w:r>
          </w:p>
        </w:tc>
      </w:tr>
      <w:tr>
        <w:tc>
          <w:tcPr/>
          <w:p>
            <w:pPr>
              <w:pStyle w:val="Compact"/>
              <w:jc w:val="left"/>
            </w:pPr>
            <w:r>
              <w:t xml:space="preserve">Sample employees</w:t>
            </w:r>
          </w:p>
        </w:tc>
        <w:tc>
          <w:tcPr/>
          <w:p>
            <w:pPr>
              <w:pStyle w:val="Compact"/>
              <w:jc w:val="left"/>
            </w:pPr>
            <w:r>
              <w:t xml:space="preserve">6</w:t>
            </w:r>
          </w:p>
        </w:tc>
        <w:tc>
          <w:tcPr/>
          <w:p>
            <w:pPr>
              <w:pStyle w:val="Compact"/>
              <w:jc w:val="left"/>
            </w:pPr>
            <w:r>
              <w:t xml:space="preserve">One per plan, exercising the full profiling matrix</w:t>
            </w:r>
          </w:p>
        </w:tc>
      </w:tr>
    </w:tbl>
    <w:bookmarkEnd w:id="26"/>
    <w:bookmarkStart w:id="27" w:name="profiling-matrix"/>
    <w:p>
      <w:pPr>
        <w:pStyle w:val="Heading3"/>
      </w:pPr>
      <w:r>
        <w:t xml:space="preserve">Profiling matrix</w:t>
      </w:r>
    </w:p>
    <w:p>
      <w:pPr>
        <w:pStyle w:val="FirstParagraph"/>
      </w:pPr>
      <w:r>
        <w:t xml:space="preserve">This shows how the six sample employees exercise each profiling axis in step 4, so the demo can show the same source content resolving differently for different people.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Axis</w:t>
            </w:r>
          </w:p>
        </w:tc>
        <w:tc>
          <w:tcPr/>
          <w:p>
            <w:pPr>
              <w:pStyle w:val="Compact"/>
              <w:jc w:val="left"/>
            </w:pPr>
            <w:r>
              <w:t xml:space="preserve">Values in this world</w:t>
            </w:r>
          </w:p>
        </w:tc>
        <w:tc>
          <w:tcPr/>
          <w:p>
            <w:pPr>
              <w:pStyle w:val="Compact"/>
              <w:jc w:val="left"/>
            </w:pPr>
            <w:r>
              <w:t xml:space="preserve">Example of what varies</w:t>
            </w:r>
          </w:p>
        </w:tc>
      </w:tr>
      <w:tr>
        <w:tc>
          <w:tcPr/>
          <w:p>
            <w:pPr>
              <w:pStyle w:val="Compact"/>
              <w:jc w:val="left"/>
            </w:pPr>
            <w:r>
              <w:t xml:space="preserve">Insurer</w:t>
            </w:r>
          </w:p>
        </w:tc>
        <w:tc>
          <w:tcPr/>
          <w:p>
            <w:pPr>
              <w:pStyle w:val="Compact"/>
              <w:jc w:val="left"/>
            </w:pPr>
            <w:r>
              <w:t xml:space="preserve">Alderwood only</w:t>
            </w:r>
          </w:p>
        </w:tc>
        <w:tc>
          <w:tcPr/>
          <w:p>
            <w:pPr>
              <w:pStyle w:val="Compact"/>
              <w:jc w:val="left"/>
            </w:pPr>
            <w:r>
              <w:t xml:space="preserve">Held constant in v4 — insurer no longer contributes downstream variation</w:t>
            </w:r>
          </w:p>
        </w:tc>
      </w:tr>
      <w:tr>
        <w:tc>
          <w:tcPr/>
          <w:p>
            <w:pPr>
              <w:pStyle w:val="Compact"/>
              <w:jc w:val="left"/>
            </w:pPr>
            <w:r>
              <w:t xml:space="preserve">Company</w:t>
            </w:r>
          </w:p>
        </w:tc>
        <w:tc>
          <w:tcPr/>
          <w:p>
            <w:pPr>
              <w:pStyle w:val="Compact"/>
              <w:jc w:val="left"/>
            </w:pPr>
            <w:r>
              <w:t xml:space="preserve">Harbor &amp; Finch, Gulfline, Whitfield Dynamics</w:t>
            </w:r>
          </w:p>
        </w:tc>
        <w:tc>
          <w:tcPr/>
          <w:p>
            <w:pPr>
              <w:pStyle w:val="Compact"/>
              <w:jc w:val="left"/>
            </w:pPr>
            <w:r>
              <w:t xml:space="preserve">Group name and number, employer contact</w:t>
            </w:r>
          </w:p>
        </w:tc>
      </w:tr>
      <w:tr>
        <w:tc>
          <w:tcPr/>
          <w:p>
            <w:pPr>
              <w:pStyle w:val="Compact"/>
              <w:jc w:val="left"/>
            </w:pPr>
            <w:r>
              <w:t xml:space="preserve">Plan</w:t>
            </w:r>
          </w:p>
        </w:tc>
        <w:tc>
          <w:tcPr/>
          <w:p>
            <w:pPr>
              <w:pStyle w:val="Compact"/>
              <w:jc w:val="left"/>
            </w:pPr>
            <w:r>
              <w:t xml:space="preserve">6 plans (as of v4; 2 retired 2026-09-26, 2 added — net still 6)</w:t>
            </w:r>
          </w:p>
        </w:tc>
        <w:tc>
          <w:tcPr/>
          <w:p>
            <w:pPr>
              <w:pStyle w:val="Compact"/>
              <w:jc w:val="left"/>
            </w:pPr>
            <w:r>
              <w:t xml:space="preserve">Plan name, HIOS Plan ID, PPO vs. HMO provisions</w:t>
            </w:r>
          </w:p>
        </w:tc>
      </w:tr>
      <w:tr>
        <w:tc>
          <w:tcPr/>
          <w:p>
            <w:pPr>
              <w:pStyle w:val="Compact"/>
              <w:jc w:val="left"/>
            </w:pPr>
            <w:r>
              <w:t xml:space="preserve">Level</w:t>
            </w:r>
          </w:p>
        </w:tc>
        <w:tc>
          <w:tcPr/>
          <w:p>
            <w:pPr>
              <w:pStyle w:val="Compact"/>
              <w:jc w:val="left"/>
            </w:pPr>
            <w:r>
              <w:t xml:space="preserve">Gold, Silver, Bronze (Small Group); no metal tier (Key Accounts)</w:t>
            </w:r>
          </w:p>
        </w:tc>
        <w:tc>
          <w:tcPr/>
          <w:p>
            <w:pPr>
              <w:pStyle w:val="Compact"/>
              <w:jc w:val="left"/>
            </w:pPr>
            <w:r>
              <w:t xml:space="preserve">Cost-sharing tables</w:t>
            </w:r>
          </w:p>
        </w:tc>
      </w:tr>
      <w:tr>
        <w:tc>
          <w:tcPr/>
          <w:p>
            <w:pPr>
              <w:pStyle w:val="Compact"/>
              <w:jc w:val="left"/>
            </w:pPr>
            <w:r>
              <w:t xml:space="preserve">State</w:t>
            </w:r>
          </w:p>
        </w:tc>
        <w:tc>
          <w:tcPr/>
          <w:p>
            <w:pPr>
              <w:pStyle w:val="Compact"/>
              <w:jc w:val="left"/>
            </w:pPr>
            <w:r>
              <w:t xml:space="preserve">NY, FL, TX</w:t>
            </w:r>
          </w:p>
        </w:tc>
        <w:tc>
          <w:tcPr/>
          <w:p>
            <w:pPr>
              <w:pStyle w:val="Compact"/>
              <w:jc w:val="left"/>
            </w:pPr>
            <w:r>
              <w:t xml:space="preserve">State-mandated notices and disclosures</w:t>
            </w:r>
          </w:p>
        </w:tc>
      </w:tr>
      <w:tr>
        <w:tc>
          <w:tcPr/>
          <w:p>
            <w:pPr>
              <w:pStyle w:val="Compact"/>
              <w:jc w:val="left"/>
            </w:pPr>
            <w:r>
              <w:t xml:space="preserve">Market segment</w:t>
            </w:r>
            <w:r>
              <w:t xml:space="preserve"> </w:t>
            </w:r>
            <w:r>
              <w:rPr>
                <w:iCs/>
                <w:i/>
              </w:rPr>
              <w:t xml:space="preserve">(added 2026-09-26)</w:t>
            </w:r>
          </w:p>
        </w:tc>
        <w:tc>
          <w:tcPr/>
          <w:p>
            <w:pPr>
              <w:pStyle w:val="Compact"/>
              <w:jc w:val="left"/>
            </w:pPr>
            <w:r>
              <w:t xml:space="preserve">Small Group (Harbor &amp; Finch, Gulfline), Key Accounts (Whitfield Dynamics)</w:t>
            </w:r>
          </w:p>
        </w:tc>
        <w:tc>
          <w:tcPr/>
          <w:p>
            <w:pPr>
              <w:pStyle w:val="Compact"/>
              <w:jc w:val="left"/>
            </w:pPr>
            <w:r>
              <w:t xml:space="preserve">Plan naming convention, HIOS applicability</w:t>
            </w:r>
          </w:p>
        </w:tc>
      </w:tr>
      <w:tr>
        <w:tc>
          <w:tcPr/>
          <w:p>
            <w:pPr>
              <w:pStyle w:val="Compact"/>
              <w:jc w:val="left"/>
            </w:pPr>
            <w:r>
              <w:t xml:space="preserve">Employee's coverage choices</w:t>
            </w:r>
          </w:p>
        </w:tc>
        <w:tc>
          <w:tcPr/>
          <w:p>
            <w:pPr>
              <w:pStyle w:val="Compact"/>
              <w:jc w:val="left"/>
            </w:pPr>
            <w:r>
              <w:t xml:space="preserve">Medical always; dental and vision optional</w:t>
            </w:r>
          </w:p>
        </w:tc>
        <w:tc>
          <w:tcPr/>
          <w:p>
            <w:pPr>
              <w:pStyle w:val="Compact"/>
              <w:jc w:val="left"/>
            </w:pPr>
            <w:r>
              <w:t xml:space="preserve">Which coverage sections appear in the CoC</w:t>
            </w:r>
          </w:p>
        </w:tc>
      </w:tr>
    </w:tbl>
    <w:bookmarkEnd w:id="27"/>
    <w:bookmarkEnd w:id="28"/>
    <w:bookmarkStart w:id="29" w:name="parked-decisions"/>
    <w:p>
      <w:pPr>
        <w:pStyle w:val="Heading2"/>
      </w:pPr>
      <w:r>
        <w:t xml:space="preserve">Parked decisions</w:t>
      </w:r>
    </w:p>
    <w:p>
      <w:pPr>
        <w:pStyle w:val="FirstParagraph"/>
      </w:pPr>
      <w:r>
        <w:t xml:space="preserve">Recorded so they are not lost. None is needed for the first pass.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Topic</w:t>
            </w:r>
          </w:p>
        </w:tc>
        <w:tc>
          <w:tcPr/>
          <w:p>
            <w:pPr>
              <w:pStyle w:val="Compact"/>
              <w:jc w:val="left"/>
            </w:pPr>
            <w:r>
              <w:t xml:space="preserve">Status</w:t>
            </w:r>
          </w:p>
        </w:tc>
      </w:tr>
      <w:tr>
        <w:tc>
          <w:tcPr/>
          <w:p>
            <w:pPr>
              <w:pStyle w:val="Compact"/>
              <w:jc w:val="left"/>
            </w:pPr>
            <w:r>
              <w:rPr>
                <w:bCs/>
                <w:b/>
              </w:rPr>
              <w:t xml:space="preserve">Second insurer / multi-insurer scenario</w:t>
            </w:r>
          </w:p>
        </w:tc>
        <w:tc>
          <w:tcPr/>
          <w:p>
            <w:pPr>
              <w:pStyle w:val="Compact"/>
              <w:jc w:val="left"/>
            </w:pPr>
            <w:r>
              <w:rPr>
                <w:iCs/>
                <w:i/>
              </w:rPr>
              <w:t xml:space="preserve">(New in v4.)</w:t>
            </w:r>
            <w:r>
              <w:t xml:space="preserve"> </w:t>
            </w:r>
            <w:r>
              <w:t xml:space="preserve">Removed. v3 used two insurers (Alderwood, Tessaly Mutual); v4 collapses to one so insurer variation doesn't compete with the axes the demo is meant to showcase. Restore if a later demo needs to show cross-insurer differences (e.g. different claims-contact boilerplate per carrier).</w:t>
            </w:r>
          </w:p>
        </w:tc>
      </w:tr>
      <w:tr>
        <w:tc>
          <w:tcPr/>
          <w:p>
            <w:pPr>
              <w:pStyle w:val="Compact"/>
              <w:jc w:val="left"/>
            </w:pPr>
            <w:r>
              <w:rPr>
                <w:bCs/>
                <w:b/>
              </w:rPr>
              <w:t xml:space="preserve">Premiums</w:t>
            </w:r>
          </w:p>
        </w:tc>
        <w:tc>
          <w:tcPr/>
          <w:p>
            <w:pPr>
              <w:pStyle w:val="Compact"/>
              <w:jc w:val="left"/>
            </w:pPr>
            <w:r>
              <w:t xml:space="preserve">Assumed fully insured with the employer providing the plan. Employee/employer premium sharing is not modeled. Add later if the CoC needs to show premium amounts.</w:t>
            </w:r>
          </w:p>
        </w:tc>
      </w:tr>
      <w:tr>
        <w:tc>
          <w:tcPr/>
          <w:p>
            <w:pPr>
              <w:pStyle w:val="Compact"/>
              <w:jc w:val="left"/>
            </w:pPr>
            <w:r>
              <w:rPr>
                <w:bCs/>
                <w:b/>
              </w:rPr>
              <w:t xml:space="preserve">Level of coverage in the schema</w:t>
            </w:r>
          </w:p>
        </w:tc>
        <w:tc>
          <w:tcPr/>
          <w:p>
            <w:pPr>
              <w:pStyle w:val="Compact"/>
              <w:jc w:val="left"/>
            </w:pPr>
            <w:r>
              <w:t xml:space="preserve">Level appears in the fiction above but has no column yet. Defer.</w:t>
            </w:r>
          </w:p>
        </w:tc>
      </w:tr>
      <w:tr>
        <w:tc>
          <w:tcPr/>
          <w:p>
            <w:pPr>
              <w:pStyle w:val="Compact"/>
              <w:jc w:val="left"/>
            </w:pPr>
            <w:r>
              <w:rPr>
                <w:bCs/>
                <w:b/>
              </w:rPr>
              <w:t xml:space="preserve">State in the schema</w:t>
            </w:r>
          </w:p>
        </w:tc>
        <w:tc>
          <w:tcPr/>
          <w:p>
            <w:pPr>
              <w:pStyle w:val="Compact"/>
              <w:jc w:val="left"/>
            </w:pPr>
            <w:r>
              <w:t xml:space="preserve">State appears in the fiction above but has no column yet. Defer. Most likely home is the Company (the state where the group policy is issued).</w:t>
            </w:r>
            <w:r>
              <w:t xml:space="preserve"> </w:t>
            </w:r>
            <w:r>
              <w:rPr>
                <w:iCs/>
                <w:i/>
              </w:rPr>
              <w:t xml:space="preserve">(2026-10-01: the JSON reports now carry a derived</w:t>
            </w:r>
            <w:r>
              <w:rPr>
                <w:iCs/>
                <w:i/>
              </w:rPr>
              <w:t xml:space="preserve"> </w:t>
            </w:r>
            <w:r>
              <w:rPr>
                <w:rStyle w:val="VerbatimChar"/>
                <w:iCs/>
                <w:i/>
              </w:rPr>
              <w:t xml:space="preserve">state</w:t>
            </w:r>
            <w:r>
              <w:rPr>
                <w:iCs/>
                <w:i/>
              </w:rPr>
              <w:t xml:space="preserve">: from Patient.address, else the group number</w:t>
            </w:r>
            <w:r>
              <w:rPr>
                <w:iCs/>
                <w:i/>
              </w:rPr>
              <w:t xml:space="preserve"> </w:t>
            </w:r>
            <w:r>
              <w:rPr>
                <w:rStyle w:val="VerbatimChar"/>
                <w:iCs/>
                <w:i/>
              </w:rPr>
              <w:t xml:space="preserve">GRP-&lt;ST&gt;-nnnn</w:t>
            </w:r>
            <w:r>
              <w:rPr>
                <w:iCs/>
                <w:i/>
              </w:rPr>
              <w:t xml:space="preserve">, else the HIOS ID. It is still not a stored field.)</w:t>
            </w:r>
          </w:p>
        </w:tc>
      </w:tr>
      <w:tr>
        <w:tc>
          <w:tcPr/>
          <w:p>
            <w:pPr>
              <w:pStyle w:val="Compact"/>
              <w:jc w:val="left"/>
            </w:pPr>
            <w:r>
              <w:rPr>
                <w:bCs/>
                <w:b/>
              </w:rPr>
              <w:t xml:space="preserve">Providers</w:t>
            </w:r>
          </w:p>
        </w:tc>
        <w:tc>
          <w:tcPr/>
          <w:p>
            <w:pPr>
              <w:pStyle w:val="Compact"/>
              <w:jc w:val="left"/>
            </w:pPr>
            <w:r>
              <w:t xml:space="preserve">Removed from scope. Restore if needed.</w:t>
            </w:r>
          </w:p>
        </w:tc>
      </w:tr>
      <w:tr>
        <w:tc>
          <w:tcPr/>
          <w:p>
            <w:pPr>
              <w:pStyle w:val="Compact"/>
              <w:jc w:val="left"/>
            </w:pPr>
            <w:r>
              <w:rPr>
                <w:bCs/>
                <w:b/>
              </w:rPr>
              <w:t xml:space="preserve">Dependents, life, and AD&amp;D</w:t>
            </w:r>
          </w:p>
        </w:tc>
        <w:tc>
          <w:tcPr/>
          <w:p>
            <w:pPr>
              <w:pStyle w:val="Compact"/>
              <w:jc w:val="left"/>
            </w:pPr>
            <w:r>
              <w:t xml:space="preserve">Out for v1. Can be documented as extensions.</w:t>
            </w:r>
          </w:p>
        </w:tc>
      </w:tr>
      <w:tr>
        <w:tc>
          <w:tcPr/>
          <w:p>
            <w:pPr>
              <w:pStyle w:val="Compact"/>
              <w:jc w:val="left"/>
            </w:pPr>
            <w:r>
              <w:rPr>
                <w:bCs/>
                <w:b/>
              </w:rPr>
              <w:t xml:space="preserve">California and the dual-regulator issue</w:t>
            </w:r>
          </w:p>
        </w:tc>
        <w:tc>
          <w:tcPr/>
          <w:p>
            <w:pPr>
              <w:pStyle w:val="Compact"/>
              <w:jc w:val="left"/>
            </w:pPr>
            <w:r>
              <w:t xml:space="preserve">Out of scope. Three states only.</w:t>
            </w:r>
          </w:p>
        </w:tc>
      </w:tr>
      <w:tr>
        <w:tc>
          <w:tcPr/>
          <w:p>
            <w:pPr>
              <w:pStyle w:val="Compact"/>
              <w:jc w:val="left"/>
            </w:pPr>
            <w:r>
              <w:rPr>
                <w:bCs/>
                <w:b/>
              </w:rPr>
              <w:t xml:space="preserve">Benefits and cost-sharing detail (deductibles, copays, coinsurance, exclusions/limitations)</w:t>
            </w:r>
          </w:p>
        </w:tc>
        <w:tc>
          <w:tcPr/>
          <w:p>
            <w:pPr>
              <w:pStyle w:val="Compact"/>
              <w:jc w:val="left"/>
            </w:pPr>
            <w:r>
              <w:rPr>
                <w:bCs/>
                <w:b/>
              </w:rPr>
              <w:t xml:space="preserve">Resolved 2026-09-26.</w:t>
            </w:r>
            <w:r>
              <w:t xml:space="preserve"> </w:t>
            </w:r>
            <w:r>
              <w:t xml:space="preserve">Modeled for all six plans using</w:t>
            </w:r>
            <w:r>
              <w:t xml:space="preserve"> </w:t>
            </w:r>
            <w:r>
              <w:rPr>
                <w:rStyle w:val="VerbatimChar"/>
              </w:rPr>
              <w:t xml:space="preserve">InsurancePlan.plan.specificCost</w:t>
            </w:r>
            <w:r>
              <w:t xml:space="preserve"> </w:t>
            </w:r>
            <w:r>
              <w:t xml:space="preserve">(per-service-category cost-sharing, network vs. out-of-network) and</w:t>
            </w:r>
            <w:r>
              <w:t xml:space="preserve"> </w:t>
            </w:r>
            <w:r>
              <w:rPr>
                <w:rStyle w:val="VerbatimChar"/>
              </w:rPr>
              <w:t xml:space="preserve">InsurancePlan.coverage.benefit</w:t>
            </w:r>
            <w:r>
              <w:t xml:space="preserve"> </w:t>
            </w:r>
            <w:r>
              <w:t xml:space="preserve">(referral requirements, visit/day limits), in</w:t>
            </w:r>
            <w:r>
              <w:t xml:space="preserve"> </w:t>
            </w:r>
            <w:r>
              <w:rPr>
                <w:rStyle w:val="VerbatimChar"/>
              </w:rPr>
              <w:t xml:space="preserve">hapi-fhir-transaction-bundle.json</w:t>
            </w:r>
            <w:r>
              <w:t xml:space="preserve">. Source values drafted from three uploaded federal SBC documents (a blank template, a filled sample, and an older template version) as a realism baseline, then differentiated by metal tier / market segment. Still not modeled: exclusions list and "other covered services" list (boilerplate, not yet added as structured data) and precise coverage-example dollar math (see Documented Simplifications below — flagged as a talking point, not a blocking gap).</w:t>
            </w:r>
          </w:p>
        </w:tc>
      </w:tr>
    </w:tbl>
    <w:bookmarkEnd w:id="29"/>
    <w:bookmarkStart w:id="30" w:name="Xff0f7bf21d5b6f79548e3bd3e3f8e6819edb831"/>
    <w:p>
      <w:pPr>
        <w:pStyle w:val="Heading2"/>
      </w:pPr>
      <w:r>
        <w:t xml:space="preserve">Documented simplifications (for audience-facing materials)</w:t>
      </w:r>
    </w:p>
    <w:p>
      <w:pPr>
        <w:pStyle w:val="FirstParagraph"/>
      </w:pPr>
      <w:r>
        <w:t xml:space="preserve">Decisions already made for this demo that are intentional simplifications, not oversights. Anything on this list should be called out explicitly in audience-facing materials (Netlify site copy, Docker README) — the "what this simplified demo intentionally omits vs. a production system" writeup — so a technical reviewer reads them as deliberate scope choices rather than gaps.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Simplification</w:t>
            </w:r>
          </w:p>
        </w:tc>
        <w:tc>
          <w:tcPr/>
          <w:p>
            <w:pPr>
              <w:pStyle w:val="Compact"/>
              <w:jc w:val="left"/>
            </w:pPr>
            <w:r>
              <w:t xml:space="preserve">Why it's intentional</w:t>
            </w:r>
          </w:p>
        </w:tc>
        <w:tc>
          <w:tcPr/>
          <w:p>
            <w:pPr>
              <w:pStyle w:val="Compact"/>
              <w:jc w:val="left"/>
            </w:pPr>
            <w:r>
              <w:t xml:space="preserve">Where documented</w:t>
            </w:r>
          </w:p>
        </w:tc>
      </w:tr>
      <w:tr>
        <w:tc>
          <w:tcPr/>
          <w:p>
            <w:pPr>
              <w:pStyle w:val="Compact"/>
              <w:jc w:val="left"/>
            </w:pPr>
            <w:r>
              <w:rPr>
                <w:rStyle w:val="VerbatimChar"/>
                <w:bCs/>
                <w:b/>
              </w:rPr>
              <w:t xml:space="preserve">coverages.subscriber_id</w:t>
            </w:r>
            <w:r>
              <w:rPr>
                <w:bCs/>
                <w:b/>
              </w:rPr>
              <w:t xml:space="preserve"> </w:t>
            </w:r>
            <w:r>
              <w:rPr>
                <w:bCs/>
                <w:b/>
              </w:rPr>
              <w:t xml:space="preserve">is globally</w:t>
            </w:r>
            <w:r>
              <w:rPr>
                <w:bCs/>
                <w:b/>
              </w:rPr>
              <w:t xml:space="preserve"> </w:t>
            </w:r>
            <w:r>
              <w:rPr>
                <w:rStyle w:val="VerbatimChar"/>
                <w:bCs/>
                <w:b/>
              </w:rPr>
              <w:t xml:space="preserve">UNIQUE</w:t>
            </w:r>
            <w:r>
              <w:rPr>
                <w:bCs/>
                <w:b/>
              </w:rPr>
              <w:t xml:space="preserve">, not scoped per payor</w:t>
            </w:r>
          </w:p>
        </w:tc>
        <w:tc>
          <w:tcPr/>
          <w:p>
            <w:pPr>
              <w:pStyle w:val="Compact"/>
              <w:jc w:val="left"/>
            </w:pPr>
            <w:r>
              <w:t xml:space="preserve">Real-world subscriber IDs are unique per payor, not globally — two insurers could issue the same ID string to different people. This demo has one insurer (axiom 8), so global and per-payor uniqueness happen to coincide. If a second insurer is ever reintroduced, this needs to become a composite</w:t>
            </w:r>
            <w:r>
              <w:t xml:space="preserve"> </w:t>
            </w:r>
            <w:r>
              <w:rPr>
                <w:rStyle w:val="VerbatimChar"/>
              </w:rPr>
              <w:t xml:space="preserve">UNIQUE(payor_org_id, subscriber_id)</w:t>
            </w:r>
            <w:r>
              <w:t xml:space="preserve">.</w:t>
            </w:r>
          </w:p>
        </w:tc>
        <w:tc>
          <w:tcPr/>
          <w:p>
            <w:pPr>
              <w:pStyle w:val="Compact"/>
              <w:jc w:val="left"/>
            </w:pPr>
            <w:r>
              <w:t xml:space="preserve">Schema comment on</w:t>
            </w:r>
            <w:r>
              <w:t xml:space="preserve"> </w:t>
            </w:r>
            <w:r>
              <w:rPr>
                <w:rStyle w:val="VerbatimChar"/>
              </w:rPr>
              <w:t xml:space="preserve">subscriber_id</w:t>
            </w:r>
            <w:r>
              <w:t xml:space="preserve">; this table</w:t>
            </w:r>
          </w:p>
        </w:tc>
      </w:tr>
      <w:tr>
        <w:tc>
          <w:tcPr/>
          <w:p>
            <w:pPr>
              <w:pStyle w:val="Compact"/>
              <w:jc w:val="left"/>
            </w:pPr>
            <w:r>
              <w:rPr>
                <w:bCs/>
                <w:b/>
              </w:rPr>
              <w:t xml:space="preserve">Key Accounts (Whitfield Dynamics) plans still carry a HIOS Plan ID</w:t>
            </w:r>
            <w:r>
              <w:t xml:space="preserve"> </w:t>
            </w:r>
            <w:r>
              <w:rPr>
                <w:iCs/>
                <w:i/>
              </w:rPr>
              <w:t xml:space="preserve">(Flagged 2026-09-26)</w:t>
            </w:r>
          </w:p>
        </w:tc>
        <w:tc>
          <w:tcPr/>
          <w:p>
            <w:pPr>
              <w:pStyle w:val="Compact"/>
              <w:jc w:val="left"/>
            </w:pPr>
            <w:r>
              <w:t xml:space="preserve">HIOS Plan IDs are a byproduct of CMS's QHP certification process (Individual/Small-Group/SHOP market); large-group/Key Accounts products aren't required to and typically don't receive one in the real world. Kept for data-model consistency across all plans in this demo rather than branching the schema/Bundle logic by segment.</w:t>
            </w:r>
          </w:p>
        </w:tc>
        <w:tc>
          <w:tcPr/>
          <w:p>
            <w:pPr>
              <w:pStyle w:val="Compact"/>
              <w:jc w:val="left"/>
            </w:pPr>
            <w:r>
              <w:t xml:space="preserve">Chat discussion 2026-09-26;</w:t>
            </w:r>
            <w:r>
              <w:t xml:space="preserve"> </w:t>
            </w:r>
            <w:r>
              <w:rPr>
                <w:rStyle w:val="VerbatimChar"/>
              </w:rPr>
              <w:t xml:space="preserve">hios-plan-id</w:t>
            </w:r>
            <w:r>
              <w:t xml:space="preserve"> </w:t>
            </w:r>
            <w:r>
              <w:t xml:space="preserve">identifiers on the Crestline PPO 1000 InsurancePlan resources in the transaction Bundle</w:t>
            </w:r>
          </w:p>
        </w:tc>
      </w:tr>
      <w:tr>
        <w:tc>
          <w:tcPr/>
          <w:p>
            <w:pPr>
              <w:pStyle w:val="Compact"/>
              <w:jc w:val="left"/>
            </w:pPr>
            <w:r>
              <w:rPr>
                <w:bCs/>
                <w:b/>
              </w:rPr>
              <w:t xml:space="preserve">Pediatric dental/vision embedded benefits omitted from Crestline PPO 1000</w:t>
            </w:r>
            <w:r>
              <w:t xml:space="preserve"> </w:t>
            </w:r>
            <w:r>
              <w:rPr>
                <w:iCs/>
                <w:i/>
              </w:rPr>
              <w:t xml:space="preserve">(Added 2026-09-26)</w:t>
            </w:r>
          </w:p>
        </w:tc>
        <w:tc>
          <w:tcPr/>
          <w:p>
            <w:pPr>
              <w:pStyle w:val="Compact"/>
              <w:jc w:val="left"/>
            </w:pPr>
            <w:r>
              <w:t xml:space="preserve">Not a gap — an accurate distinction. Pediatric dental/vision are Essential Health Benefits mandated only for individual and small-group market plans; large-group (Key Accounts) plans aren't required to embed them and typically don't. Worth calling out as another thing that legitimately varies by market segment, not just by metal tier.</w:t>
            </w:r>
          </w:p>
        </w:tc>
        <w:tc>
          <w:tcPr/>
          <w:p>
            <w:pPr>
              <w:pStyle w:val="Compact"/>
              <w:jc w:val="left"/>
            </w:pPr>
            <w:r>
              <w:rPr>
                <w:rStyle w:val="VerbatimChar"/>
              </w:rPr>
              <w:t xml:space="preserve">hapi-fhir-transaction-bundle.json</w:t>
            </w:r>
            <w:r>
              <w:t xml:space="preserve"> </w:t>
            </w:r>
            <w:r>
              <w:t xml:space="preserve">— those three benefit categories are simply absent from Crestline's</w:t>
            </w:r>
            <w:r>
              <w:t xml:space="preserve"> </w:t>
            </w:r>
            <w:r>
              <w:rPr>
                <w:rStyle w:val="VerbatimChar"/>
              </w:rPr>
              <w:t xml:space="preserve">specificCost</w:t>
            </w:r>
            <w:r>
              <w:t xml:space="preserve">/</w:t>
            </w:r>
            <w:r>
              <w:rPr>
                <w:rStyle w:val="VerbatimChar"/>
              </w:rPr>
              <w:t xml:space="preserve">coverage.benefit</w:t>
            </w:r>
            <w:r>
              <w:t xml:space="preserve"> </w:t>
            </w:r>
            <w:r>
              <w:t xml:space="preserve">entries</w:t>
            </w:r>
          </w:p>
        </w:tc>
      </w:tr>
      <w:tr>
        <w:tc>
          <w:tcPr/>
          <w:p>
            <w:pPr>
              <w:pStyle w:val="Compact"/>
              <w:jc w:val="left"/>
            </w:pPr>
            <w:r>
              <w:rPr>
                <w:bCs/>
                <w:b/>
              </w:rPr>
              <w:t xml:space="preserve">Local</w:t>
            </w:r>
            <w:r>
              <w:rPr>
                <w:bCs/>
                <w:b/>
              </w:rPr>
              <w:t xml:space="preserve"> </w:t>
            </w:r>
            <w:r>
              <w:rPr>
                <w:rStyle w:val="VerbatimChar"/>
                <w:bCs/>
                <w:b/>
              </w:rPr>
              <w:t xml:space="preserve">benefit-category</w:t>
            </w:r>
            <w:r>
              <w:rPr>
                <w:bCs/>
                <w:b/>
              </w:rPr>
              <w:t xml:space="preserve"> </w:t>
            </w:r>
            <w:r>
              <w:rPr>
                <w:bCs/>
                <w:b/>
              </w:rPr>
              <w:t xml:space="preserve">CodeSystem invented for cost-sharing rows</w:t>
            </w:r>
            <w:r>
              <w:t xml:space="preserve"> </w:t>
            </w:r>
            <w:r>
              <w:rPr>
                <w:iCs/>
                <w:i/>
              </w:rPr>
              <w:t xml:space="preserve">(Added 2026-09-26)</w:t>
            </w:r>
          </w:p>
        </w:tc>
        <w:tc>
          <w:tcPr/>
          <w:p>
            <w:pPr>
              <w:pStyle w:val="Compact"/>
              <w:jc w:val="left"/>
            </w:pPr>
            <w:r>
              <w:rPr>
                <w:rStyle w:val="VerbatimChar"/>
              </w:rPr>
              <w:t xml:space="preserve">InsurancePlan.plan.specificCost</w:t>
            </w:r>
            <w:r>
              <w:t xml:space="preserve"> </w:t>
            </w:r>
            <w:r>
              <w:t xml:space="preserve">is base FHIR R4 (not an extension) and is exactly the right structural element for this. But its vocabulary is only example-bound, and HL7's own supporting CodeSystem (</w:t>
            </w:r>
            <w:r>
              <w:rPr>
                <w:rStyle w:val="VerbatimChar"/>
              </w:rPr>
              <w:t xml:space="preserve">coverage-copay-type</w:t>
            </w:r>
            <w:r>
              <w:t xml:space="preserve">) defines just 10 broad concepts — nowhere near the ~28 rows an SBC's benefit grid actually needs (imaging, Rx tiers, DME, hospice, pediatric vision/dental, etc). A local CodeSystem (</w:t>
            </w:r>
            <w:r>
              <w:rPr>
                <w:rStyle w:val="VerbatimChar"/>
              </w:rPr>
              <w:t xml:space="preserve">urn:fictive:alderwood-demo:benefit-category</w:t>
            </w:r>
            <w:r>
              <w:t xml:space="preserve">) fills that gap, the same pattern already used for the HIOS Plan ID identifier system. Real HL7 codes are still used wherever they fit:</w:t>
            </w:r>
            <w:r>
              <w:t xml:space="preserve"> </w:t>
            </w:r>
            <w:r>
              <w:rPr>
                <w:rStyle w:val="VerbatimChar"/>
              </w:rPr>
              <w:t xml:space="preserve">coverage-copay-type</w:t>
            </w:r>
            <w:r>
              <w:t xml:space="preserve"> </w:t>
            </w:r>
            <w:r>
              <w:t xml:space="preserve">for the payment mechanism (copay/copaypct/deductible/maxoutofpocket) and</w:t>
            </w:r>
            <w:r>
              <w:t xml:space="preserve"> </w:t>
            </w:r>
            <w:r>
              <w:rPr>
                <w:rStyle w:val="VerbatimChar"/>
              </w:rPr>
              <w:t xml:space="preserve">insuranceplan-applicability</w:t>
            </w:r>
            <w:r>
              <w:t xml:space="preserve"> </w:t>
            </w:r>
            <w:r>
              <w:t xml:space="preserve">for network vs. out-of-network.</w:t>
            </w:r>
          </w:p>
        </w:tc>
        <w:tc>
          <w:tcPr/>
          <w:p>
            <w:pPr>
              <w:pStyle w:val="Compact"/>
              <w:jc w:val="left"/>
            </w:pPr>
            <w:r>
              <w:rPr>
                <w:rStyle w:val="VerbatimChar"/>
              </w:rPr>
              <w:t xml:space="preserve">hapi-fhir-transaction-bundle.json</w:t>
            </w:r>
            <w:r>
              <w:t xml:space="preserve"> </w:t>
            </w:r>
            <w:r>
              <w:t xml:space="preserve">(includes the CodeSystem resources); chat discussion 2026-09-26</w:t>
            </w:r>
          </w:p>
        </w:tc>
      </w:tr>
      <w:tr>
        <w:tc>
          <w:tcPr/>
          <w:p>
            <w:pPr>
              <w:pStyle w:val="Compact"/>
              <w:jc w:val="left"/>
            </w:pPr>
            <w:r>
              <w:rPr>
                <w:bCs/>
                <w:b/>
              </w:rPr>
              <w:t xml:space="preserve">Coinsurance modeled as HL7's</w:t>
            </w:r>
            <w:r>
              <w:rPr>
                <w:bCs/>
                <w:b/>
              </w:rPr>
              <w:t xml:space="preserve"> </w:t>
            </w:r>
            <w:r>
              <w:rPr>
                <w:rStyle w:val="VerbatimChar"/>
                <w:bCs/>
                <w:b/>
              </w:rPr>
              <w:t xml:space="preserve">copaypct</w:t>
            </w:r>
            <w:r>
              <w:rPr>
                <w:bCs/>
                <w:b/>
              </w:rPr>
              <w:t xml:space="preserve"> </w:t>
            </w:r>
            <w:r>
              <w:rPr>
                <w:bCs/>
                <w:b/>
              </w:rPr>
              <w:t xml:space="preserve">code</w:t>
            </w:r>
            <w:r>
              <w:t xml:space="preserve"> </w:t>
            </w:r>
            <w:r>
              <w:rPr>
                <w:iCs/>
                <w:i/>
              </w:rPr>
              <w:t xml:space="preserve">(Added 2026-09-26)</w:t>
            </w:r>
          </w:p>
        </w:tc>
        <w:tc>
          <w:tcPr/>
          <w:p>
            <w:pPr>
              <w:pStyle w:val="Compact"/>
              <w:jc w:val="left"/>
            </w:pPr>
            <w:r>
              <w:t xml:space="preserve">HL7's</w:t>
            </w:r>
            <w:r>
              <w:t xml:space="preserve"> </w:t>
            </w:r>
            <w:r>
              <w:rPr>
                <w:rStyle w:val="VerbatimChar"/>
              </w:rPr>
              <w:t xml:space="preserve">coverage-copay-type</w:t>
            </w:r>
            <w:r>
              <w:t xml:space="preserve"> </w:t>
            </w:r>
            <w:r>
              <w:t xml:space="preserve">CodeSystem has no distinct "coinsurance" code — it conflates percentage-based cost-sharing under</w:t>
            </w:r>
            <w:r>
              <w:t xml:space="preserve"> </w:t>
            </w:r>
            <w:r>
              <w:rPr>
                <w:rStyle w:val="VerbatimChar"/>
              </w:rPr>
              <w:t xml:space="preserve">copaypct</w:t>
            </w:r>
            <w:r>
              <w:t xml:space="preserve"> </w:t>
            </w:r>
            <w:r>
              <w:t xml:space="preserve">("Copay Percentage"). Used as the closest real code available rather than inventing a redundant local one.</w:t>
            </w:r>
          </w:p>
        </w:tc>
        <w:tc>
          <w:tcPr/>
          <w:p>
            <w:pPr>
              <w:pStyle w:val="Compact"/>
              <w:jc w:val="left"/>
            </w:pPr>
            <w:r>
              <w:rPr>
                <w:rStyle w:val="VerbatimChar"/>
              </w:rPr>
              <w:t xml:space="preserve">hapi-fhir-transaction-bundle.json</w:t>
            </w:r>
          </w:p>
        </w:tc>
      </w:tr>
      <w:tr>
        <w:tc>
          <w:tcPr/>
          <w:p>
            <w:pPr>
              <w:pStyle w:val="Compact"/>
              <w:jc w:val="left"/>
            </w:pPr>
            <w:r>
              <w:rPr>
                <w:bCs/>
                <w:b/>
              </w:rPr>
              <w:t xml:space="preserve">Coverage-example dollar amounts are approximations</w:t>
            </w:r>
            <w:r>
              <w:t xml:space="preserve"> </w:t>
            </w:r>
            <w:r>
              <w:rPr>
                <w:iCs/>
                <w:i/>
              </w:rPr>
              <w:t xml:space="preserve">(Added 2026-09-26 — flag for talking points)</w:t>
            </w:r>
          </w:p>
        </w:tc>
        <w:tc>
          <w:tcPr/>
          <w:p>
            <w:pPr>
              <w:pStyle w:val="Compact"/>
              <w:jc w:val="left"/>
            </w:pPr>
            <w:r>
              <w:t xml:space="preserve">The federal SBC template's three standardized scenarios (having a baby, managing diabetes, simple fracture) are meant to be run through a detailed federal calculator with standardized utilization tables. The per-plan totals discussed in chat are simplified illustrative estimates, not calculator-grade output, and are not yet in the Bundle at all. Fine for demo purposes — call it out explicitly if asked how those numbers were derived.</w:t>
            </w:r>
          </w:p>
        </w:tc>
        <w:tc>
          <w:tcPr/>
          <w:p>
            <w:pPr>
              <w:pStyle w:val="Compact"/>
              <w:jc w:val="left"/>
            </w:pPr>
            <w:r>
              <w:t xml:space="preserve">Chat discussion 2026-09-26</w:t>
            </w:r>
          </w:p>
        </w:tc>
      </w:tr>
    </w:tbl>
    <w:bookmarkEnd w:id="30"/>
    <w:bookmarkStart w:id="31" w:name="X1e551b13e30c2e6e7edc1c55b546249f7aab3c3"/>
    <w:p>
      <w:pPr>
        <w:pStyle w:val="Heading2"/>
      </w:pPr>
      <w:r>
        <w:t xml:space="preserve">Schema follow-ups (from FHIR 4.0.1 alignment)</w:t>
      </w:r>
    </w:p>
    <w:p>
      <w:pPr>
        <w:pStyle w:val="FirstParagraph"/>
      </w:pPr>
      <w:r>
        <w:t xml:space="preserve">The current discovery schema does not yet match the decisions above. These changes are needed when the schema is next revised.</w:t>
      </w:r>
      <w:r>
        <w:t xml:space="preserve"> </w:t>
      </w:r>
      <w:r>
        <w:rPr>
          <w:iCs/>
          <w:i/>
        </w:rPr>
        <w:t xml:space="preserve">(Unaffected by the v4 single-insurer change — none of these follow-ups concern insurer cardinality. Also note: as of 2026-09-26 the hand-rolled SQLite schema has been set aside in favor of a local HAPI FHIR server — these follow-ups are superseded by that server's native FHIR R4 conformance, but are left here as a record of what the SQLite schema would have needed.)</w:t>
      </w:r>
    </w:p>
    <w:p>
      <w:pPr>
        <w:numPr>
          <w:ilvl w:val="0"/>
          <w:numId w:val="1003"/>
        </w:numPr>
        <w:pStyle w:val="Compact"/>
      </w:pPr>
      <w:r>
        <w:rPr>
          <w:rStyle w:val="VerbatimChar"/>
        </w:rPr>
        <w:t xml:space="preserve">coverages</w:t>
      </w:r>
      <w:r>
        <w:t xml:space="preserve"> </w:t>
      </w:r>
      <w:r>
        <w:t xml:space="preserve">needs a</w:t>
      </w:r>
      <w:r>
        <w:t xml:space="preserve"> </w:t>
      </w:r>
      <w:r>
        <w:rPr>
          <w:bCs/>
          <w:b/>
        </w:rPr>
        <w:t xml:space="preserve">subscriber</w:t>
      </w:r>
      <w:r>
        <w:t xml:space="preserve"> </w:t>
      </w:r>
      <w:r>
        <w:t xml:space="preserve">reference, a</w:t>
      </w:r>
      <w:r>
        <w:t xml:space="preserve"> </w:t>
      </w:r>
      <w:r>
        <w:rPr>
          <w:bCs/>
          <w:b/>
        </w:rPr>
        <w:t xml:space="preserve">policy holder</w:t>
      </w:r>
      <w:r>
        <w:t xml:space="preserve"> </w:t>
      </w:r>
      <w:r>
        <w:t xml:space="preserve">reference (to the Company), a subscriber/member ID, and a</w:t>
      </w:r>
      <w:r>
        <w:t xml:space="preserve"> </w:t>
      </w:r>
      <w:r>
        <w:rPr>
          <w:bCs/>
          <w:b/>
        </w:rPr>
        <w:t xml:space="preserve">relationship</w:t>
      </w:r>
      <w:r>
        <w:t xml:space="preserve"> </w:t>
      </w:r>
      <w:r>
        <w:t xml:space="preserve">to the subscriber ("self"). Today it has only</w:t>
      </w:r>
      <w:r>
        <w:t xml:space="preserve"> </w:t>
      </w:r>
      <w:r>
        <w:rPr>
          <w:rStyle w:val="VerbatimChar"/>
        </w:rPr>
        <w:t xml:space="preserve">beneficiary_resource_id</w:t>
      </w:r>
      <w:r>
        <w:t xml:space="preserve"> </w:t>
      </w:r>
      <w:r>
        <w:t xml:space="preserve">and an ambiguous</w:t>
      </w:r>
      <w:r>
        <w:t xml:space="preserve"> </w:t>
      </w:r>
      <w:r>
        <w:rPr>
          <w:rStyle w:val="VerbatimChar"/>
        </w:rPr>
        <w:t xml:space="preserve">payor_org_id</w:t>
      </w:r>
      <w:r>
        <w:t xml:space="preserve">.</w:t>
      </w:r>
    </w:p>
    <w:p>
      <w:pPr>
        <w:numPr>
          <w:ilvl w:val="0"/>
          <w:numId w:val="1003"/>
        </w:numPr>
        <w:pStyle w:val="Compact"/>
      </w:pPr>
      <w:r>
        <w:t xml:space="preserve">In FHIR R4,</w:t>
      </w:r>
      <w:r>
        <w:t xml:space="preserve"> </w:t>
      </w:r>
      <w:r>
        <w:rPr>
          <w:rStyle w:val="VerbatimChar"/>
        </w:rPr>
        <w:t xml:space="preserve">Coverage</w:t>
      </w:r>
      <w:r>
        <w:t xml:space="preserve"> </w:t>
      </w:r>
      <w:r>
        <w:t xml:space="preserve">has no direct reference to</w:t>
      </w:r>
      <w:r>
        <w:t xml:space="preserve"> </w:t>
      </w:r>
      <w:r>
        <w:rPr>
          <w:rStyle w:val="VerbatimChar"/>
        </w:rPr>
        <w:t xml:space="preserve">InsurancePlan</w:t>
      </w:r>
      <w:r>
        <w:t xml:space="preserve">. The plan is normally conveyed through</w:t>
      </w:r>
      <w:r>
        <w:t xml:space="preserve"> </w:t>
      </w:r>
      <w:r>
        <w:rPr>
          <w:rStyle w:val="VerbatimChar"/>
        </w:rPr>
        <w:t xml:space="preserve">Coverage.class</w:t>
      </w:r>
      <w:r>
        <w:t xml:space="preserve"> </w:t>
      </w:r>
      <w:r>
        <w:t xml:space="preserve">(type "plan"), and the group through</w:t>
      </w:r>
      <w:r>
        <w:t xml:space="preserve"> </w:t>
      </w:r>
      <w:r>
        <w:rPr>
          <w:rStyle w:val="VerbatimChar"/>
        </w:rPr>
        <w:t xml:space="preserve">Coverage.class</w:t>
      </w:r>
      <w:r>
        <w:t xml:space="preserve"> </w:t>
      </w:r>
      <w:r>
        <w:t xml:space="preserve">(type "group"). The current</w:t>
      </w:r>
      <w:r>
        <w:t xml:space="preserve"> </w:t>
      </w:r>
      <w:r>
        <w:rPr>
          <w:rStyle w:val="VerbatimChar"/>
        </w:rPr>
        <w:t xml:space="preserve">insurance_plan_id</w:t>
      </w:r>
      <w:r>
        <w:t xml:space="preserve"> </w:t>
      </w:r>
      <w:r>
        <w:t xml:space="preserve">foreign key is a convenient shortcut, but it is a deviation from the standard and should be a conscious choice.</w:t>
      </w:r>
    </w:p>
    <w:p>
      <w:pPr>
        <w:numPr>
          <w:ilvl w:val="0"/>
          <w:numId w:val="1003"/>
        </w:numPr>
        <w:pStyle w:val="Compact"/>
      </w:pPr>
      <w:r>
        <w:t xml:space="preserve">The</w:t>
      </w:r>
      <w:r>
        <w:t xml:space="preserve"> </w:t>
      </w:r>
      <w:r>
        <w:rPr>
          <w:rStyle w:val="VerbatimChar"/>
        </w:rPr>
        <w:t xml:space="preserve">coverage_type</w:t>
      </w:r>
      <w:r>
        <w:t xml:space="preserve"> </w:t>
      </w:r>
      <w:r>
        <w:t xml:space="preserve">CHECK constraint still lists</w:t>
      </w:r>
      <w:r>
        <w:t xml:space="preserve"> </w:t>
      </w:r>
      <w:r>
        <w:rPr>
          <w:rStyle w:val="VerbatimChar"/>
        </w:rPr>
        <w:t xml:space="preserve">life</w:t>
      </w:r>
      <w:r>
        <w:t xml:space="preserve"> </w:t>
      </w:r>
      <w:r>
        <w:t xml:space="preserve">and</w:t>
      </w:r>
      <w:r>
        <w:t xml:space="preserve"> </w:t>
      </w:r>
      <w:r>
        <w:rPr>
          <w:rStyle w:val="VerbatimChar"/>
        </w:rPr>
        <w:t xml:space="preserve">ADD</w:t>
      </w:r>
      <w:r>
        <w:t xml:space="preserve">. Both are now out of scope.</w:t>
      </w:r>
    </w:p>
    <w:p>
      <w:pPr>
        <w:numPr>
          <w:ilvl w:val="0"/>
          <w:numId w:val="1003"/>
        </w:numPr>
        <w:pStyle w:val="Compact"/>
      </w:pPr>
      <w:r>
        <w:t xml:space="preserve">The</w:t>
      </w:r>
      <w:r>
        <w:t xml:space="preserve"> </w:t>
      </w:r>
      <w:r>
        <w:rPr>
          <w:rStyle w:val="VerbatimChar"/>
        </w:rPr>
        <w:t xml:space="preserve">org_type</w:t>
      </w:r>
      <w:r>
        <w:t xml:space="preserve"> </w:t>
      </w:r>
      <w:r>
        <w:t xml:space="preserve">values (</w:t>
      </w:r>
      <w:r>
        <w:rPr>
          <w:rStyle w:val="VerbatimChar"/>
        </w:rPr>
        <w:t xml:space="preserve">insurer</w:t>
      </w:r>
      <w:r>
        <w:t xml:space="preserve">,</w:t>
      </w:r>
      <w:r>
        <w:t xml:space="preserve"> </w:t>
      </w:r>
      <w:r>
        <w:rPr>
          <w:rStyle w:val="VerbatimChar"/>
        </w:rPr>
        <w:t xml:space="preserve">employer</w:t>
      </w:r>
      <w:r>
        <w:t xml:space="preserve">) are fine as they are.</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2026-10-01T22:06:30Z</dcterms:created>
  <dcterms:modified xsi:type="dcterms:W3CDTF">2026-10-01T22:06:30Z</dcterms:modified>
</cp:coreProperties>
</file>

<file path=docProps/custom.xml><?xml version="1.0" encoding="utf-8"?>
<Properties xmlns="http://schemas.openxmlformats.org/officeDocument/2006/custom-properties" xmlns:vt="http://schemas.openxmlformats.org/officeDocument/2006/docPropsVTypes"/>
</file>