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Philosophical Transactions of the Royal Society B</w:t>
      </w:r>
      <w:r>
        <w:br w:type="textWrapping"/>
      </w:r>
      <w:r>
        <w:t xml:space="preserve">Publishing Section</w:t>
      </w:r>
      <w:r>
        <w:br w:type="textWrapping"/>
      </w:r>
      <w:r>
        <w:t xml:space="preserve">The Royal Society</w:t>
      </w:r>
      <w:r>
        <w:br w:type="textWrapping"/>
      </w:r>
      <w:r>
        <w:t xml:space="preserve">6-9 Carlton House Terrace</w:t>
      </w:r>
      <w:r>
        <w:br w:type="textWrapping"/>
      </w:r>
      <w:r>
        <w:t xml:space="preserve">London SW1Y 5AG</w:t>
      </w:r>
      <w:r>
        <w:br w:type="textWrapping"/>
      </w:r>
      <w:r>
        <w:t xml:space="preserve">England</w:t>
      </w:r>
      <w:r>
        <w:br w:type="textWrapping"/>
      </w:r>
    </w:p>
    <w:p>
      <w:pPr>
        <w:pStyle w:val="BodyText"/>
      </w:pPr>
      <w:r>
        <w:rPr>
          <w:b/>
        </w:rPr>
        <w:t xml:space="preserve">Re: Eco-evolutionary dynamics and collective migration:</w:t>
      </w:r>
    </w:p>
    <w:p>
      <w:pPr>
        <w:pStyle w:val="BodyText"/>
      </w:pPr>
      <w:r>
        <w:br w:type="textWrapping"/>
      </w:r>
    </w:p>
    <w:p>
      <w:pPr>
        <w:pStyle w:val="BodyText"/>
      </w:pPr>
      <w:r>
        <w:rPr>
          <w:b/>
        </w:rPr>
        <w:t xml:space="preserve">implications for salmon metapopulation robustness</w:t>
      </w:r>
    </w:p>
    <w:p>
      <w:pPr>
        <w:pStyle w:val="BodyText"/>
      </w:pPr>
      <w:r>
        <w:t xml:space="preserve">To the editorial committee,</w:t>
      </w:r>
    </w:p>
    <w:p>
      <w:pPr>
        <w:pStyle w:val="Heading1"/>
      </w:pPr>
      <w:bookmarkStart w:id="21" w:name="reviewer-i"/>
      <w:bookmarkEnd w:id="21"/>
      <w:r>
        <w:t xml:space="preserve">Reviewer I</w:t>
      </w:r>
    </w:p>
    <w:p>
      <w:pPr>
        <w:pStyle w:val="Heading2"/>
      </w:pPr>
      <w:bookmarkStart w:id="22" w:name="major-comments"/>
      <w:bookmarkEnd w:id="22"/>
      <w:r>
        <w:t xml:space="preserve">Major comments:</w:t>
      </w:r>
    </w:p>
    <w:p>
      <w:pPr>
        <w:pStyle w:val="FirstParagraph"/>
      </w:pPr>
      <w:r>
        <w:rPr>
          <w:b/>
        </w:rPr>
        <w:t xml:space="preserve">Response 1.1</w:t>
      </w:r>
      <w:r>
        <w:t xml:space="preserve"> </w:t>
      </w:r>
      <w:r>
        <w:t xml:space="preserve">We appreciate the Reviewer’s concern, however note that equation 4) is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i</m:t>
                    </m:r>
                  </m:sub>
                </m:sSub>
                <m:r>
                  <m:t>(</m:t>
                </m:r>
                <m:r>
                  <m:t>t</m:t>
                </m:r>
                <m:r>
                  <m:t>+</m:t>
                </m:r>
                <m:r>
                  <m:t>1</m:t>
                </m:r>
                <m:r>
                  <m:t>)</m:t>
                </m:r>
              </m:e>
              <m:e>
                <m:r>
                  <m:t>=</m:t>
                </m:r>
                <m:sSub>
                  <m:e>
                    <m:r>
                      <m:t>w</m:t>
                    </m:r>
                  </m:e>
                  <m:sub>
                    <m:r>
                      <m:t>i</m:t>
                    </m:r>
                  </m:sub>
                </m:sSub>
                <m:sSub>
                  <m:e>
                    <m:r>
                      <m:t>μ</m:t>
                    </m:r>
                  </m:e>
                  <m:sub>
                    <m:r>
                      <m:t>i</m:t>
                    </m:r>
                  </m:sub>
                </m:sSub>
                <m:r>
                  <m:t>(</m:t>
                </m:r>
                <m:r>
                  <m:t>t</m:t>
                </m:r>
                <m:r>
                  <m:t>)</m:t>
                </m:r>
                <m:r>
                  <m:t>+</m:t>
                </m:r>
                <m:r>
                  <m:t>(</m:t>
                </m:r>
                <m:r>
                  <m:t>1</m:t>
                </m:r>
                <m:r>
                  <m:t>−</m:t>
                </m:r>
                <m:sSub>
                  <m:e>
                    <m:r>
                      <m:t>w</m:t>
                    </m:r>
                  </m:e>
                  <m:sub>
                    <m:r>
                      <m:t>i</m:t>
                    </m:r>
                  </m:sub>
                </m:sSub>
                <m:r>
                  <m:t>)</m:t>
                </m:r>
                <m:sSub>
                  <m:e>
                    <m:r>
                      <m:t>μ</m:t>
                    </m:r>
                  </m:e>
                  <m:sub>
                    <m:r>
                      <m:t>j</m:t>
                    </m:r>
                  </m:sub>
                </m:sSub>
                <m:r>
                  <m:t>(</m:t>
                </m:r>
                <m:r>
                  <m:t>t</m:t>
                </m:r>
                <m:r>
                  <m:t>)</m:t>
                </m:r>
              </m:e>
            </m:mr>
            <m:mr>
              <m:e/>
              <m:e>
                <m:r>
                  <m:t>+</m:t>
                </m:r>
                <m:sSup>
                  <m:e>
                    <m:r>
                      <m:t>h</m:t>
                    </m:r>
                  </m:e>
                  <m:sup>
                    <m:r>
                      <m:t>2</m:t>
                    </m:r>
                  </m:sup>
                </m:sSup>
                <m:sSup>
                  <m:e>
                    <m:r>
                      <m:t>σ</m:t>
                    </m:r>
                  </m:e>
                  <m:sup>
                    <m:r>
                      <m:t>2</m:t>
                    </m:r>
                  </m:sup>
                </m:sSup>
                <m:f>
                  <m:fPr>
                    <m:type m:val="bar"/>
                  </m:fPr>
                  <m:num>
                    <m:r>
                      <m:t>∂</m:t>
                    </m:r>
                  </m:num>
                  <m:den>
                    <m:r>
                      <m:t>∂</m:t>
                    </m:r>
                    <m:sSub>
                      <m:e>
                        <m:r>
                          <m:t>μ</m:t>
                        </m:r>
                      </m:e>
                      <m:sub>
                        <m:r>
                          <m:t>i</m:t>
                        </m:r>
                      </m:sub>
                    </m:sSub>
                  </m:den>
                </m:f>
                <m:r>
                  <m:rPr>
                    <m:sty m:val="p"/>
                  </m:rPr>
                  <m:t>ln</m:t>
                </m:r>
                <m:d>
                  <m:dPr>
                    <m:begChr m:val="("/>
                    <m:endChr m:val=")"/>
                    <m:grow/>
                  </m:dPr>
                  <m:e>
                    <m:sSub>
                      <m:e>
                        <m:r>
                          <m:t>w</m:t>
                        </m:r>
                      </m:e>
                      <m:sub>
                        <m:r>
                          <m:t>i</m:t>
                        </m:r>
                      </m:sub>
                    </m:sSub>
                    <m:sSub>
                      <m:e>
                        <m:r>
                          <m:t>R</m:t>
                        </m:r>
                      </m:e>
                      <m:sub>
                        <m:r>
                          <m:t>i</m:t>
                        </m:r>
                      </m:sub>
                    </m:sSub>
                    <m:r>
                      <m:t>[</m:t>
                    </m:r>
                    <m:sSub>
                      <m:e>
                        <m:r>
                          <m:t>μ</m:t>
                        </m:r>
                      </m:e>
                      <m:sub>
                        <m:r>
                          <m:t>i</m:t>
                        </m:r>
                      </m:sub>
                    </m:sSub>
                    <m:r>
                      <m:t>(</m:t>
                    </m:r>
                    <m:r>
                      <m:t>t</m:t>
                    </m:r>
                    <m:r>
                      <m:t>)</m:t>
                    </m:r>
                    <m:r>
                      <m:t>]</m:t>
                    </m:r>
                    <m:r>
                      <m:t>+</m:t>
                    </m:r>
                    <m:r>
                      <m:t>(</m:t>
                    </m:r>
                    <m:r>
                      <m:t>1</m:t>
                    </m:r>
                    <m:r>
                      <m:t>−</m:t>
                    </m:r>
                    <m:sSub>
                      <m:e>
                        <m:r>
                          <m:t>w</m:t>
                        </m:r>
                      </m:e>
                      <m:sub>
                        <m:r>
                          <m:t>i</m:t>
                        </m:r>
                      </m:sub>
                    </m:sSub>
                    <m:r>
                      <m:t>)</m:t>
                    </m:r>
                    <m:sSub>
                      <m:e>
                        <m:r>
                          <m:t>R</m:t>
                        </m:r>
                      </m:e>
                      <m:sub>
                        <m:r>
                          <m:t>i</m:t>
                        </m:r>
                      </m:sub>
                    </m:sSub>
                    <m:r>
                      <m:t>[</m:t>
                    </m:r>
                    <m:sSub>
                      <m:e>
                        <m:r>
                          <m:t>μ</m:t>
                        </m:r>
                      </m:e>
                      <m:sub>
                        <m:r>
                          <m:t>j</m:t>
                        </m:r>
                      </m:sub>
                    </m:sSub>
                    <m:r>
                      <m:t>(</m:t>
                    </m:r>
                    <m:r>
                      <m:t>t</m:t>
                    </m:r>
                    <m:r>
                      <m:t>)</m:t>
                    </m:r>
                    <m:r>
                      <m:t>]</m:t>
                    </m:r>
                  </m:e>
                </m:d>
                <m:r>
                  <m:t>.</m:t>
                </m:r>
              </m:e>
            </m:mr>
          </m:m>
        </m:oMath>
      </m:oMathPara>
    </w:p>
    <w:p>
      <w:pPr>
        <w:pStyle w:val="FirstParagraph"/>
      </w:pPr>
      <w:r>
        <w:t xml:space="preserve">Because the third term on the right is the derivative of the log of the sum (as it must be for the discrete time version of the Lande equation; Lande</w:t>
      </w:r>
      <w:r>
        <w:t xml:space="preserve"> </w:t>
      </w:r>
      <w:r>
        <w:rPr>
          <w:i/>
        </w:rPr>
        <w:t xml:space="preserve">Evolution</w:t>
      </w:r>
      <w:r>
        <w:t xml:space="preserve">, 1976), the derivative of the second term within the logarithm is not zero, and both phenotypic means contribute to the strength and direction of selection, such that</w:t>
      </w:r>
    </w:p>
    <w:p>
      <w:pPr>
        <w:pStyle w:val="BodyText"/>
      </w:pPr>
      <w:r>
        <w:t xml:space="preserve">$$\frac{\partial}{\partial \mu_i}\ln\left(w_i R_i[\mu_i] + (1-w_i)R_i[\mu_j]  \right) = \frac{\theta_i-\mu_i}{\left(\sigma ^2+\tau ^2\right) \left(1+\left(\frac{1}{w_i}-1\right) {\rm exp}\left[\frac{(\mu_i-\mu_j) (-2 \theta_i+\mu_i+\mu_j)}{2 \left(\sigma ^2+\tau ^2\right)}\right]\right)}.$$</w:t>
      </w:r>
    </w:p>
    <w:p>
      <w:pPr>
        <w:pStyle w:val="FirstParagraph"/>
      </w:pPr>
      <w:r>
        <w:rPr>
          <w:b/>
        </w:rPr>
        <w:t xml:space="preserve">Response 1.2</w:t>
      </w:r>
      <w:r>
        <w:t xml:space="preserve"> </w:t>
      </w:r>
      <w:r>
        <w:t xml:space="preserve">We are thankful for the Reviewer in pointing out this reference, which we are embarrassed to admit to having overlooked. The model indeed has many similarities to our own, and we now acknowledge its importance and priority within the manuscript. The similarities in the resulting dynamics suggest that what we are observing in the two-population salmon system, as well as the implications that we derive for metapopulation robustness and recovery, may be generally relevant and illustrative of a general phenomenon outside of the constraints introduced in the specific formulation of our model.</w:t>
      </w:r>
    </w:p>
    <w:p>
      <w:pPr>
        <w:pStyle w:val="BodyText"/>
      </w:pPr>
      <w:r>
        <w:t xml:space="preserve">We have made the following edits to the text:</w:t>
      </w:r>
      <w:r>
        <w:br w:type="textWrapping"/>
      </w:r>
      <w:r>
        <w:rPr>
          <w:b/>
        </w:rPr>
        <w:t xml:space="preserve">Line XXX:</w:t>
      </w:r>
      <w:r>
        <w:t xml:space="preserve"> </w:t>
      </w:r>
      <w:r>
        <w:rPr>
          <w:i/>
        </w:rPr>
        <w:t xml:space="preserve">This model formulation has parallels to that proposed by Ronce and Kirkpatrick [ref]), where habitat specialization evolves between two populations as a function of dispersal.</w:t>
      </w:r>
      <w:r>
        <w:rPr>
          <w:i/>
        </w:rPr>
        <w:t xml:space="preserve"> </w:t>
      </w:r>
      <w:r>
        <w:rPr>
          <w:i/>
        </w:rPr>
        <w:t xml:space="preserve">The largest difference between these approaches is that our framework treats trait evolution mechanistically (at some cost to analytical tractability).</w:t>
      </w:r>
      <w:r>
        <w:rPr>
          <w:i/>
        </w:rPr>
        <w:t xml:space="preserve"> </w:t>
      </w:r>
      <w:r>
        <w:rPr>
          <w:i/>
        </w:rPr>
        <w:t xml:space="preserve">Importantly, we show that the resulting dynamics are qualitatively similar, suggesting that the dynamical features present in both of these approaches have potentially widespread ramifications for the evolutionary dynamics of connected populations.</w:t>
      </w:r>
      <w:r>
        <w:br w:type="textWrapping"/>
      </w:r>
      <w:r>
        <w:rPr>
          <w:b/>
        </w:rPr>
        <w:t xml:space="preserve">Line XXX</w:t>
      </w:r>
      <w:r>
        <w:t xml:space="preserve"> </w:t>
      </w:r>
      <w:r>
        <w:rPr>
          <w:i/>
        </w:rPr>
        <w:t xml:space="preserve">This dynamic is also observed in the Ronce and Kirkpatrick model, which they describe as a transition from symmetric to asymmetric states [ref].</w:t>
      </w:r>
    </w:p>
    <w:p>
      <w:pPr>
        <w:pStyle w:val="BodyText"/>
      </w:pPr>
      <w:r>
        <w:rPr>
          <w:b/>
        </w:rPr>
        <w:t xml:space="preserve">Response 1.3</w:t>
      </w:r>
      <w:r>
        <w:t xml:space="preserve"> </w:t>
      </w:r>
      <w:r>
        <w:t xml:space="preserve">Both Reviewers indicated that our labeling of the Fold Bifurcation was incorrect, and that the identity of the transition of the system from symmetric to asymmetric states was in fact a Pitchfork bifurcation. We are happy to modify the identification of the bifurcation as the Reviewers suggest as the Pitchfork label will be more familiar to readers and is somewhat self-evident in terms of the bifurcation diagram that is displayed. At the same time, we would like to explain our reasoning, and maintain our position that the bifurcation is technically (and more generally) a fold bifurcation as well.</w:t>
      </w:r>
    </w:p>
    <w:p>
      <w:pPr>
        <w:pStyle w:val="BodyText"/>
      </w:pPr>
      <w:r>
        <w:t xml:space="preserve">According to Kuznetsov (1998), there are two principle bifurcations in discrete maps, from which others are composed: the Fold and Flip (period-doubling).</w:t>
      </w:r>
      <w:r>
        <w:t xml:space="preserve"> </w:t>
      </w:r>
      <w:r>
        <w:t xml:space="preserve">The Fold bifurcation is generally defined by the dominant eigenvalue</w:t>
      </w:r>
      <w:r>
        <w:t xml:space="preserve"> </w:t>
      </w:r>
      <m:oMath>
        <m:r>
          <m:t>λ</m:t>
        </m:r>
      </m:oMath>
      <w:r>
        <w:t xml:space="preserve"> </w:t>
      </w:r>
      <w:r>
        <w:t xml:space="preserve">intersecting the unit circle in Real-Imaginary space at</w:t>
      </w:r>
      <w:r>
        <w:t xml:space="preserve"> </w:t>
      </w:r>
      <w:r>
        <w:t xml:space="preserve">${\rm Re}[\lambda]=+1$</w:t>
      </w:r>
      <w:r>
        <w:t xml:space="preserve">.</w:t>
      </w:r>
      <w:r>
        <w:t xml:space="preserve"> </w:t>
      </w:r>
      <w:r>
        <w:t xml:space="preserve">We now include a new figure S3 that shows this is indeed the case for our system, and was the basis on which we initially identified the bifurcation. Although we are not specialists in bifurcation theory, our understanding is that the fold bifurcation is a general attribute based on this eigenvalue behavior, but as the Reviewers indicate, it is not a particularly clear or complete description of what is going on.</w:t>
      </w:r>
      <w:r>
        <w:t xml:space="preserve"> </w:t>
      </w:r>
      <w:r>
        <w:t xml:space="preserve">A familiar, and more complicated bifurcation that occurs in systems with</w:t>
      </w:r>
      <w:r>
        <w:t xml:space="preserve"> </w:t>
      </w:r>
      <m:oMath>
        <m:r>
          <m:t>≥</m:t>
        </m:r>
        <m:r>
          <m:t>2</m:t>
        </m:r>
      </m:oMath>
      <w:r>
        <w:t xml:space="preserve"> </w:t>
      </w:r>
      <w:r>
        <w:t xml:space="preserve">parameters is the Cusp bifurcation, which occurs when two fold bifurcations interact at a cusp.</w:t>
      </w:r>
      <w:r>
        <w:t xml:space="preserve"> </w:t>
      </w:r>
      <w:r>
        <w:t xml:space="preserve">A one-dimensional transect through the cusp results in what is commonly referred to as a Pitchfork Bifurcation (topological normal form:</w:t>
      </w:r>
      <w:r>
        <w:t xml:space="preserve"> </w:t>
      </w:r>
      <m:oMath>
        <m:r>
          <m:t>x</m:t>
        </m:r>
        <m:r>
          <m:t>↦</m:t>
        </m:r>
        <m:r>
          <m:t>x</m:t>
        </m:r>
        <m:r>
          <m:t>+</m:t>
        </m:r>
        <m:r>
          <m:t>β</m:t>
        </m:r>
        <m:r>
          <m:t>x</m:t>
        </m:r>
        <m:r>
          <m:t>−</m:t>
        </m:r>
        <m:sSup>
          <m:e>
            <m:r>
              <m:t>x</m:t>
            </m:r>
          </m:e>
          <m:sup>
            <m:r>
              <m:t>3</m:t>
            </m:r>
          </m:sup>
        </m:sSup>
      </m:oMath>
      <w:r>
        <w:t xml:space="preserve">). At the cusp (</w:t>
      </w:r>
      <m:oMath>
        <m:r>
          <m:t>β</m:t>
        </m:r>
        <m:r>
          <m:t>=</m:t>
        </m:r>
        <m:r>
          <m:t>0</m:t>
        </m:r>
      </m:oMath>
      <w:r>
        <w:t xml:space="preserve">), the single fixed point crosses the combined fold bifurcations, and here it branches into 3 fixed points; two stable fixed points separated by an unstable fixed point.</w:t>
      </w:r>
      <w:r>
        <w:t xml:space="preserve"> </w:t>
      </w:r>
      <w:r>
        <w:t xml:space="preserve">Identifying the bifurcation as a Pitchfork bifurcation increases clarity and specificity, and we have made the appropriate edits in an effort to do so.</w:t>
      </w:r>
    </w:p>
    <w:p>
      <w:pPr>
        <w:pStyle w:val="BodyText"/>
      </w:pPr>
      <w:r>
        <w:t xml:space="preserve">As the Reviewers suggest, we investigated whether or not our system displays hysteresis, as does the system in the Ronce and Kirkpatrick model.</w:t>
      </w:r>
      <w:r>
        <w:t xml:space="preserve"> </w:t>
      </w:r>
      <w:r>
        <w:t xml:space="preserve">We now show that it does (figure S4), a feature characteristic of Cusp bifurcations in general.</w:t>
      </w:r>
      <w:r>
        <w:t xml:space="preserve"> </w:t>
      </w:r>
      <w:r>
        <w:t xml:space="preserve">This is more evidence that the dynamics described here and in Ronce and Kirkpatrick are perhaps general phenomena of spatially-linked eco-evolutionary systems.</w:t>
      </w:r>
      <w:r>
        <w:t xml:space="preserve"> </w:t>
      </w:r>
      <w:r>
        <w:t xml:space="preserve">This perspective is reinforced by the fact that altering parameters between the two sites (creating asymmetry) does not alter the qualitative nature of the system.</w:t>
      </w:r>
    </w:p>
    <w:p>
      <w:pPr>
        <w:pStyle w:val="BodyText"/>
      </w:pPr>
      <w:r>
        <w:rPr>
          <w:b/>
        </w:rPr>
        <w:t xml:space="preserve">Response 1.4</w:t>
      </w:r>
      <w:r>
        <w:t xml:space="preserve"> </w:t>
      </w:r>
      <w:r>
        <w:t xml:space="preserve">We thank the Reviewer and apologize for our lack of clarity. We emphasize that our measure of recovery time is a numerical measurement, as eigenvalue-based (asymptotic) measures are not appropriate for the scale of disturbance that we introduce (extinction in some cases - far from the non-trivial fixed point(s) of the system). The procedure is now described in more detail within the text, and illustrated graphically in an additional supplemental figure (figure S1). In short, we track the recovering aggregate population</w:t>
      </w:r>
      <w:r>
        <w:t xml:space="preserve"> </w:t>
      </w:r>
      <m:oMath>
        <m:sSub>
          <m:e>
            <m:r>
              <m:t>N</m:t>
            </m:r>
          </m:e>
          <m:sub>
            <m:r>
              <m:t>T</m:t>
            </m:r>
          </m:sub>
        </m:sSub>
        <m:r>
          <m:t>=</m:t>
        </m:r>
        <m:sSub>
          <m:e>
            <m:r>
              <m:t>N</m:t>
            </m:r>
          </m:e>
          <m:sub>
            <m:r>
              <m:t>1</m:t>
            </m:r>
          </m:sub>
        </m:sSub>
        <m:r>
          <m:t>+</m:t>
        </m:r>
        <m:sSub>
          <m:e>
            <m:r>
              <m:t>N</m:t>
            </m:r>
          </m:e>
          <m:sub>
            <m:r>
              <m:t>2</m:t>
            </m:r>
          </m:sub>
        </m:sSub>
      </m:oMath>
      <w:r>
        <w:t xml:space="preserve"> </w:t>
      </w:r>
      <w:r>
        <w:t xml:space="preserve">until it is within a standard deviation around the</w:t>
      </w:r>
      <w:r>
        <w:t xml:space="preserve"> </w:t>
      </w:r>
      <w:r>
        <w:rPr>
          <w:i/>
        </w:rPr>
        <w:t xml:space="preserve">updated</w:t>
      </w:r>
      <w:r>
        <w:t xml:space="preserve"> </w:t>
      </w:r>
      <w:r>
        <w:t xml:space="preserve">fixed point (thus accounting for fixed points that are altered by the disturbance). Note that this recovery time is specifically for the aggregate population, such that if a single population takes a long time to recovery relative to the other, the aggregate takes longer to recover as well. If</w:t>
      </w:r>
      <w:r>
        <w:t xml:space="preserve"> </w:t>
      </w:r>
      <m:oMath>
        <m:sSub>
          <m:e>
            <m:r>
              <m:t>N</m:t>
            </m:r>
          </m:e>
          <m:sub>
            <m:r>
              <m:t>T</m:t>
            </m:r>
          </m:sub>
        </m:sSub>
      </m:oMath>
      <w:r>
        <w:t xml:space="preserve"> </w:t>
      </w:r>
      <w:r>
        <w:t xml:space="preserve">remains within a standard deviation of the final fixed point for some period of time, it is counted as recovered. Accordingly, trajectories that cycle around the fixed point are not counted as recovered until the cycles decay. To ensure reproducibility, all code is provided online in the Github repository: https://github.com/jdyeakel/SalmonStrays.</w:t>
      </w:r>
    </w:p>
    <w:p>
      <w:pPr>
        <w:pStyle w:val="BodyText"/>
      </w:pPr>
      <w:r>
        <w:t xml:space="preserve">We have made the following edits to the text:</w:t>
      </w:r>
      <w:r>
        <w:br w:type="textWrapping"/>
      </w:r>
      <w:r>
        <w:rPr>
          <w:b/>
        </w:rPr>
        <w:t xml:space="preserve">Line XXX:</w:t>
      </w:r>
      <w:r>
        <w:t xml:space="preserve"> </w:t>
      </w:r>
      <w:r>
        <w:rPr>
          <w:i/>
        </w:rPr>
        <w:t xml:space="preserve">Recovery time was calculated by initiating a disturbance at</w:t>
      </w:r>
      <w:r>
        <w:rPr>
          <w:i/>
        </w:rPr>
        <w:t xml:space="preserve"> </w:t>
      </w:r>
      <m:oMath>
        <m:r>
          <m:t>t</m:t>
        </m:r>
        <m:r>
          <m:t>=</m:t>
        </m:r>
        <m:sSub>
          <m:e>
            <m:r>
              <m:t>t</m:t>
            </m:r>
          </m:e>
          <m:sub>
            <m:r>
              <m:t>d</m:t>
            </m:r>
          </m:sub>
        </m:sSub>
      </m:oMath>
      <w:r>
        <w:rPr>
          <w:i/>
        </w:rPr>
        <w:t xml:space="preserve">, and monitoring</w:t>
      </w:r>
      <w:r>
        <w:rPr>
          <w:i/>
        </w:rPr>
        <w:t xml:space="preserve"> </w:t>
      </w:r>
      <m:oMath>
        <m:sSub>
          <m:e>
            <m:r>
              <m:t>N</m:t>
            </m:r>
          </m:e>
          <m:sub>
            <m:r>
              <m:t>T</m:t>
            </m:r>
          </m:sub>
        </m:sSub>
        <m:r>
          <m:t>(</m:t>
        </m:r>
        <m:sSub>
          <m:e>
            <m:r>
              <m:t>t</m:t>
            </m:r>
          </m:e>
          <m:sub>
            <m:r>
              <m:t>d</m:t>
            </m:r>
          </m:sub>
        </m:sSub>
        <m:r>
          <m:t>+</m:t>
        </m:r>
        <m:r>
          <m:t>t</m:t>
        </m:r>
        <m:r>
          <m:t>)</m:t>
        </m:r>
      </m:oMath>
      <w:r>
        <w:rPr>
          <w:i/>
        </w:rPr>
        <w:t xml:space="preserve"> </w:t>
      </w:r>
      <w:r>
        <w:rPr>
          <w:i/>
        </w:rPr>
        <w:t xml:space="preserve">as</w:t>
      </w:r>
      <w:r>
        <w:rPr>
          <w:i/>
        </w:rPr>
        <w:t xml:space="preserve"> </w:t>
      </w:r>
      <m:oMath>
        <m:r>
          <m:t>t</m:t>
        </m:r>
        <m:r>
          <m:t>→</m:t>
        </m:r>
        <m:r>
          <m:t>T</m:t>
        </m:r>
      </m:oMath>
      <w:r>
        <w:rPr>
          <w:i/>
        </w:rPr>
        <w:t xml:space="preserve">, where</w:t>
      </w:r>
      <w:r>
        <w:rPr>
          <w:i/>
        </w:rPr>
        <w:t xml:space="preserve"> </w:t>
      </w:r>
      <m:oMath>
        <m:r>
          <m:t>T</m:t>
        </m:r>
      </m:oMath>
      <w:r>
        <w:rPr>
          <w:i/>
        </w:rPr>
        <w:t xml:space="preserve"> </w:t>
      </w:r>
      <w:r>
        <w:rPr>
          <w:i/>
        </w:rPr>
        <w:t xml:space="preserve">is large.</w:t>
      </w:r>
      <w:r>
        <w:rPr>
          <w:i/>
        </w:rPr>
        <w:t xml:space="preserve"> </w:t>
      </w:r>
      <w:r>
        <w:rPr>
          <w:i/>
        </w:rPr>
        <w:t xml:space="preserve">The aggregate was deemed recovered at</w:t>
      </w:r>
      <w:r>
        <w:rPr>
          <w:i/>
        </w:rPr>
        <w:t xml:space="preserve"> </w:t>
      </w:r>
      <m:oMath>
        <m:sSub>
          <m:e>
            <m:r>
              <m:t>t</m:t>
            </m:r>
          </m:e>
          <m:sub>
            <m:r>
              <m:t>r</m:t>
            </m:r>
          </m:sub>
        </m:sSub>
      </m:oMath>
      <w:r>
        <w:rPr>
          <w:i/>
        </w:rPr>
        <w:t xml:space="preserve">, such that recovery time was calculated as</w:t>
      </w:r>
      <w:r>
        <w:rPr>
          <w:i/>
        </w:rPr>
        <w:t xml:space="preserve"> </w:t>
      </w:r>
      <m:oMath>
        <m:sSub>
          <m:e>
            <m:r>
              <m:t>t</m:t>
            </m:r>
          </m:e>
          <m:sub>
            <m:r>
              <m:t>r</m:t>
            </m:r>
          </m:sub>
        </m:sSub>
        <m:r>
          <m:t>−</m:t>
        </m:r>
        <m:sSub>
          <m:e>
            <m:r>
              <m:t>t</m:t>
            </m:r>
          </m:e>
          <m:sub>
            <m:r>
              <m:t>d</m:t>
            </m:r>
          </m:sub>
        </m:sSub>
      </m:oMath>
      <w:r>
        <w:rPr>
          <w:i/>
        </w:rPr>
        <w:t xml:space="preserve">, and recovery at</w:t>
      </w:r>
      <w:r>
        <w:rPr>
          <w:i/>
        </w:rPr>
        <w:t xml:space="preserve"> </w:t>
      </w:r>
      <m:oMath>
        <m:r>
          <m:t>t</m:t>
        </m:r>
        <m:r>
          <m:t>=</m:t>
        </m:r>
        <m:sSub>
          <m:e>
            <m:r>
              <m:t>t</m:t>
            </m:r>
          </m:e>
          <m:sub>
            <m:r>
              <m:t>r</m:t>
            </m:r>
          </m:sub>
        </m:sSub>
      </m:oMath>
      <w:r>
        <w:rPr>
          <w:i/>
        </w:rPr>
        <w:t xml:space="preserve"> </w:t>
      </w:r>
      <w:r>
        <w:rPr>
          <w:i/>
        </w:rPr>
        <w:t xml:space="preserve">was measured as the initial</w:t>
      </w:r>
      <w:r>
        <w:rPr>
          <w:i/>
        </w:rPr>
        <w:t xml:space="preserve"> </w:t>
      </w:r>
      <m:oMath>
        <m:r>
          <m:t>t</m:t>
        </m:r>
      </m:oMath>
      <w:r>
        <w:rPr>
          <w:i/>
        </w:rPr>
        <w:t xml:space="preserve"> </w:t>
      </w:r>
      <w:r>
        <w:rPr>
          <w:i/>
        </w:rPr>
        <w:t xml:space="preserve">where</w:t>
      </w:r>
      <w:r>
        <w:rPr>
          <w:i/>
        </w:rPr>
        <w:t xml:space="preserve"> </w:t>
      </w:r>
      <w:r>
        <w:rPr>
          <w:i/>
        </w:rPr>
        <w:t xml:space="preserve">$N_T(t) &lt; {\rm SD}\left( N_T^* \right)$</w:t>
      </w:r>
      <w:r>
        <w:rPr>
          <w:i/>
        </w:rPr>
        <w:t xml:space="preserve"> </w:t>
      </w:r>
      <w:r>
        <w:rPr>
          <w:i/>
        </w:rPr>
        <w:t xml:space="preserve">for</w:t>
      </w:r>
      <w:r>
        <w:rPr>
          <w:i/>
        </w:rPr>
        <w:t xml:space="preserve"> </w:t>
      </w:r>
      <m:oMath>
        <m:r>
          <m:t>t</m:t>
        </m:r>
        <m:r>
          <m:t>∈</m:t>
        </m:r>
        <m:r>
          <m:t>(</m:t>
        </m:r>
        <m:sSub>
          <m:e>
            <m:r>
              <m:t>t</m:t>
            </m:r>
          </m:e>
          <m:sub>
            <m:r>
              <m:t>r</m:t>
            </m:r>
          </m:sub>
        </m:sSub>
        <m:r>
          <m:t>,</m:t>
        </m:r>
        <m:r>
          <m:t>T</m:t>
        </m:r>
        <m:r>
          <m:t>)</m:t>
        </m:r>
      </m:oMath>
      <w:r>
        <w:rPr>
          <w:i/>
        </w:rPr>
        <w:t xml:space="preserve">, where</w:t>
      </w:r>
      <w:r>
        <w:rPr>
          <w:i/>
        </w:rPr>
        <w:t xml:space="preserve"> </w:t>
      </w:r>
      <w:r>
        <w:rPr>
          <w:i/>
        </w:rPr>
        <w:t xml:space="preserve">$\rm{SD}(\cdot)$</w:t>
      </w:r>
      <w:r>
        <w:rPr>
          <w:i/>
        </w:rPr>
        <w:t xml:space="preserve"> </w:t>
      </w:r>
      <w:r>
        <w:rPr>
          <w:i/>
        </w:rPr>
        <w:t xml:space="preserve">is standard deviation (illustrated in figure [ref]).</w:t>
      </w:r>
      <w:r>
        <w:br w:type="textWrapping"/>
      </w:r>
    </w:p>
    <w:p>
      <w:pPr>
        <w:pStyle w:val="BodyText"/>
      </w:pPr>
      <w:r>
        <w:rPr>
          <w:b/>
        </w:rPr>
        <w:t xml:space="preserve">Response 1.5</w:t>
      </w:r>
      <w:r>
        <w:t xml:space="preserve"> </w:t>
      </w:r>
      <w:r>
        <w:t xml:space="preserve">We utilize the portfolio effect as a measurement to track the potential for the aggregate</w:t>
      </w:r>
      <w:r>
        <w:t xml:space="preserve"> </w:t>
      </w:r>
      <m:oMath>
        <m:sSub>
          <m:e>
            <m:r>
              <m:t>N</m:t>
            </m:r>
          </m:e>
          <m:sub>
            <m:r>
              <m:t>T</m:t>
            </m:r>
          </m:sub>
        </m:sSub>
      </m:oMath>
      <w:r>
        <w:t xml:space="preserve"> </w:t>
      </w:r>
      <w:r>
        <w:t xml:space="preserve">to buffer variance observed in the constituent populations</w:t>
      </w:r>
      <w:r>
        <w:t xml:space="preserve"> </w:t>
      </w:r>
      <m:oMath>
        <m:r>
          <m:t>(</m:t>
        </m:r>
        <m:sSub>
          <m:e>
            <m:r>
              <m:t>N</m:t>
            </m:r>
          </m:e>
          <m:sub>
            <m:r>
              <m:t>1</m:t>
            </m:r>
          </m:sub>
        </m:sSub>
        <m:r>
          <m:t>,</m:t>
        </m:r>
        <m:sSub>
          <m:e>
            <m:r>
              <m:t>N</m:t>
            </m:r>
          </m:e>
          <m:sub>
            <m:r>
              <m:t>2</m:t>
            </m:r>
          </m:sub>
        </m:sSub>
        <m:r>
          <m:t>)</m:t>
        </m:r>
      </m:oMath>
      <w:r>
        <w:t xml:space="preserve">. Near the bifurcation, if</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more variable relative to</w:t>
      </w:r>
      <w:r>
        <w:t xml:space="preserve"> </w:t>
      </w:r>
      <m:oMath>
        <m:sSub>
          <m:e>
            <m:r>
              <m:t>N</m:t>
            </m:r>
          </m:e>
          <m:sub>
            <m:r>
              <m:t>T</m:t>
            </m:r>
          </m:sub>
        </m:sSub>
      </m:oMath>
      <w:r>
        <w:t xml:space="preserve">, then PE should be high, which is the principle goal of the measurement.</w:t>
      </w:r>
      <w:r>
        <w:t xml:space="preserve"> </w:t>
      </w:r>
      <w:r>
        <w:t xml:space="preserve">However we agree that PE can change in response to changes to any of the four attributes from which it is composed (means of the aggregate, components; standard deviations of the aggregate, components), so it is sometimes hard to evaluate what is changing and what those changes mean relative to a single, descriptive measures of resilience such as recovery time. This is the primary motivation for incorporating both PE and recovery time in our analysis.</w:t>
      </w:r>
    </w:p>
    <w:p>
      <w:pPr>
        <w:pStyle w:val="Heading2"/>
      </w:pPr>
      <w:bookmarkStart w:id="23" w:name="minor-comments"/>
      <w:bookmarkEnd w:id="23"/>
      <w:r>
        <w:t xml:space="preserve">Minor comments:</w:t>
      </w:r>
    </w:p>
    <w:p>
      <w:pPr>
        <w:pStyle w:val="FirstParagraph"/>
      </w:pPr>
      <w:r>
        <w:rPr>
          <w:b/>
        </w:rPr>
        <w:t xml:space="preserve">Minor Response 1.1</w:t>
      </w:r>
      <w:r>
        <w:t xml:space="preserve"> </w:t>
      </w:r>
      <w:r>
        <w:t xml:space="preserve">We now equate straying with dispersal early in the text (and note that it is also defined in the abstract).</w:t>
      </w:r>
    </w:p>
    <w:p>
      <w:pPr>
        <w:pStyle w:val="BodyText"/>
      </w:pPr>
      <w:r>
        <w:t xml:space="preserve">We have made the following edits to the text:</w:t>
      </w:r>
      <w:r>
        <w:br w:type="textWrapping"/>
      </w:r>
      <w:r>
        <w:rPr>
          <w:b/>
        </w:rPr>
        <w:t xml:space="preserve">Line XXX:</w:t>
      </w:r>
      <w:r>
        <w:t xml:space="preserve"> </w:t>
      </w:r>
      <w:r>
        <w:rPr>
          <w:i/>
        </w:rPr>
        <w:t xml:space="preserve">The rate at which individuals stray,</w:t>
      </w:r>
      <w:r>
        <w:rPr>
          <w:i/>
        </w:rPr>
        <w:t xml:space="preserve"> </w:t>
      </w:r>
      <m:oMath>
        <m:r>
          <m:t>m</m:t>
        </m:r>
      </m:oMath>
      <w:r>
        <w:rPr>
          <w:i/>
        </w:rPr>
        <w:t xml:space="preserve">, is in this case synonymous with dispersal and may be linked to errors made at an individual-level that are themselves diminished by migrating in groups and pooling individual choices [refs].</w:t>
      </w:r>
      <w:r>
        <w:br w:type="textWrapping"/>
      </w:r>
    </w:p>
    <w:p>
      <w:pPr>
        <w:pStyle w:val="BodyText"/>
      </w:pPr>
      <w:r>
        <w:rPr>
          <w:b/>
        </w:rPr>
        <w:t xml:space="preserve">Minor Response 1.2</w:t>
      </w:r>
      <w:r>
        <w:t xml:space="preserve"> </w:t>
      </w:r>
      <w:r>
        <w:t xml:space="preserve">We agree and thank the Reviewer for point this out. We have made the following edits to the text:</w:t>
      </w:r>
      <w:r>
        <w:br w:type="textWrapping"/>
      </w:r>
      <w:r>
        <w:rPr>
          <w:b/>
        </w:rPr>
        <w:t xml:space="preserve">Figure 1 caption</w:t>
      </w:r>
      <w:r>
        <w:t xml:space="preserve"> </w:t>
      </w:r>
      <w:r>
        <w:rPr>
          <w:i/>
        </w:rPr>
        <w:t xml:space="preserve">Unless otherwise indicated, the default parameter values used are:</w:t>
      </w:r>
      <w:r>
        <w:rPr>
          <w:i/>
        </w:rPr>
        <w:t xml:space="preserve"> </w:t>
      </w:r>
      <w:r>
        <w:rPr>
          <w:i/>
        </w:rPr>
        <w:t xml:space="preserve">$r_{\rm max}=2$</w:t>
      </w:r>
      <w:r>
        <w:rPr>
          <w:i/>
        </w:rPr>
        <w:t xml:space="preserve">;</w:t>
      </w:r>
      <w:r>
        <w:rPr>
          <w:i/>
        </w:rPr>
        <w:t xml:space="preserve"> </w:t>
      </w:r>
      <m:oMath>
        <m:r>
          <m:t>Z</m:t>
        </m:r>
        <m:r>
          <m:t>=</m:t>
        </m:r>
        <m:r>
          <m:t>0.5</m:t>
        </m:r>
      </m:oMath>
      <w:r>
        <w:rPr>
          <w:i/>
        </w:rPr>
        <w:t xml:space="preserve">;</w:t>
      </w:r>
      <w:r>
        <w:rPr>
          <w:i/>
        </w:rPr>
        <w:t xml:space="preserve"> </w:t>
      </w:r>
      <m:oMath>
        <m:r>
          <m:t>β</m:t>
        </m:r>
        <m:r>
          <m:t>=</m:t>
        </m:r>
        <m:r>
          <m:t>0.001</m:t>
        </m:r>
      </m:oMath>
      <w:r>
        <w:rPr>
          <w:i/>
        </w:rPr>
        <w:t xml:space="preserve">;</w:t>
      </w:r>
      <w:r>
        <w:rPr>
          <w:i/>
        </w:rPr>
        <w:t xml:space="preserve"> </w:t>
      </w:r>
      <m:oMath>
        <m:sSub>
          <m:e>
            <m:r>
              <m:t>θ</m:t>
            </m:r>
          </m:e>
          <m:sub>
            <m:r>
              <m:t>1</m:t>
            </m:r>
          </m:sub>
        </m:sSub>
        <m:r>
          <m:t>=</m:t>
        </m:r>
        <m:r>
          <m:t>5</m:t>
        </m:r>
      </m:oMath>
      <w:r>
        <w:rPr>
          <w:i/>
        </w:rPr>
        <w:t xml:space="preserve">;</w:t>
      </w:r>
      <w:r>
        <w:rPr>
          <w:i/>
        </w:rPr>
        <w:t xml:space="preserve"> </w:t>
      </w:r>
      <m:oMath>
        <m:r>
          <m:t>Δ</m:t>
        </m:r>
        <m:r>
          <m:t>θ</m:t>
        </m:r>
        <m:r>
          <m:t>=</m:t>
        </m:r>
        <m:r>
          <m:t>5</m:t>
        </m:r>
      </m:oMath>
      <w:r>
        <w:rPr>
          <w:i/>
        </w:rPr>
        <w:t xml:space="preserve">;</w:t>
      </w:r>
      <w:r>
        <w:rPr>
          <w:i/>
        </w:rPr>
        <w:t xml:space="preserve"> </w:t>
      </w:r>
      <m:oMath>
        <m:r>
          <m:t>τ</m:t>
        </m:r>
        <m:r>
          <m:t>=</m:t>
        </m:r>
        <m:r>
          <m:t>1</m:t>
        </m:r>
      </m:oMath>
      <w:r>
        <w:rPr>
          <w:i/>
        </w:rPr>
        <w:t xml:space="preserve">;</w:t>
      </w:r>
      <w:r>
        <w:rPr>
          <w:i/>
        </w:rPr>
        <w:t xml:space="preserve"> </w:t>
      </w:r>
      <m:oMath>
        <m:r>
          <m:t>σ</m:t>
        </m:r>
        <m:r>
          <m:t>=</m:t>
        </m:r>
        <m:r>
          <m:t>1</m:t>
        </m:r>
      </m:oMath>
      <w:r>
        <w:rPr>
          <w:i/>
        </w:rPr>
        <w:t xml:space="preserve">;</w:t>
      </w:r>
      <w:r>
        <w:rPr>
          <w:i/>
        </w:rPr>
        <w:t xml:space="preserve"> </w:t>
      </w:r>
      <m:oMath>
        <m:r>
          <m:t>T</m:t>
        </m:r>
        <m:r>
          <m:t>=</m:t>
        </m:r>
        <m:r>
          <m:t>1</m:t>
        </m:r>
        <m:r>
          <m:t>×</m:t>
        </m:r>
        <m:sSup>
          <m:e>
            <m:r>
              <m:t>10</m:t>
            </m:r>
          </m:e>
          <m:sup>
            <m:r>
              <m:t>5</m:t>
            </m:r>
          </m:sup>
        </m:sSup>
      </m:oMath>
      <w:r>
        <w:rPr>
          <w:i/>
        </w:rPr>
        <w:t xml:space="preserve">.</w:t>
      </w:r>
      <w:r>
        <w:br w:type="textWrapping"/>
      </w:r>
    </w:p>
    <w:p>
      <w:pPr>
        <w:pStyle w:val="Heading1"/>
      </w:pPr>
      <w:bookmarkStart w:id="24" w:name="reviewer-ii"/>
      <w:bookmarkEnd w:id="24"/>
      <w:r>
        <w:t xml:space="preserve">Reviewer II</w:t>
      </w:r>
    </w:p>
    <w:p>
      <w:pPr>
        <w:pStyle w:val="Heading2"/>
      </w:pPr>
      <w:bookmarkStart w:id="25" w:name="major-comments-1"/>
      <w:bookmarkEnd w:id="25"/>
      <w:r>
        <w:t xml:space="preserve">Major comments</w:t>
      </w:r>
    </w:p>
    <w:p>
      <w:pPr>
        <w:pStyle w:val="FirstParagraph"/>
      </w:pPr>
      <w:r>
        <w:rPr>
          <w:b/>
        </w:rPr>
        <w:t xml:space="preserve">Response 2.1</w:t>
      </w:r>
      <w:r>
        <w:t xml:space="preserve"> </w:t>
      </w:r>
      <w:r>
        <w:t xml:space="preserve">We thank the Reviewer for their comment and have now clarified the manuscript. Please see Response 1.3.</w:t>
      </w:r>
    </w:p>
    <w:p>
      <w:pPr>
        <w:pStyle w:val="BodyText"/>
      </w:pPr>
      <w:r>
        <w:rPr>
          <w:b/>
        </w:rPr>
        <w:t xml:space="preserve">Response 2</w:t>
      </w:r>
      <w:r>
        <w:t xml:space="preserve"> </w:t>
      </w:r>
      <w:r>
        <w:t xml:space="preserve">We thank the Reviewer for their perspective and comments, and agree that we need to understand to what extent our results are generalizable.</w:t>
      </w:r>
      <w:r>
        <w:t xml:space="preserve"> </w:t>
      </w:r>
      <w:r>
        <w:t xml:space="preserve">From our perspective, there are two ways in which our model incorporates symmetry: 1) the architectural symmetry of the populations between sites and 2) the symmetry in parameter values between sites. Regarding the first, both populations have the same growth and mortality functions, and both populations have the same functional forms that control straying. This architectural symmetry lies at the heart of our question, as we are exploring the dynamics of two similar populations that have similar constraints. We cannot alter this type of symmetry without vastly changing the questions that we are addressing.</w:t>
      </w:r>
    </w:p>
    <w:p>
      <w:pPr>
        <w:pStyle w:val="BodyText"/>
      </w:pPr>
      <w:r>
        <w:t xml:space="preserve">We assume that the Reviewer is referring to the second type of symmetry: that many of the parameters of the model controlling vital rates are symmetric between sites, primary examples being:</w:t>
      </w:r>
      <w:r>
        <w:t xml:space="preserve"> </w:t>
      </w:r>
      <w:r>
        <w:t xml:space="preserve">$r_{\rm max}=2;~Z=0.5;~\beta=0.001$</w:t>
      </w:r>
      <w:r>
        <w:t xml:space="preserve">.</w:t>
      </w:r>
      <w:r>
        <w:t xml:space="preserve"> </w:t>
      </w:r>
      <w:r>
        <w:t xml:space="preserve">These parameters were held constant primarily to minimize the parameter space that we investigate (making an already long paper a bit shorter), but we acknowledge that this invites the question: are we investigating a mathematical knife-edge?</w:t>
      </w:r>
    </w:p>
    <w:p>
      <w:pPr>
        <w:pStyle w:val="BodyText"/>
      </w:pPr>
      <w:r>
        <w:t xml:space="preserve">We suggest that our analysis is not merely a mathematical construction (interpreted here to mean dynamic behaviors that only occur within a thin slice of parameter space, unlikely to be realized in biological systems) for 3 reasons:</w:t>
      </w:r>
    </w:p>
    <w:p>
      <w:pPr>
        <w:pStyle w:val="BodyText"/>
      </w:pPr>
      <w:r>
        <w:t xml:space="preserve">1) We already inject process error into the dynamics. This process error (independent for both sites) serves to push the system away from the symmetrical vital rates</w:t>
      </w:r>
      <w:r>
        <w:t xml:space="preserve"> </w:t>
      </w:r>
      <w:r>
        <w:t xml:space="preserve">$(r_{\rm max}, Z, \beta)$</w:t>
      </w:r>
      <w:r>
        <w:t xml:space="preserve">, and if there is a knife-edge of parameter space that results in the dynamics we observe, the process error should knock the system away from it. Despite these independent sources of error, their means are the same, and this warrants additional investigation as the Reviewer suggests.</w:t>
      </w:r>
    </w:p>
    <w:p>
      <w:pPr>
        <w:pStyle w:val="BodyText"/>
      </w:pPr>
      <w:r>
        <w:t xml:space="preserve">2) We have included a modified analysis of the system to assess increasing asymmetry in the vital rates between sites. Asymmetry in parameter values is introduced as a parameter</w:t>
      </w:r>
      <w:r>
        <w:t xml:space="preserve"> </w:t>
      </w:r>
      <m:oMath>
        <m:r>
          <m:t>α</m:t>
        </m:r>
      </m:oMath>
      <w:r>
        <w:t xml:space="preserve">, where maximal growth at sites 1 and 2 are now</w:t>
      </w:r>
      <w:r>
        <w:t xml:space="preserve"> </w:t>
      </w:r>
      <w:r>
        <w:t xml:space="preserve">$r_{\rm max}(1)=r_{\rm max}(1+\tilde{rv}_1)$</w:t>
      </w:r>
      <w:r>
        <w:t xml:space="preserve"> </w:t>
      </w:r>
      <w:r>
        <w:t xml:space="preserve">and</w:t>
      </w:r>
      <w:r>
        <w:t xml:space="preserve"> </w:t>
      </w:r>
      <w:r>
        <w:t xml:space="preserve">$r_{\rm max}(2)=r_{\rm max}(1+\tilde{rv}_2)$</w:t>
      </w:r>
      <w:r>
        <w:t xml:space="preserve"> </w:t>
      </w:r>
      <w:r>
        <w:t xml:space="preserve">where</w:t>
      </w:r>
      <w:r>
        <w:t xml:space="preserve"> </w:t>
      </w:r>
      <m:oMath>
        <m:r>
          <m:t>r</m:t>
        </m:r>
        <m:sSub>
          <m:e>
            <m:r>
              <m:t>v</m:t>
            </m:r>
          </m:e>
          <m:sub>
            <m:r>
              <m:t>1</m:t>
            </m:r>
            <m:r>
              <m:t>,</m:t>
            </m:r>
            <m:r>
              <m:t>2</m:t>
            </m:r>
          </m:sub>
        </m:sSub>
      </m:oMath>
      <w:r>
        <w:t xml:space="preserve"> </w:t>
      </w:r>
      <w:r>
        <w:t xml:space="preserve">are independently drawn from</w:t>
      </w:r>
      <w:r>
        <w:t xml:space="preserve"> </w:t>
      </w:r>
      <w:r>
        <w:t xml:space="preserve">$\rm{Normal}(0,\alpha)$</w:t>
      </w:r>
      <w:r>
        <w:t xml:space="preserve"> </w:t>
      </w:r>
      <w:r>
        <w:t xml:space="preserve">and</w:t>
      </w:r>
      <w:r>
        <w:t xml:space="preserve"> </w:t>
      </w:r>
      <w:r>
        <w:t xml:space="preserve">$r_{\rm max}=2$</w:t>
      </w:r>
      <w:r>
        <w:t xml:space="preserve">.</w:t>
      </w:r>
      <w:r>
        <w:t xml:space="preserve"> </w:t>
      </w:r>
      <w:r>
        <w:t xml:space="preserve">Similarly the strength of density dependence is calculated at sites 1 and 2 as</w:t>
      </w:r>
      <w:r>
        <w:t xml:space="preserve"> </w:t>
      </w:r>
      <m:oMath>
        <m:r>
          <m:t>β</m:t>
        </m:r>
        <m:r>
          <m:t>(</m:t>
        </m:r>
        <m:r>
          <m:t>1</m:t>
        </m:r>
        <m:r>
          <m:t>)</m:t>
        </m:r>
        <m:r>
          <m:t>=</m:t>
        </m:r>
        <m:r>
          <m:t>β</m:t>
        </m:r>
        <m:r>
          <m:t>(</m:t>
        </m:r>
        <m:r>
          <m:t>1</m:t>
        </m:r>
        <m:r>
          <m:t>+</m:t>
        </m:r>
        <m:sSub>
          <m:e>
            <m:groupChr>
              <m:groupChrPr>
                <m:chr m:val="̃"/>
                <m:pos m:val="top"/>
                <m:vertJc m:val="bot"/>
              </m:groupChrPr>
              <m:e>
                <m:r>
                  <m:t>r</m:t>
                </m:r>
                <m:r>
                  <m:t>v</m:t>
                </m:r>
              </m:e>
            </m:groupChr>
          </m:e>
          <m:sub>
            <m:r>
              <m:t>1</m:t>
            </m:r>
          </m:sub>
        </m:sSub>
        <m:r>
          <m:t>)</m:t>
        </m:r>
      </m:oMath>
      <w:r>
        <w:t xml:space="preserve"> </w:t>
      </w:r>
      <w:r>
        <w:t xml:space="preserve">and</w:t>
      </w:r>
      <w:r>
        <w:t xml:space="preserve"> </w:t>
      </w:r>
      <m:oMath>
        <m:r>
          <m:t>β</m:t>
        </m:r>
        <m:r>
          <m:t>(</m:t>
        </m:r>
        <m:r>
          <m:t>2</m:t>
        </m:r>
        <m:r>
          <m:t>)</m:t>
        </m:r>
        <m:r>
          <m:t>=</m:t>
        </m:r>
        <m:r>
          <m:t>β</m:t>
        </m:r>
        <m:r>
          <m:t>(</m:t>
        </m:r>
        <m:r>
          <m:t>1</m:t>
        </m:r>
        <m:r>
          <m:t>+</m:t>
        </m:r>
        <m:sSub>
          <m:e>
            <m:groupChr>
              <m:groupChrPr>
                <m:chr m:val="̃"/>
                <m:pos m:val="top"/>
                <m:vertJc m:val="bot"/>
              </m:groupChrPr>
              <m:e>
                <m:r>
                  <m:t>r</m:t>
                </m:r>
                <m:r>
                  <m:t>v</m:t>
                </m:r>
              </m:e>
            </m:groupChr>
          </m:e>
          <m:sub>
            <m:r>
              <m:t>2</m:t>
            </m:r>
          </m:sub>
        </m:sSub>
        <m:r>
          <m:t>)</m:t>
        </m:r>
      </m:oMath>
      <w:r>
        <w:t xml:space="preserve"> </w:t>
      </w:r>
      <w:r>
        <w:t xml:space="preserve">where</w:t>
      </w:r>
      <w:r>
        <w:t xml:space="preserve"> </w:t>
      </w:r>
      <m:oMath>
        <m:sSub>
          <m:e>
            <m:groupChr>
              <m:groupChrPr>
                <m:chr m:val="̃"/>
                <m:pos m:val="top"/>
                <m:vertJc m:val="bot"/>
              </m:groupChrPr>
              <m:e>
                <m:r>
                  <m:t>r</m:t>
                </m:r>
                <m:r>
                  <m:t>v</m:t>
                </m:r>
              </m:e>
            </m:groupChr>
          </m:e>
          <m:sub>
            <m:r>
              <m:t>1</m:t>
            </m:r>
            <m:r>
              <m:t>,</m:t>
            </m:r>
            <m:r>
              <m:t>2</m:t>
            </m:r>
          </m:sub>
        </m:sSub>
      </m:oMath>
      <w:r>
        <w:t xml:space="preserve"> </w:t>
      </w:r>
      <w:r>
        <w:t xml:space="preserve">are independently drawn from</w:t>
      </w:r>
      <w:r>
        <w:t xml:space="preserve"> </w:t>
      </w:r>
      <w:r>
        <w:t xml:space="preserve">$\rm{Normal}(0,\alpha)$</w:t>
      </w:r>
      <w:r>
        <w:t xml:space="preserve"> </w:t>
      </w:r>
      <w:r>
        <w:t xml:space="preserve">and</w:t>
      </w:r>
      <w:r>
        <w:t xml:space="preserve"> </w:t>
      </w:r>
      <m:oMath>
        <m:r>
          <m:t>β</m:t>
        </m:r>
        <m:r>
          <m:t>=</m:t>
        </m:r>
        <m:r>
          <m:t>0.001</m:t>
        </m:r>
      </m:oMath>
      <w:r>
        <w:t xml:space="preserve">.</w:t>
      </w:r>
      <w:r>
        <w:t xml:space="preserve"> </w:t>
      </w:r>
      <w:r>
        <w:t xml:space="preserve">Thus as asymmetry increases, so do the differences in vital rates between sites.</w:t>
      </w:r>
    </w:p>
    <w:p>
      <w:pPr>
        <w:pStyle w:val="BodyText"/>
      </w:pPr>
      <w:r>
        <w:t xml:space="preserve">To investigate the effects of increasing asymmetry on the main dynamical feature of our model, we assessed how increasing</w:t>
      </w:r>
      <w:r>
        <w:t xml:space="preserve"> </w:t>
      </w:r>
      <m:oMath>
        <m:r>
          <m:t>α</m:t>
        </m:r>
      </m:oMath>
      <w:r>
        <w:t xml:space="preserve"> </w:t>
      </w:r>
      <w:r>
        <w:t xml:space="preserve">altered the steady state portrait as a function of the straying rate</w:t>
      </w:r>
      <w:r>
        <w:t xml:space="preserve"> </w:t>
      </w:r>
      <m:oMath>
        <m:r>
          <m:t>m</m:t>
        </m:r>
      </m:oMath>
      <w:r>
        <w:t xml:space="preserve"> </w:t>
      </w:r>
      <w:r>
        <w:t xml:space="preserve">shown in figure 1a, and this analysis is now included as a supplementary figure (figure S13). As can be seen, greater asymmetry (warm colors in the supplementary figure) does not alter the qualitative nature of the dynamics, and does not significantly change the position of the bifurcation. We take this as strong evidence that the qualitative nature of the system is not a mathematical construction relegated to a small slice of parameter space.</w:t>
      </w:r>
    </w:p>
    <w:p>
      <w:pPr>
        <w:pStyle w:val="BodyText"/>
      </w:pPr>
      <w:r>
        <w:t xml:space="preserve">3) Reviewer 1 pointed to an embarrassing oversight on our part: that a similar model had been explored by Ronce &amp; Kirkpatrick (Evolution, 2001). This model differed substantially in its formulation: it is continuous (rather than discrete), evolution occurs in the mortality term (rather than the recruitment rate), the strength of selection is determined by the linear difference of trait values and their optima (rather than by mechanistically incorporating the fitness landscape a la Lande 1976), etc. Still, the underlying dynamics appear to accord with those that we describe. This suggests that the dynamics are potentially of a general nature, though we do not investigate how general (that would be an interesting pursuit for another time).</w:t>
      </w:r>
    </w:p>
    <w:p>
      <w:pPr>
        <w:pStyle w:val="BodyText"/>
      </w:pPr>
      <w:r>
        <w:t xml:space="preserve">Finally, although we like the idea of modeling changes in resource abundance in response to changes in populations and trait means, we feel that this is beyond the scope of the contribution outlined here, and suggest that it would be something very interesting to explore in a future work.</w:t>
      </w:r>
    </w:p>
    <w:p>
      <w:pPr>
        <w:pStyle w:val="BodyText"/>
      </w:pPr>
      <w:r>
        <w:rPr>
          <w:b/>
        </w:rPr>
        <w:t xml:space="preserve">Response 2.3</w:t>
      </w:r>
      <w:r>
        <w:t xml:space="preserve"> </w:t>
      </w:r>
      <w:r>
        <w:t xml:space="preserve">We thank the Reviewer, and now briefly describe our analysis of the bifurcation (also see Response 1.3). We include a plot of the Jacobian eigenvalues across</w:t>
      </w:r>
      <w:r>
        <w:t xml:space="preserve"> </w:t>
      </w:r>
      <m:oMath>
        <m:r>
          <m:t>m</m:t>
        </m:r>
      </m:oMath>
      <w:r>
        <w:t xml:space="preserve"> </w:t>
      </w:r>
      <w:r>
        <w:t xml:space="preserve">(figure S3). Moreover, we note that hysteresis is observed at the bifurcation (evaluated by increasing and decreasing</w:t>
      </w:r>
      <w:r>
        <w:t xml:space="preserve"> </w:t>
      </w:r>
      <m:oMath>
        <m:r>
          <m:t>m</m:t>
        </m:r>
      </m:oMath>
      <w:r>
        <w:t xml:space="preserve">), and this is shown in figure S4.</w:t>
      </w:r>
    </w:p>
    <w:p>
      <w:pPr>
        <w:pStyle w:val="BodyText"/>
      </w:pPr>
      <w:r>
        <w:rPr>
          <w:b/>
        </w:rPr>
        <w:t xml:space="preserve">Response 2.4</w:t>
      </w:r>
      <w:r>
        <w:t xml:space="preserve"> </w:t>
      </w:r>
      <w:r>
        <w:t xml:space="preserve">A table is now included.</w:t>
      </w:r>
    </w:p>
    <w:p>
      <w:pPr>
        <w:pStyle w:val="BodyText"/>
      </w:pPr>
      <w:r>
        <w:rPr>
          <w:b/>
        </w:rPr>
        <w:t xml:space="preserve">Response 2.5</w:t>
      </w:r>
      <w:r>
        <w:t xml:space="preserve"> </w:t>
      </w:r>
      <w:r>
        <w:t xml:space="preserve">We thank the Reviewer for their comment and apologize for our lack of clarity. We have moved the text and attempt to explain our reasonings and justifications more clearly. We have made a figure that illustrates the relationship between straying and</w:t>
      </w:r>
      <w:r>
        <w:t xml:space="preserve"> </w:t>
      </w:r>
      <m:oMath>
        <m:r>
          <m:t>Δ</m:t>
        </m:r>
        <m:r>
          <m:t>θ</m:t>
        </m:r>
      </m:oMath>
      <w:r>
        <w:t xml:space="preserve"> </w:t>
      </w:r>
      <w:r>
        <w:t xml:space="preserve">if it is assumed that individuals are less likely to stray into sites with very different trait optima (greater habitat heterogeneity).</w:t>
      </w:r>
    </w:p>
    <w:p>
      <w:pPr>
        <w:pStyle w:val="BodyText"/>
      </w:pPr>
      <w:r>
        <w:t xml:space="preserve">We have made the following edits to the text:</w:t>
      </w:r>
      <w:r>
        <w:br w:type="textWrapping"/>
      </w:r>
      <w:r>
        <w:rPr>
          <w:b/>
        </w:rPr>
        <w:t xml:space="preserve">Line XXX:</w:t>
      </w:r>
      <w:r>
        <w:t xml:space="preserve"> </w:t>
      </w:r>
      <w:r>
        <w:rPr>
          <w:i/>
        </w:rPr>
        <w:t xml:space="preserve">Although we largely treat habitat heterogeneity and the rate of straying as independent parameters, we evaluate a case where we assume that increased habitat heterogeneity correlates with lower straying rates, and vice versa.</w:t>
      </w:r>
      <w:r>
        <w:rPr>
          <w:i/>
        </w:rPr>
        <w:t xml:space="preserve"> </w:t>
      </w:r>
      <w:r>
        <w:rPr>
          <w:i/>
        </w:rPr>
        <w:t xml:space="preserve">Two scenarios may lead to this correlation:</w:t>
      </w:r>
      <w:r>
        <w:rPr>
          <w:i/>
        </w:rPr>
        <w:t xml:space="preserve"> </w:t>
      </w:r>
      <w:r>
        <w:rPr>
          <w:i/>
        </w:rPr>
        <w:t xml:space="preserve">(</w:t>
      </w:r>
      <w:r>
        <w:rPr>
          <w:i/>
          <w:i/>
        </w:rPr>
        <w:t xml:space="preserve">i</w:t>
      </w:r>
      <w:r>
        <w:rPr>
          <w:i/>
        </w:rPr>
        <w:t xml:space="preserve">) sites may be distributed over greater spatial distances, where habitat differences are assumed to be exaggerated and the likelihood of straying over greater distances would be lower [ref];</w:t>
      </w:r>
      <w:r>
        <w:rPr>
          <w:i/>
        </w:rPr>
        <w:t xml:space="preserve"> </w:t>
      </w:r>
      <w:r>
        <w:rPr>
          <w:i/>
        </w:rPr>
        <w:t xml:space="preserve">(</w:t>
      </w:r>
      <w:r>
        <w:rPr>
          <w:i/>
          <w:i/>
        </w:rPr>
        <w:t xml:space="preserve">ii</w:t>
      </w:r>
      <w:r>
        <w:rPr>
          <w:i/>
        </w:rPr>
        <w:t xml:space="preserve">) individuals may have behaviors promoting dispersal between habitats with structural or physiognomic similarities [ref].</w:t>
      </w:r>
      <w:r>
        <w:rPr>
          <w:i/>
        </w:rPr>
        <w:t xml:space="preserve"> </w:t>
      </w:r>
      <w:r>
        <w:rPr>
          <w:i/>
        </w:rPr>
        <w:t xml:space="preserve">In this case, the rate of straying would be greater between habitats with smaller differences in trait optima (lower</w:t>
      </w:r>
      <w:r>
        <w:rPr>
          <w:i/>
        </w:rPr>
        <w:t xml:space="preserve"> </w:t>
      </w:r>
      <m:oMath>
        <m:r>
          <m:t>Δ</m:t>
        </m:r>
        <m:r>
          <m:t>θ</m:t>
        </m:r>
      </m:oMath>
      <w:r>
        <w:rPr>
          <w:i/>
        </w:rPr>
        <w:t xml:space="preserve">) and lesser between habitats with greater differences in trait optima (higher</w:t>
      </w:r>
      <w:r>
        <w:rPr>
          <w:i/>
        </w:rPr>
        <w:t xml:space="preserve"> </w:t>
      </w:r>
      <m:oMath>
        <m:r>
          <m:t>Δ</m:t>
        </m:r>
        <m:r>
          <m:t>θ</m:t>
        </m:r>
      </m:oMath>
      <w:r>
        <w:rPr>
          <w:i/>
        </w:rPr>
        <w:t xml:space="preserve">).</w:t>
      </w:r>
    </w:p>
    <w:p>
      <w:pPr>
        <w:pStyle w:val="BodyText"/>
      </w:pPr>
      <w:r>
        <w:rPr>
          <w:b/>
        </w:rPr>
        <w:t xml:space="preserve">Line XXX:</w:t>
      </w:r>
      <w:r>
        <w:t xml:space="preserve"> </w:t>
      </w:r>
      <w:r>
        <w:rPr>
          <w:i/>
        </w:rPr>
        <w:t xml:space="preserve">Sites that are farther apart are likely to be more heterogeneous, while simultaneously facilitating lower rates of straying between populations.</w:t>
      </w:r>
      <w:r>
        <w:rPr>
          <w:i/>
        </w:rPr>
        <w:t xml:space="preserve"> </w:t>
      </w:r>
      <w:r>
        <w:rPr>
          <w:i/>
        </w:rPr>
        <w:t xml:space="preserve">We implemented this dependence as set</w:t>
      </w:r>
      <w:r>
        <w:rPr>
          <w:i/>
        </w:rPr>
        <w:t xml:space="preserve"> </w:t>
      </w:r>
      <m:oMath>
        <m:r>
          <m:t>m</m:t>
        </m:r>
        <m:r>
          <m:t>,</m:t>
        </m:r>
        <m:sSub>
          <m:e>
            <m:r>
              <m:t>m</m:t>
            </m:r>
          </m:e>
          <m:sub>
            <m:r>
              <m:t>0</m:t>
            </m:r>
          </m:sub>
        </m:sSub>
        <m:r>
          <m:t>=</m:t>
        </m:r>
        <m:r>
          <m:t>0.5</m:t>
        </m:r>
        <m:r>
          <m:t>(</m:t>
        </m:r>
        <m:r>
          <m:t>1</m:t>
        </m:r>
        <m:r>
          <m:t>+</m:t>
        </m:r>
        <m:r>
          <m:t>Δ</m:t>
        </m:r>
        <m:r>
          <m:t>θ</m:t>
        </m:r>
        <m:sSup>
          <m:e>
            <m:r>
              <m:t>)</m:t>
            </m:r>
          </m:e>
          <m:sup>
            <m:r>
              <m:t>−</m:t>
            </m:r>
            <m:r>
              <m:t>1</m:t>
            </m:r>
          </m:sup>
        </m:sSup>
      </m:oMath>
      <w:r>
        <w:rPr>
          <w:i/>
        </w:rPr>
        <w:t xml:space="preserve"> </w:t>
      </w:r>
      <w:r>
        <w:rPr>
          <w:i/>
        </w:rPr>
        <w:t xml:space="preserve">where maximum straying is assumed to occur at</w:t>
      </w:r>
      <w:r>
        <w:rPr>
          <w:i/>
        </w:rPr>
        <w:t xml:space="preserve"> </w:t>
      </w:r>
      <m:oMath>
        <m:r>
          <m:t>m</m:t>
        </m:r>
        <m:r>
          <m:t>=</m:t>
        </m:r>
        <m:r>
          <m:t>0.5</m:t>
        </m:r>
      </m:oMath>
      <w:r>
        <w:rPr>
          <w:i/>
        </w:rPr>
        <w:t xml:space="preserve"> </w:t>
      </w:r>
      <w:r>
        <w:rPr>
          <w:i/>
        </w:rPr>
        <w:t xml:space="preserve">(perfect mixing; figure [ref]).</w:t>
      </w:r>
      <w:r>
        <w:rPr>
          <w:i/>
        </w:rPr>
        <w:t xml:space="preserve"> </w:t>
      </w:r>
      <w:r>
        <w:rPr>
          <w:i/>
        </w:rPr>
        <w:t xml:space="preserve">This assumes that</w:t>
      </w:r>
      <w:r>
        <w:rPr>
          <w:i/>
        </w:rPr>
        <w:t xml:space="preserve"> </w:t>
      </w:r>
      <m:oMath>
        <m:r>
          <m:t>m</m:t>
        </m:r>
      </m:oMath>
      <w:r>
        <w:rPr>
          <w:i/>
        </w:rPr>
        <w:t xml:space="preserve"> </w:t>
      </w:r>
      <w:r>
        <w:rPr>
          <w:i/>
        </w:rPr>
        <w:t xml:space="preserve">or</w:t>
      </w:r>
      <w:r>
        <w:rPr>
          <w:i/>
        </w:rPr>
        <w:t xml:space="preserve"> </w:t>
      </w:r>
      <m:oMath>
        <m:sSub>
          <m:e>
            <m:r>
              <m:t>m</m:t>
            </m:r>
          </m:e>
          <m:sub>
            <m:r>
              <m:t>0</m:t>
            </m:r>
          </m:sub>
        </m:sSub>
      </m:oMath>
      <w:r>
        <w:rPr>
          <w:i/>
        </w:rPr>
        <w:t xml:space="preserve"> </w:t>
      </w:r>
      <w:r>
        <w:rPr>
          <w:i/>
        </w:rPr>
        <w:t xml:space="preserve">increases in situations where</w:t>
      </w:r>
      <w:r>
        <w:rPr>
          <w:i/>
        </w:rPr>
        <w:t xml:space="preserve"> </w:t>
      </w:r>
      <m:oMath>
        <m:r>
          <m:t>Δ</m:t>
        </m:r>
        <m:r>
          <m:t>θ</m:t>
        </m:r>
      </m:oMath>
      <w:r>
        <w:rPr>
          <w:i/>
        </w:rPr>
        <w:t xml:space="preserve"> </w:t>
      </w:r>
      <w:r>
        <w:rPr>
          <w:i/>
        </w:rPr>
        <w:t xml:space="preserve">is lower, such that there are low rates of straying between dissimilar sites and high straying rates between similar sites.</w:t>
      </w:r>
      <w:r>
        <w:rPr>
          <w:i/>
        </w:rPr>
        <w:t xml:space="preserve"> </w:t>
      </w:r>
      <w:r>
        <w:rPr>
          <w:i/>
        </w:rPr>
        <w:t xml:space="preserve">We find that under these conditions alternative stable states now appear for very low rates of straying</w:t>
      </w:r>
      <w:r>
        <w:rPr>
          <w:i/>
        </w:rPr>
        <w:t xml:space="preserve"> </w:t>
      </w:r>
      <m:oMath>
        <m:r>
          <m:t>0</m:t>
        </m:r>
        <m:r>
          <m:t>&lt;</m:t>
        </m:r>
        <m:r>
          <m:t>m</m:t>
        </m:r>
        <m:r>
          <m:t>≤</m:t>
        </m:r>
        <m:r>
          <m:t>0.43</m:t>
        </m:r>
      </m:oMath>
      <w:r>
        <w:rPr>
          <w:i/>
        </w:rPr>
        <w:t xml:space="preserve">.</w:t>
      </w:r>
      <w:r>
        <w:rPr>
          <w:i/>
        </w:rPr>
        <w:t xml:space="preserve"> </w:t>
      </w:r>
      <w:r>
        <w:rPr>
          <w:i/>
        </w:rPr>
        <w:t xml:space="preserve">As the straying rate increases and</w:t>
      </w:r>
      <w:r>
        <w:rPr>
          <w:i/>
        </w:rPr>
        <w:t xml:space="preserve"> </w:t>
      </w:r>
      <m:oMath>
        <m:r>
          <m:t>Δ</m:t>
        </m:r>
        <m:r>
          <m:t>θ</m:t>
        </m:r>
      </m:oMath>
      <w:r>
        <w:rPr>
          <w:i/>
        </w:rPr>
        <w:t xml:space="preserve"> </w:t>
      </w:r>
      <w:r>
        <w:rPr>
          <w:i/>
        </w:rPr>
        <w:t xml:space="preserve">decreases, a single stable state emerges as the pitchfork bifurcation is crossed, which is opposite the pattern observed when these parameters are independent.</w:t>
      </w:r>
    </w:p>
    <w:p>
      <w:pPr>
        <w:pStyle w:val="BodyText"/>
      </w:pPr>
      <w:r>
        <w:rPr>
          <w:b/>
        </w:rPr>
        <w:t xml:space="preserve">Response 2.6</w:t>
      </w:r>
      <w:r>
        <w:t xml:space="preserve"> </w:t>
      </w:r>
      <w:r>
        <w:t xml:space="preserve">Please see Responses 1.3 and 2.3.</w:t>
      </w:r>
    </w:p>
    <w:p>
      <w:pPr>
        <w:pStyle w:val="BodyText"/>
      </w:pPr>
      <w:r>
        <w:rPr>
          <w:b/>
        </w:rPr>
        <w:t xml:space="preserve">Response 2.7</w:t>
      </w:r>
      <w:r>
        <w:t xml:space="preserve"> </w:t>
      </w:r>
      <w:r>
        <w:t xml:space="preserve">A table is now included.</w:t>
      </w:r>
    </w:p>
    <w:p>
      <w:pPr>
        <w:pStyle w:val="Heading2"/>
      </w:pPr>
      <w:bookmarkStart w:id="26" w:name="minor-comments-1"/>
      <w:bookmarkEnd w:id="26"/>
      <w:r>
        <w:t xml:space="preserve">Minor comments</w:t>
      </w:r>
    </w:p>
    <w:p>
      <w:pPr>
        <w:pStyle w:val="FirstParagraph"/>
      </w:pPr>
      <w:r>
        <w:rPr>
          <w:b/>
        </w:rPr>
        <w:t xml:space="preserve">Minor Response 2.1</w:t>
      </w:r>
      <w:r>
        <w:t xml:space="preserve"> </w:t>
      </w:r>
      <w:r>
        <w:t xml:space="preserve">We thank the Reviewer for being so meticulous and pointing out these errors. Although the noted issues with the figures (missing axes, labels) and missing supplemental materials appears to have been a problem with the upload, we acknowledge that the other issues were due to a lack of thoroughness on our part and have been corrected.</w:t>
      </w:r>
    </w:p>
    <w:p>
      <w:pPr>
        <w:pStyle w:val="BodyText"/>
      </w:pPr>
      <w:r>
        <w:t xml:space="preserve">Sincerely,</w:t>
      </w:r>
      <w:r>
        <w:br w:type="textWrapping"/>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bbeb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2017-09-12T23:17:28Z</dcterms:created>
  <dcterms:modified xsi:type="dcterms:W3CDTF">2017-09-12T23:17:28Z</dcterms:modified>
</cp:coreProperties>
</file>