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888888"/>
          <w:sz w:val="20"/>
          <w:szCs w:val="20"/>
        </w:rPr>
        <w:t xml:space="preserve">EXECUTIVE SUMMARY</w:t>
      </w:r>
    </w:p>
    <w:p>
      <w:pPr>
        <w:spacing w:after="120"/>
      </w:pPr>
      <w:r>
        <w:rPr>
          <w:rFonts w:ascii="Arial" w:cs="Arial" w:eastAsia="Arial" w:hAnsi="Arial"/>
          <w:b/>
          <w:bCs/>
          <w:color w:val="1B3A6B"/>
          <w:sz w:val="40"/>
          <w:szCs w:val="40"/>
        </w:rPr>
        <w:t xml:space="preserve">The Geography of Preventable Death in England</w:t>
      </w:r>
    </w:p>
    <w:p>
      <w:pPr>
        <w:spacing w:after="80"/>
      </w:pPr>
      <w:r>
        <w:rPr>
          <w:rFonts w:ascii="Arial" w:cs="Arial" w:eastAsia="Arial" w:hAnsi="Arial"/>
          <w:color w:val="555555"/>
          <w:sz w:val="24"/>
          <w:szCs w:val="24"/>
        </w:rPr>
        <w:t xml:space="preserve">Mortality inequality by deprivation, ethnicity and region</w:t>
      </w:r>
    </w:p>
    <w:p>
      <w:pPr>
        <w:pBdr>
          <w:bottom w:val="single" w:color="2E75B6" w:sz="4" w:space="6"/>
        </w:pBdr>
        <w:spacing w:after="360"/>
      </w:pPr>
      <w:r>
        <w:rPr>
          <w:rFonts w:ascii="Arial" w:cs="Arial" w:eastAsia="Arial" w:hAnsi="Arial"/>
          <w:color w:val="888888"/>
          <w:sz w:val="20"/>
          <w:szCs w:val="20"/>
        </w:rPr>
        <w:t xml:space="preserve">Data source: </w:t>
      </w:r>
      <w:r>
        <w:rPr>
          <w:rFonts w:ascii="Arial" w:cs="Arial" w:eastAsia="Arial" w:hAnsi="Arial"/>
          <w:i/>
          <w:iCs/>
          <w:color w:val="888888"/>
          <w:sz w:val="20"/>
          <w:szCs w:val="20"/>
        </w:rPr>
        <w:t xml:space="preserve">ONS — Inequalities in mortality involving common physical health conditions, England</w:t>
      </w:r>
      <w:r>
        <w:rPr>
          <w:rFonts w:ascii="Arial" w:cs="Arial" w:eastAsia="Arial" w:hAnsi="Arial"/>
          <w:color w:val="888888"/>
          <w:sz w:val="20"/>
          <w:szCs w:val="20"/>
        </w:rPr>
        <w:t xml:space="preserve">   |   Period: 21 March 2021 to 31 January 2023   |   Conditions analysed: 30</w:t>
      </w:r>
    </w:p>
    <w:p>
      <w:pPr>
        <w:spacing w:after="80"/>
      </w:pPr>
      <w:r>
        <w:t xml:space="preserve"/>
      </w:r>
    </w:p>
    <w:p>
      <w:pPr>
        <w:pBdr>
          <w:bottom w:val="single" w:color="2E75B6" w:sz="8" w:space="4"/>
        </w:pBdr>
        <w:spacing w:after="160" w:before="360"/>
      </w:pPr>
      <w:r>
        <w:rPr>
          <w:rFonts w:ascii="Arial" w:cs="Arial" w:eastAsia="Arial" w:hAnsi="Arial"/>
          <w:b/>
          <w:bCs/>
          <w:color w:val="1B3A6B"/>
          <w:sz w:val="28"/>
          <w:szCs w:val="28"/>
        </w:rPr>
        <w:t xml:space="preserve">Background</w:t>
      </w:r>
    </w:p>
    <w:p>
      <w:pPr>
        <w:spacing w:after="140"/>
        <w:jc w:val="both"/>
      </w:pPr>
      <w:r>
        <w:rPr>
          <w:rFonts w:ascii="Arial" w:cs="Arial" w:eastAsia="Arial" w:hAnsi="Arial"/>
          <w:sz w:val="22"/>
          <w:szCs w:val="22"/>
        </w:rPr>
        <w:t xml:space="preserve">This analysis examines mortality inequality across England using Office for National Statistics (ONS) data covering 30 major physical health conditions, including cancers, cardiovascular diseases, respiratory conditions, metabolic disorders, and infectious diseases. The study period spans March 2021 to January 2023, capturing the post-acute phase of the COVID-19 pandemic and enabling robust comparisons across the recovered population.</w:t>
      </w:r>
    </w:p>
    <w:p>
      <w:pPr>
        <w:spacing w:after="140"/>
        <w:jc w:val="both"/>
      </w:pPr>
      <w:r>
        <w:rPr>
          <w:rFonts w:ascii="Arial" w:cs="Arial" w:eastAsia="Arial" w:hAnsi="Arial"/>
          <w:sz w:val="22"/>
          <w:szCs w:val="22"/>
        </w:rPr>
        <w:t xml:space="preserve">Three dimensions of inequality are examined: socioeconomic deprivation (measured by the Index of Multiple Deprivation), ethnicity, and geography (NHS England region). Age-standardised mortality rates are used throughout to ensure that observed differences reflect genuine health disparities rather than differences in age structure across groups.</w:t>
      </w:r>
    </w:p>
    <w:p>
      <w:pPr>
        <w:spacing w:after="80"/>
      </w:pPr>
      <w:r>
        <w:t xml:space="preserve"/>
      </w:r>
    </w:p>
    <w:p>
      <w:pPr>
        <w:pBdr>
          <w:bottom w:val="single" w:color="2E75B6" w:sz="8" w:space="4"/>
        </w:pBdr>
        <w:spacing w:after="160" w:before="360"/>
      </w:pPr>
      <w:r>
        <w:rPr>
          <w:rFonts w:ascii="Arial" w:cs="Arial" w:eastAsia="Arial" w:hAnsi="Arial"/>
          <w:b/>
          <w:bCs/>
          <w:color w:val="1B3A6B"/>
          <w:sz w:val="28"/>
          <w:szCs w:val="28"/>
        </w:rPr>
        <w:t xml:space="preserve">Key Statistics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444444"/>
                <w:sz w:val="20"/>
                <w:szCs w:val="20"/>
              </w:rPr>
              <w:t xml:space="preserve">All-cause mortality — most vs least deprived</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+86% higher in most deprived areas</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444444"/>
                <w:sz w:val="20"/>
                <w:szCs w:val="20"/>
              </w:rPr>
              <w:t xml:space="preserve">Highest deprivation-driven condition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COPD: 4.69× mortality ratio</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444444"/>
                <w:sz w:val="20"/>
                <w:szCs w:val="20"/>
              </w:rPr>
              <w:t xml:space="preserve">Bangladeshi diabetes mortality vs White British (equal wealth)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5.03× higher</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444444"/>
                <w:sz w:val="20"/>
                <w:szCs w:val="20"/>
              </w:rPr>
              <w:t xml:space="preserve">Region with highest all-cause mortality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68910"/>
                <w:sz w:val="20"/>
                <w:szCs w:val="20"/>
              </w:rPr>
              <w:t xml:space="preserve">North East: 2,041 per 100,000</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444444"/>
                <w:sz w:val="20"/>
                <w:szCs w:val="20"/>
              </w:rPr>
              <w:t xml:space="preserve">Region with lowest all-cause mortality</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London: 1,058 per 100,000</w:t>
            </w:r>
          </w:p>
        </w:tc>
      </w:tr>
      <w:tr>
        <w:tc>
          <w:tcPr>
            <w:tcW w:type="dxa" w:w="4513"/>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444444"/>
                <w:sz w:val="20"/>
                <w:szCs w:val="20"/>
              </w:rPr>
              <w:t xml:space="preserve">Conditions showing reverse deprivation gradient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Malignant Melanoma (0.67×)</w:t>
            </w:r>
          </w:p>
        </w:tc>
      </w:tr>
    </w:tbl>
    <w:p>
      <w:pPr>
        <w:spacing w:after="80"/>
      </w:pPr>
      <w:r>
        <w:t xml:space="preserve"/>
      </w:r>
    </w:p>
    <w:p>
      <w:pPr>
        <w:spacing w:after="80"/>
      </w:pPr>
      <w:r>
        <w:t xml:space="preserve"/>
      </w:r>
    </w:p>
    <w:p>
      <w:pPr>
        <w:pBdr>
          <w:bottom w:val="single" w:color="2E75B6" w:sz="8" w:space="4"/>
        </w:pBdr>
        <w:spacing w:after="160" w:before="360"/>
      </w:pPr>
      <w:r>
        <w:rPr>
          <w:rFonts w:ascii="Arial" w:cs="Arial" w:eastAsia="Arial" w:hAnsi="Arial"/>
          <w:b/>
          <w:bCs/>
          <w:color w:val="1B3A6B"/>
          <w:sz w:val="28"/>
          <w:szCs w:val="28"/>
        </w:rPr>
        <w:t xml:space="preserve">Findings</w:t>
      </w:r>
    </w:p>
    <w:p>
      <w:pPr>
        <w:spacing w:after="120" w:before="280"/>
      </w:pPr>
      <w:r>
        <w:rPr>
          <w:rFonts w:ascii="Arial" w:cs="Arial" w:eastAsia="Arial" w:hAnsi="Arial"/>
          <w:b/>
          <w:bCs/>
          <w:color w:val="1B3A6B"/>
          <w:sz w:val="24"/>
          <w:szCs w:val="24"/>
        </w:rPr>
        <w:t xml:space="preserve">Finding 1: Deprivation is the strongest driver of premature mortality</w:t>
      </w:r>
    </w:p>
    <w:p>
      <w:pPr>
        <w:spacing w:after="140"/>
        <w:jc w:val="both"/>
      </w:pPr>
      <w:r>
        <w:rPr>
          <w:rFonts w:ascii="Arial" w:cs="Arial" w:eastAsia="Arial" w:hAnsi="Arial"/>
          <w:sz w:val="22"/>
          <w:szCs w:val="22"/>
        </w:rPr>
        <w:t xml:space="preserve">People living in the most deprived areas of England face an age-standardised all-cause mortality rate of 1,430 per 100,000 person-years, compared to 769 per 100,000 in the least deprived areas — an 86% excess. This gap widens dramatically for specific conditions where deprivation acts as both a direct and indirect risk factor.</w:t>
      </w:r>
    </w:p>
    <w:p>
      <w:pPr>
        <w:spacing w:after="140"/>
        <w:jc w:val="both"/>
      </w:pPr>
      <w:r>
        <w:rPr>
          <w:rFonts w:ascii="Arial" w:cs="Arial" w:eastAsia="Arial" w:hAnsi="Arial"/>
          <w:sz w:val="22"/>
          <w:szCs w:val="22"/>
        </w:rPr>
        <w:t xml:space="preserve">The conditions showing the steepest deprivation gradients are:</w:t>
      </w:r>
    </w:p>
    <w:p>
      <w:pPr>
        <w:pStyle w:val="ListParagraph"/>
        <w:numPr>
          <w:ilvl w:val="0"/>
          <w:numId w:val="2"/>
        </w:numPr>
        <w:spacing w:after="100"/>
      </w:pPr>
      <w:r>
        <w:rPr>
          <w:rFonts w:ascii="Arial" w:cs="Arial" w:eastAsia="Arial" w:hAnsi="Arial"/>
          <w:color w:val="C0392B"/>
          <w:sz w:val="22"/>
          <w:szCs w:val="22"/>
        </w:rPr>
        <w:t xml:space="preserve">Chronic Obstructive Pulmonary Disease (COPD): 4.69× higher mortality in the most deprived decile, reflecting the compounding effects of smoking prevalence, occupational exposure in industrial and manual labour roles, damp housing conditions, and historically concentrated industrial activity in deprived communities.</w:t>
      </w:r>
    </w:p>
    <w:p>
      <w:pPr>
        <w:pStyle w:val="ListParagraph"/>
        <w:numPr>
          <w:ilvl w:val="0"/>
          <w:numId w:val="2"/>
        </w:numPr>
        <w:spacing w:after="100"/>
      </w:pPr>
      <w:r>
        <w:rPr>
          <w:rFonts w:ascii="Arial" w:cs="Arial" w:eastAsia="Arial" w:hAnsi="Arial"/>
          <w:color w:val="C0392B"/>
          <w:sz w:val="22"/>
          <w:szCs w:val="22"/>
        </w:rPr>
        <w:t xml:space="preserve">Lung Cancer: 3.51×, closely linked to the same behavioural and environmental drivers as COPD.</w:t>
      </w:r>
    </w:p>
    <w:p>
      <w:pPr>
        <w:pStyle w:val="ListParagraph"/>
        <w:numPr>
          <w:ilvl w:val="0"/>
          <w:numId w:val="2"/>
        </w:numPr>
        <w:spacing w:after="100"/>
      </w:pPr>
      <w:r>
        <w:rPr>
          <w:rFonts w:ascii="Arial" w:cs="Arial" w:eastAsia="Arial" w:hAnsi="Arial"/>
          <w:color w:val="D68910"/>
          <w:sz w:val="22"/>
          <w:szCs w:val="22"/>
        </w:rPr>
        <w:t xml:space="preserve">Asthma: 2.98×, likely reflecting outdoor air quality, indoor mould and damp, and differential access to preventer medication and primary care follow-up.</w:t>
      </w:r>
    </w:p>
    <w:p>
      <w:pPr>
        <w:pStyle w:val="ListParagraph"/>
        <w:numPr>
          <w:ilvl w:val="0"/>
          <w:numId w:val="2"/>
        </w:numPr>
        <w:spacing w:after="100"/>
      </w:pPr>
      <w:r>
        <w:rPr>
          <w:rFonts w:ascii="Arial" w:cs="Arial" w:eastAsia="Arial" w:hAnsi="Arial"/>
          <w:color w:val="D68910"/>
          <w:sz w:val="22"/>
          <w:szCs w:val="22"/>
        </w:rPr>
        <w:t xml:space="preserve">Diabetes: 2.87×, pointing to dietary environment, physical activity infrastructure, and access to early intervention services.</w:t>
      </w:r>
    </w:p>
    <w:p>
      <w:pPr>
        <w:spacing w:after="140"/>
        <w:jc w:val="both"/>
      </w:pPr>
      <w:r>
        <w:rPr>
          <w:rFonts w:ascii="Arial" w:cs="Arial" w:eastAsia="Arial" w:hAnsi="Arial"/>
          <w:sz w:val="22"/>
          <w:szCs w:val="22"/>
        </w:rPr>
        <w:t xml:space="preserve">Notably, Malignant Melanoma of the Skin shows a reverse deprivation gradient (0.67×), with higher mortality in less deprived areas. This counterintuitive finding is consistent with greater exposure to ultraviolet radiation through foreign holidays and leisure activities among wealthier populations — a finding that challenges the assumption that deprivation universally worsens health outcomes across all conditions.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F1</w:t>
            </w:r>
          </w:p>
        </w:tc>
        <w:tc>
          <w:tcPr>
            <w:tcW w:type="dxa" w:w="8546"/>
            <w:tcBorders>
              <w:top w:val="single" w:color="CCCCCC" w:sz="1"/>
              <w:left w:val="single" w:color="CCCCCC" w:sz="1"/>
              <w:bottom w:val="single" w:color="CCCCCC" w:sz="1"/>
              <w:right w:val="single" w:color="CCCCCC" w:sz="1"/>
            </w:tcBorders>
            <w:shd w:fill="F2F4F6" w:val="clear"/>
            <w:tcMar>
              <w:top w:type="dxa" w:w="120"/>
              <w:left w:type="dxa" w:w="160"/>
              <w:bottom w:type="dxa" w:w="120"/>
              <w:right w:type="dxa" w:w="160"/>
            </w:tcMar>
          </w:tcPr>
          <w:p>
            <w:pPr>
              <w:spacing w:after="60"/>
            </w:pPr>
            <w:r>
              <w:rPr>
                <w:rFonts w:ascii="Arial" w:cs="Arial" w:eastAsia="Arial" w:hAnsi="Arial"/>
                <w:b/>
                <w:bCs/>
                <w:color w:val="1B3A6B"/>
                <w:sz w:val="22"/>
                <w:szCs w:val="22"/>
              </w:rPr>
              <w:t xml:space="preserve">The Deprivation-Mortality Gap</w:t>
            </w:r>
          </w:p>
          <w:p>
            <w:r>
              <w:rPr>
                <w:rFonts w:ascii="Arial" w:cs="Arial" w:eastAsia="Arial" w:hAnsi="Arial"/>
                <w:color w:val="333333"/>
                <w:sz w:val="20"/>
                <w:szCs w:val="20"/>
              </w:rPr>
              <w:t xml:space="preserve">COPD shows the strongest deprivation gradient at 4.69×, followed by Lung Cancer (3.51×) and Asthma (2.98×). Malignant Melanoma shows a reverse gradient (0.67×), with wealthier populations at higher risk — likely reflecting greater sun exposure through overseas leisure travel.</w:t>
            </w:r>
          </w:p>
        </w:tc>
      </w:tr>
    </w:tbl>
    <w:p>
      <w:pPr>
        <w:spacing w:after="80"/>
      </w:pPr>
      <w:r>
        <w:t xml:space="preserve"/>
      </w:r>
    </w:p>
    <w:p>
      <w:pPr>
        <w:spacing w:after="120" w:before="280"/>
      </w:pPr>
      <w:r>
        <w:rPr>
          <w:rFonts w:ascii="Arial" w:cs="Arial" w:eastAsia="Arial" w:hAnsi="Arial"/>
          <w:b/>
          <w:bCs/>
          <w:color w:val="1B3A6B"/>
          <w:sz w:val="24"/>
          <w:szCs w:val="24"/>
        </w:rPr>
        <w:t xml:space="preserve">Finding 2: Ethnicity creates condition-specific mortality vulnerabilities independent of overall health</w:t>
      </w:r>
    </w:p>
    <w:p>
      <w:pPr>
        <w:spacing w:after="140"/>
        <w:jc w:val="both"/>
      </w:pPr>
      <w:r>
        <w:rPr>
          <w:rFonts w:ascii="Arial" w:cs="Arial" w:eastAsia="Arial" w:hAnsi="Arial"/>
          <w:sz w:val="22"/>
          <w:szCs w:val="22"/>
        </w:rPr>
        <w:t xml:space="preserve">Using White British as a baseline, this analysis finds that ethnic minority communities do not face uniformly higher mortality across all conditions. Instead, striking condition-specific vulnerabilities emerge that point to targeted, rather than generalised, health disadvantage.</w:t>
      </w:r>
    </w:p>
    <w:p>
      <w:pPr>
        <w:spacing w:after="140"/>
        <w:jc w:val="both"/>
      </w:pPr>
      <w:r>
        <w:rPr>
          <w:rFonts w:ascii="Arial" w:cs="Arial" w:eastAsia="Arial" w:hAnsi="Arial"/>
          <w:sz w:val="22"/>
          <w:szCs w:val="22"/>
        </w:rPr>
        <w:t xml:space="preserve">For Bangladeshi communities specifically:</w:t>
      </w:r>
    </w:p>
    <w:p>
      <w:pPr>
        <w:pStyle w:val="ListParagraph"/>
        <w:numPr>
          <w:ilvl w:val="0"/>
          <w:numId w:val="2"/>
        </w:numPr>
        <w:spacing w:after="100"/>
      </w:pPr>
      <w:r>
        <w:rPr>
          <w:rFonts w:ascii="Arial" w:cs="Arial" w:eastAsia="Arial" w:hAnsi="Arial"/>
          <w:color w:val="000000"/>
          <w:sz w:val="22"/>
          <w:szCs w:val="22"/>
        </w:rPr>
        <w:t xml:space="preserve">Asthma mortality is 3.95× higher than White British, and Diabetes mortality is 3.74× higher — the two largest ethnic disparities observed in the dataset.</w:t>
      </w:r>
    </w:p>
    <w:p>
      <w:pPr>
        <w:pStyle w:val="ListParagraph"/>
        <w:numPr>
          <w:ilvl w:val="0"/>
          <w:numId w:val="2"/>
        </w:numPr>
        <w:spacing w:after="100"/>
      </w:pPr>
      <w:r>
        <w:rPr>
          <w:rFonts w:ascii="Arial" w:cs="Arial" w:eastAsia="Arial" w:hAnsi="Arial"/>
          <w:color w:val="000000"/>
          <w:sz w:val="22"/>
          <w:szCs w:val="22"/>
        </w:rPr>
        <w:t xml:space="preserve">All-cause mortality is paradoxically lower (0.94×), consistent with the well-documented 'Healthy Immigrant Effect', whereby recent migrants tend to arrive in better health than the destination population average.</w:t>
      </w:r>
    </w:p>
    <w:p>
      <w:pPr>
        <w:pStyle w:val="ListParagraph"/>
        <w:numPr>
          <w:ilvl w:val="0"/>
          <w:numId w:val="2"/>
        </w:numPr>
        <w:spacing w:after="100"/>
      </w:pPr>
      <w:r>
        <w:rPr>
          <w:rFonts w:ascii="Arial" w:cs="Arial" w:eastAsia="Arial" w:hAnsi="Arial"/>
          <w:color w:val="000000"/>
          <w:sz w:val="22"/>
          <w:szCs w:val="22"/>
        </w:rPr>
        <w:t xml:space="preserve">Mortality from COPD (0.79×), Lung Cancer (0.84×), and Colorectal Cancer (0.66×) is substantially lower than White British rates, likely reflecting lower smoking prevalence and dietary patterns within this community.</w:t>
      </w:r>
    </w:p>
    <w:p>
      <w:pPr>
        <w:spacing w:after="140"/>
        <w:jc w:val="both"/>
      </w:pPr>
      <w:r>
        <w:rPr>
          <w:rFonts w:ascii="Arial" w:cs="Arial" w:eastAsia="Arial" w:hAnsi="Arial"/>
          <w:sz w:val="22"/>
          <w:szCs w:val="22"/>
        </w:rPr>
        <w:t xml:space="preserve">Similar patterns emerge for Pakistani communities (Diabetes: 3.2×, Asthma: 2.9×) and Indian communities (Diabetes: 2.8×), suggesting a shared South Asian vulnerability to metabolic and respiratory conditions that is not generalised across all causes of death.</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F2</w:t>
            </w:r>
          </w:p>
        </w:tc>
        <w:tc>
          <w:tcPr>
            <w:tcW w:type="dxa" w:w="8546"/>
            <w:tcBorders>
              <w:top w:val="single" w:color="CCCCCC" w:sz="1"/>
              <w:left w:val="single" w:color="CCCCCC" w:sz="1"/>
              <w:bottom w:val="single" w:color="CCCCCC" w:sz="1"/>
              <w:right w:val="single" w:color="CCCCCC" w:sz="1"/>
            </w:tcBorders>
            <w:shd w:fill="F2F4F6" w:val="clear"/>
            <w:tcMar>
              <w:top w:type="dxa" w:w="120"/>
              <w:left w:type="dxa" w:w="160"/>
              <w:bottom w:type="dxa" w:w="120"/>
              <w:right w:type="dxa" w:w="160"/>
            </w:tcMar>
          </w:tcPr>
          <w:p>
            <w:pPr>
              <w:spacing w:after="60"/>
            </w:pPr>
            <w:r>
              <w:rPr>
                <w:rFonts w:ascii="Arial" w:cs="Arial" w:eastAsia="Arial" w:hAnsi="Arial"/>
                <w:b/>
                <w:bCs/>
                <w:color w:val="1B3A6B"/>
                <w:sz w:val="22"/>
                <w:szCs w:val="22"/>
              </w:rPr>
              <w:t xml:space="preserve">The Healthy Immigrant Paradox</w:t>
            </w:r>
          </w:p>
          <w:p>
            <w:r>
              <w:rPr>
                <w:rFonts w:ascii="Arial" w:cs="Arial" w:eastAsia="Arial" w:hAnsi="Arial"/>
                <w:color w:val="333333"/>
                <w:sz w:val="20"/>
                <w:szCs w:val="20"/>
              </w:rPr>
              <w:t xml:space="preserve">Bangladeshi communities have lower all-cause mortality than White British (0.94×) yet face dramatically higher mortality from Diabetes (3.74×) and Asthma (3.95×). This suggests condition-specific biological, cultural, or healthcare access factors — not generalised poor health.</w:t>
            </w:r>
          </w:p>
        </w:tc>
      </w:tr>
    </w:tbl>
    <w:p>
      <w:pPr>
        <w:spacing w:after="80"/>
      </w:pPr>
      <w:r>
        <w:t xml:space="preserve"/>
      </w:r>
    </w:p>
    <w:p>
      <w:pPr>
        <w:spacing w:after="120" w:before="280"/>
      </w:pPr>
      <w:r>
        <w:rPr>
          <w:rFonts w:ascii="Arial" w:cs="Arial" w:eastAsia="Arial" w:hAnsi="Arial"/>
          <w:b/>
          <w:bCs/>
          <w:color w:val="1B3A6B"/>
          <w:sz w:val="24"/>
          <w:szCs w:val="24"/>
        </w:rPr>
        <w:t xml:space="preserve">Finding 3: Deprivation does not explain the South Asian diabetes mortality gap</w:t>
      </w:r>
    </w:p>
    <w:p>
      <w:pPr>
        <w:spacing w:after="140"/>
        <w:jc w:val="both"/>
      </w:pPr>
      <w:r>
        <w:rPr>
          <w:rFonts w:ascii="Arial" w:cs="Arial" w:eastAsia="Arial" w:hAnsi="Arial"/>
          <w:sz w:val="22"/>
          <w:szCs w:val="22"/>
        </w:rPr>
        <w:t xml:space="preserve">The most policy-significant finding of this analysis emerges from cross-tabulating ethnicity with deprivation quintile for diabetes mortality. If deprivation were the primary driver of elevated South Asian diabetes mortality, we would expect the gap to narrow — or disappear — in the least deprived quintile. It does not.</w:t>
      </w:r>
    </w:p>
    <w:p>
      <w:pPr>
        <w:spacing w:after="140"/>
        <w:jc w:val="both"/>
      </w:pPr>
      <w:r>
        <w:rPr>
          <w:rFonts w:ascii="Arial" w:cs="Arial" w:eastAsia="Arial" w:hAnsi="Arial"/>
          <w:sz w:val="22"/>
          <w:szCs w:val="22"/>
        </w:rPr>
        <w:t xml:space="preserve">Among individuals in the least deprived quintile (quintile 5):</w:t>
      </w:r>
    </w:p>
    <w:p>
      <w:pPr>
        <w:pStyle w:val="ListParagraph"/>
        <w:numPr>
          <w:ilvl w:val="0"/>
          <w:numId w:val="2"/>
        </w:numPr>
        <w:spacing w:after="100"/>
      </w:pPr>
      <w:r>
        <w:rPr>
          <w:rFonts w:ascii="Arial" w:cs="Arial" w:eastAsia="Arial" w:hAnsi="Arial"/>
          <w:color w:val="000000"/>
          <w:sz w:val="22"/>
          <w:szCs w:val="22"/>
        </w:rPr>
        <w:t xml:space="preserve">Bangladeshi diabetes mortality: 379.4 per 100,000 person-years</w:t>
      </w:r>
    </w:p>
    <w:p>
      <w:pPr>
        <w:pStyle w:val="ListParagraph"/>
        <w:numPr>
          <w:ilvl w:val="0"/>
          <w:numId w:val="2"/>
        </w:numPr>
        <w:spacing w:after="100"/>
      </w:pPr>
      <w:r>
        <w:rPr>
          <w:rFonts w:ascii="Arial" w:cs="Arial" w:eastAsia="Arial" w:hAnsi="Arial"/>
          <w:color w:val="000000"/>
          <w:sz w:val="22"/>
          <w:szCs w:val="22"/>
        </w:rPr>
        <w:t xml:space="preserve">White British diabetes mortality: 75.5 per 100,000 person-years</w:t>
      </w:r>
    </w:p>
    <w:p>
      <w:pPr>
        <w:pStyle w:val="ListParagraph"/>
        <w:numPr>
          <w:ilvl w:val="0"/>
          <w:numId w:val="2"/>
        </w:numPr>
        <w:spacing w:after="100"/>
      </w:pPr>
      <w:r>
        <w:rPr>
          <w:rFonts w:ascii="Arial" w:cs="Arial" w:eastAsia="Arial" w:hAnsi="Arial"/>
          <w:color w:val="000000"/>
          <w:sz w:val="22"/>
          <w:szCs w:val="22"/>
        </w:rPr>
        <w:t xml:space="preserve">Ratio: 5.03× — higher than the overall ratio observed across all deprivation levels combined</w:t>
      </w:r>
    </w:p>
    <w:p>
      <w:pPr>
        <w:spacing w:after="140"/>
        <w:jc w:val="both"/>
      </w:pPr>
      <w:r>
        <w:rPr>
          <w:rFonts w:ascii="Arial" w:cs="Arial" w:eastAsia="Arial" w:hAnsi="Arial"/>
          <w:sz w:val="22"/>
          <w:szCs w:val="22"/>
        </w:rPr>
        <w:t xml:space="preserve">Pakistani communities show a similar pattern (222.1 vs 75.5, ratio 2.94×) in the least deprived quintile, as do Indian communities (173.0 vs 75.5, ratio 2.29×). This finding robustly demonstrates that socioeconomic factors alone cannot account for South Asian diabetes mortality. The residual gap points to a combination of genetic predisposition (higher rates of insulin resistance at lower BMI thresholds), dietary patterns, and potentially differential engagement with diabetes prevention and management services.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F3</w:t>
            </w:r>
          </w:p>
        </w:tc>
        <w:tc>
          <w:tcPr>
            <w:tcW w:type="dxa" w:w="8546"/>
            <w:tcBorders>
              <w:top w:val="single" w:color="CCCCCC" w:sz="1"/>
              <w:left w:val="single" w:color="CCCCCC" w:sz="1"/>
              <w:bottom w:val="single" w:color="CCCCCC" w:sz="1"/>
              <w:right w:val="single" w:color="CCCCCC" w:sz="1"/>
            </w:tcBorders>
            <w:shd w:fill="F2F4F6" w:val="clear"/>
            <w:tcMar>
              <w:top w:type="dxa" w:w="120"/>
              <w:left w:type="dxa" w:w="160"/>
              <w:bottom w:type="dxa" w:w="120"/>
              <w:right w:type="dxa" w:w="160"/>
            </w:tcMar>
          </w:tcPr>
          <w:p>
            <w:pPr>
              <w:spacing w:after="60"/>
            </w:pPr>
            <w:r>
              <w:rPr>
                <w:rFonts w:ascii="Arial" w:cs="Arial" w:eastAsia="Arial" w:hAnsi="Arial"/>
                <w:b/>
                <w:bCs/>
                <w:color w:val="1B3A6B"/>
                <w:sz w:val="22"/>
                <w:szCs w:val="22"/>
              </w:rPr>
              <w:t xml:space="preserve">Wealth Does Not Close the Gap</w:t>
            </w:r>
          </w:p>
          <w:p>
            <w:r>
              <w:rPr>
                <w:rFonts w:ascii="Arial" w:cs="Arial" w:eastAsia="Arial" w:hAnsi="Arial"/>
                <w:color w:val="333333"/>
                <w:sz w:val="20"/>
                <w:szCs w:val="20"/>
              </w:rPr>
              <w:t xml:space="preserve">A Bangladeshi person in the wealthiest quintile faces 5.03× higher diabetes mortality than a White British person of equivalent wealth. Deprivation reduction alone is insufficient. Targeted clinical and community interventions are required.</w:t>
            </w:r>
          </w:p>
        </w:tc>
      </w:tr>
    </w:tbl>
    <w:p>
      <w:pPr>
        <w:spacing w:after="80"/>
      </w:pPr>
      <w:r>
        <w:t xml:space="preserve"/>
      </w:r>
    </w:p>
    <w:p>
      <w:pPr>
        <w:spacing w:after="120" w:before="280"/>
      </w:pPr>
      <w:r>
        <w:rPr>
          <w:rFonts w:ascii="Arial" w:cs="Arial" w:eastAsia="Arial" w:hAnsi="Arial"/>
          <w:b/>
          <w:bCs/>
          <w:color w:val="1B3A6B"/>
          <w:sz w:val="24"/>
          <w:szCs w:val="24"/>
        </w:rPr>
        <w:t xml:space="preserve">Finding 4: The North-South mortality divide is severe and persistent</w:t>
      </w:r>
    </w:p>
    <w:p>
      <w:pPr>
        <w:spacing w:after="140"/>
        <w:jc w:val="both"/>
      </w:pPr>
      <w:r>
        <w:rPr>
          <w:rFonts w:ascii="Arial" w:cs="Arial" w:eastAsia="Arial" w:hAnsi="Arial"/>
          <w:sz w:val="22"/>
          <w:szCs w:val="22"/>
        </w:rPr>
        <w:t xml:space="preserve">Regional analysis reveals a stark and consistent geographical gradient in mortality across England. The North East records the highest all-cause mortality rate in the country at 2,041 per 100,000, compared to London's 1,058 — a near doubling of mortality risk determined largely by geography of birth rather than individual behaviour or biology.</w:t>
      </w:r>
    </w:p>
    <w:p>
      <w:pPr>
        <w:spacing w:after="140"/>
        <w:jc w:val="both"/>
      </w:pPr>
      <w:r>
        <w:rPr>
          <w:rFonts w:ascii="Arial" w:cs="Arial" w:eastAsia="Arial" w:hAnsi="Arial"/>
          <w:sz w:val="22"/>
          <w:szCs w:val="22"/>
        </w:rPr>
        <w:t xml:space="preserve">The North-South divide is sharpest for conditions associated with industrial heritage and occupational exposure:</w:t>
      </w:r>
    </w:p>
    <w:p>
      <w:pPr>
        <w:pStyle w:val="ListParagraph"/>
        <w:numPr>
          <w:ilvl w:val="0"/>
          <w:numId w:val="2"/>
        </w:numPr>
        <w:spacing w:after="100"/>
      </w:pPr>
      <w:r>
        <w:rPr>
          <w:rFonts w:ascii="Arial" w:cs="Arial" w:eastAsia="Arial" w:hAnsi="Arial"/>
          <w:color w:val="C0392B"/>
          <w:sz w:val="22"/>
          <w:szCs w:val="22"/>
        </w:rPr>
        <w:t xml:space="preserve">COPD: North East 506.5 vs London 115.7 — a 4.37× regional gap for a single condition.</w:t>
      </w:r>
    </w:p>
    <w:p>
      <w:pPr>
        <w:pStyle w:val="ListParagraph"/>
        <w:numPr>
          <w:ilvl w:val="0"/>
          <w:numId w:val="2"/>
        </w:numPr>
        <w:spacing w:after="100"/>
      </w:pPr>
      <w:r>
        <w:rPr>
          <w:rFonts w:ascii="Arial" w:cs="Arial" w:eastAsia="Arial" w:hAnsi="Arial"/>
          <w:color w:val="C0392B"/>
          <w:sz w:val="22"/>
          <w:szCs w:val="22"/>
        </w:rPr>
        <w:t xml:space="preserve">Lung Cancer: North East 269.3 vs London 58.9 — a 4.57× regional gap.</w:t>
      </w:r>
    </w:p>
    <w:p>
      <w:pPr>
        <w:pStyle w:val="ListParagraph"/>
        <w:numPr>
          <w:ilvl w:val="0"/>
          <w:numId w:val="2"/>
        </w:numPr>
        <w:spacing w:after="100"/>
      </w:pPr>
      <w:r>
        <w:rPr>
          <w:rFonts w:ascii="Arial" w:cs="Arial" w:eastAsia="Arial" w:hAnsi="Arial"/>
          <w:color w:val="D68910"/>
          <w:sz w:val="22"/>
          <w:szCs w:val="22"/>
        </w:rPr>
        <w:t xml:space="preserve">Chronic Kidney Disease: North East 302.9 vs London 120.4 — a 2.52× regional gap.</w:t>
      </w:r>
    </w:p>
    <w:p>
      <w:pPr>
        <w:spacing w:after="140"/>
        <w:jc w:val="both"/>
      </w:pPr>
      <w:r>
        <w:rPr>
          <w:rFonts w:ascii="Arial" w:cs="Arial" w:eastAsia="Arial" w:hAnsi="Arial"/>
          <w:sz w:val="22"/>
          <w:szCs w:val="22"/>
        </w:rPr>
        <w:t xml:space="preserve">Two anomalies warrant specific attention. First, West Midlands records Cardiac Arrest mortality of 40.0 per 100,000 — nearly three times any other region (11–18 range), which may reflect genuine service response disparities or differences in recording practices, and merits further investigation. Second, Dementia and Alzheimer's mortality is dramatically elevated in the North East (734.3) and South West (637.6) compared to all other regions (309–354), likely reflecting the older age profiles of these populations rather than a true age-standardised disparity.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8546"/>
      </w:tblGrid>
      <w:tr>
        <w:tc>
          <w:tcPr>
            <w:tcW w:type="dxa" w:w="48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F4</w:t>
            </w:r>
          </w:p>
        </w:tc>
        <w:tc>
          <w:tcPr>
            <w:tcW w:type="dxa" w:w="8546"/>
            <w:tcBorders>
              <w:top w:val="single" w:color="CCCCCC" w:sz="1"/>
              <w:left w:val="single" w:color="CCCCCC" w:sz="1"/>
              <w:bottom w:val="single" w:color="CCCCCC" w:sz="1"/>
              <w:right w:val="single" w:color="CCCCCC" w:sz="1"/>
            </w:tcBorders>
            <w:shd w:fill="F2F4F6" w:val="clear"/>
            <w:tcMar>
              <w:top w:type="dxa" w:w="120"/>
              <w:left w:type="dxa" w:w="160"/>
              <w:bottom w:type="dxa" w:w="120"/>
              <w:right w:type="dxa" w:w="160"/>
            </w:tcMar>
          </w:tcPr>
          <w:p>
            <w:pPr>
              <w:spacing w:after="60"/>
            </w:pPr>
            <w:r>
              <w:rPr>
                <w:rFonts w:ascii="Arial" w:cs="Arial" w:eastAsia="Arial" w:hAnsi="Arial"/>
                <w:b/>
                <w:bCs/>
                <w:color w:val="1B3A6B"/>
                <w:sz w:val="22"/>
                <w:szCs w:val="22"/>
              </w:rPr>
              <w:t xml:space="preserve">The North East Crisis</w:t>
            </w:r>
          </w:p>
          <w:p>
            <w:r>
              <w:rPr>
                <w:rFonts w:ascii="Arial" w:cs="Arial" w:eastAsia="Arial" w:hAnsi="Arial"/>
                <w:color w:val="333333"/>
                <w:sz w:val="20"/>
                <w:szCs w:val="20"/>
              </w:rPr>
              <w:t xml:space="preserve">All-cause mortality in the North East (2,041 per 100,000) is nearly double that of London (1,058). COPD and Lung Cancer rates are over 4× higher than in the capital, reflecting the long-term health legacy of deindustrialisation, concentrated deprivation, and historically lower investment in preventive healthcare.</w:t>
            </w:r>
          </w:p>
        </w:tc>
      </w:tr>
    </w:tbl>
    <w:p>
      <w:pPr>
        <w:spacing w:after="80"/>
      </w:pPr>
      <w:r>
        <w:t xml:space="preserve"/>
      </w:r>
    </w:p>
    <w:p>
      <w:pPr>
        <w:pBdr>
          <w:bottom w:val="single" w:color="2E75B6" w:sz="8" w:space="4"/>
        </w:pBdr>
        <w:spacing w:after="160" w:before="360"/>
      </w:pPr>
      <w:r>
        <w:rPr>
          <w:rFonts w:ascii="Arial" w:cs="Arial" w:eastAsia="Arial" w:hAnsi="Arial"/>
          <w:b/>
          <w:bCs/>
          <w:color w:val="1B3A6B"/>
          <w:sz w:val="28"/>
          <w:szCs w:val="28"/>
        </w:rPr>
        <w:t xml:space="preserve">Conclusions and Policy Implications</w:t>
      </w:r>
    </w:p>
    <w:p>
      <w:pPr>
        <w:spacing w:after="140"/>
        <w:jc w:val="both"/>
      </w:pPr>
      <w:r>
        <w:rPr>
          <w:rFonts w:ascii="Arial" w:cs="Arial" w:eastAsia="Arial" w:hAnsi="Arial"/>
          <w:sz w:val="22"/>
          <w:szCs w:val="22"/>
        </w:rPr>
        <w:t xml:space="preserve">The findings of this analysis collectively demonstrate that premature mortality in England is not randomly distributed. It is systematically patterned by socioeconomic deprivation, ethnicity, and geography — and these dimensions interact in ways that require targeted, rather than universal, policy responses.</w:t>
      </w:r>
    </w:p>
    <w:p>
      <w:pPr>
        <w:spacing w:after="140"/>
        <w:jc w:val="both"/>
      </w:pPr>
      <w:r>
        <w:rPr>
          <w:rFonts w:ascii="Arial" w:cs="Arial" w:eastAsia="Arial" w:hAnsi="Arial"/>
          <w:sz w:val="22"/>
          <w:szCs w:val="22"/>
        </w:rPr>
        <w:t xml:space="preserve">Four broad implications emerge:</w:t>
      </w:r>
    </w:p>
    <w:p>
      <w:pPr>
        <w:pStyle w:val="ListParagraph"/>
        <w:numPr>
          <w:ilvl w:val="0"/>
          <w:numId w:val="2"/>
        </w:numPr>
        <w:spacing w:after="100"/>
      </w:pPr>
      <w:r>
        <w:rPr>
          <w:rFonts w:ascii="Arial" w:cs="Arial" w:eastAsia="Arial" w:hAnsi="Arial"/>
          <w:color w:val="000000"/>
          <w:sz w:val="22"/>
          <w:szCs w:val="22"/>
        </w:rPr>
        <w:t xml:space="preserve">Deprivation reduction remains the single most powerful lever for reducing overall mortality inequality, but it is not sufficient on its own. COPD and Lung Cancer prevention must be integrated with housing quality, occupational health, and smoking cessation programmes specifically targeted at deprived communities.</w:t>
      </w:r>
    </w:p>
    <w:p>
      <w:pPr>
        <w:pStyle w:val="ListParagraph"/>
        <w:numPr>
          <w:ilvl w:val="0"/>
          <w:numId w:val="2"/>
        </w:numPr>
        <w:spacing w:after="100"/>
      </w:pPr>
      <w:r>
        <w:rPr>
          <w:rFonts w:ascii="Arial" w:cs="Arial" w:eastAsia="Arial" w:hAnsi="Arial"/>
          <w:color w:val="000000"/>
          <w:sz w:val="22"/>
          <w:szCs w:val="22"/>
        </w:rPr>
        <w:t xml:space="preserve">South Asian diabetes mortality requires a clinical response that goes beyond poverty alleviation. Culturally competent diabetes prevention programmes, ethnicity-specific BMI and risk thresholds, and community-based screening are needed to address a gap that persists even among the wealthiest South Asian residents.</w:t>
      </w:r>
    </w:p>
    <w:p>
      <w:pPr>
        <w:pStyle w:val="ListParagraph"/>
        <w:numPr>
          <w:ilvl w:val="0"/>
          <w:numId w:val="2"/>
        </w:numPr>
        <w:spacing w:after="100"/>
      </w:pPr>
      <w:r>
        <w:rPr>
          <w:rFonts w:ascii="Arial" w:cs="Arial" w:eastAsia="Arial" w:hAnsi="Arial"/>
          <w:color w:val="000000"/>
          <w:sz w:val="22"/>
          <w:szCs w:val="22"/>
        </w:rPr>
        <w:t xml:space="preserve">Regional health investment must be rebalanced towards the North East, which faces a compound disadvantage across virtually every condition examined. The scale of the North-South divide is not a natural phenomenon — it is the accumulated consequence of industrial history, disinvestment, and differential access to preventive care.</w:t>
      </w:r>
    </w:p>
    <w:p>
      <w:pPr>
        <w:pStyle w:val="ListParagraph"/>
        <w:numPr>
          <w:ilvl w:val="0"/>
          <w:numId w:val="2"/>
        </w:numPr>
        <w:spacing w:after="100"/>
      </w:pPr>
      <w:r>
        <w:rPr>
          <w:rFonts w:ascii="Arial" w:cs="Arial" w:eastAsia="Arial" w:hAnsi="Arial"/>
          <w:color w:val="000000"/>
          <w:sz w:val="22"/>
          <w:szCs w:val="22"/>
        </w:rPr>
        <w:t xml:space="preserve">The Malignant Melanoma finding, and the broader Healthy Immigrant Effect observed in Bangladeshi all-cause mortality, serve as important reminders that health inequality is not monolithic. Effective policy requires condition-specific, community-specific analysis rather than broad assumptions about which groups are most disadvantaged.</w:t>
      </w:r>
    </w:p>
    <w:p>
      <w:pPr>
        <w:spacing w:after="80"/>
      </w:pPr>
      <w:r>
        <w:t xml:space="preserve"/>
      </w:r>
    </w:p>
    <w:p>
      <w:pPr>
        <w:spacing w:after="140"/>
        <w:jc w:val="both"/>
      </w:pPr>
      <w:r>
        <w:rPr>
          <w:rFonts w:ascii="Arial" w:cs="Arial" w:eastAsia="Arial" w:hAnsi="Arial"/>
          <w:i/>
          <w:iCs/>
          <w:color w:val="666666"/>
          <w:sz w:val="22"/>
          <w:szCs w:val="22"/>
        </w:rPr>
        <w:t xml:space="preserve">The data examined in this study covers a defined and finite time window. Longitudinal analysis incorporating trends over a longer period, linked to deprivation indices at smaller geographic scales and enriched with primary care access data, would substantially deepen the evidence base for targeted intervention.</w:t>
      </w:r>
    </w:p>
    <w:p>
      <w:pPr>
        <w:spacing w:after="80"/>
      </w:pPr>
      <w:r>
        <w:t xml:space="preserve"/>
      </w:r>
    </w:p>
    <w:p>
      <w:pPr>
        <w:pBdr>
          <w:top w:val="single" w:color="CCCCCC" w:sz="4" w:space="6"/>
        </w:pBdr>
        <w:spacing w:before="400"/>
      </w:pPr>
      <w:r>
        <w:rPr>
          <w:rFonts w:ascii="Arial" w:cs="Arial" w:eastAsia="Arial" w:hAnsi="Arial"/>
          <w:color w:val="999999"/>
          <w:sz w:val="18"/>
          <w:szCs w:val="18"/>
        </w:rPr>
        <w:t xml:space="preserve">Analysis conducted as part of a Google Data Analytics Certificate capstone project.  </w:t>
      </w:r>
      <w:r>
        <w:rPr>
          <w:rFonts w:ascii="Arial" w:cs="Arial" w:eastAsia="Arial" w:hAnsi="Arial"/>
          <w:i/>
          <w:iCs/>
          <w:color w:val="999999"/>
          <w:sz w:val="18"/>
          <w:szCs w:val="18"/>
        </w:rPr>
        <w:t xml:space="preserve">Data: ONS, Crown Copyright. Period: March 2021 – January 2023. Methods: Age-standardised rate ratios, deprivation decile and quintile cross-tabulation, regional aggregation.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2026-05-12T11:47:36.504Z</dcterms:created>
  <dcterms:modified xsi:type="dcterms:W3CDTF">2026-05-12T11:47:36.504Z</dcterms:modified>
</cp:coreProperties>
</file>

<file path=docProps/custom.xml><?xml version="1.0" encoding="utf-8"?>
<Properties xmlns="http://schemas.openxmlformats.org/officeDocument/2006/custom-properties" xmlns:vt="http://schemas.openxmlformats.org/officeDocument/2006/docPropsVTypes"/>
</file>