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FB" w:rsidRDefault="00F633BE" w:rsidP="00F633BE">
      <w:pPr>
        <w:pStyle w:val="Listenabsatz"/>
        <w:numPr>
          <w:ilvl w:val="0"/>
          <w:numId w:val="1"/>
        </w:numPr>
      </w:pPr>
      <w:proofErr w:type="spellStart"/>
      <w:r>
        <w:t>Daedalos</w:t>
      </w:r>
      <w:proofErr w:type="spellEnd"/>
    </w:p>
    <w:p w:rsidR="00C206FB" w:rsidRDefault="00C206FB" w:rsidP="00C206FB">
      <w:pPr>
        <w:pStyle w:val="Listenabsatz"/>
        <w:ind w:left="360"/>
      </w:pPr>
    </w:p>
    <w:p w:rsidR="00B242EC" w:rsidRDefault="00C206FB" w:rsidP="00C206FB">
      <w:pPr>
        <w:pStyle w:val="Listenabsatz"/>
        <w:ind w:left="360"/>
      </w:pPr>
      <w:r>
        <w:rPr>
          <w:noProof/>
          <w:lang w:eastAsia="de-DE"/>
        </w:rPr>
        <w:drawing>
          <wp:inline distT="0" distB="0" distL="0" distR="0">
            <wp:extent cx="5753100" cy="3190875"/>
            <wp:effectExtent l="0" t="0" r="0" b="9525"/>
            <wp:docPr id="1" name="Grafik 1" descr="C:\Users\chang\Desktop\Daedalo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\Desktop\Daedalos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FB" w:rsidRDefault="00C206FB" w:rsidP="00C206FB">
      <w:pPr>
        <w:pStyle w:val="Listenabsatz"/>
        <w:ind w:left="360"/>
      </w:pPr>
      <w:r>
        <w:t xml:space="preserve">Bild: UI von </w:t>
      </w:r>
      <w:proofErr w:type="spellStart"/>
      <w:r>
        <w:t>Daedalos</w:t>
      </w:r>
      <w:proofErr w:type="spellEnd"/>
    </w:p>
    <w:p w:rsidR="00C206FB" w:rsidRDefault="00C206FB" w:rsidP="00C206FB">
      <w:pPr>
        <w:pStyle w:val="Listenabsatz"/>
        <w:ind w:left="360"/>
      </w:pPr>
      <w:r>
        <w:t xml:space="preserve">Quelle: </w:t>
      </w:r>
      <w:proofErr w:type="spellStart"/>
      <w:r>
        <w:t>Da</w:t>
      </w:r>
      <w:r w:rsidR="00ED2363">
        <w:t>edalos</w:t>
      </w:r>
      <w:proofErr w:type="spellEnd"/>
      <w:r w:rsidR="00ED2363">
        <w:t xml:space="preserve"> </w:t>
      </w:r>
      <w:proofErr w:type="spellStart"/>
      <w:r w:rsidR="00ED2363">
        <w:t>system</w:t>
      </w:r>
      <w:proofErr w:type="spellEnd"/>
      <w:r w:rsidR="00ED2363">
        <w:t xml:space="preserve"> </w:t>
      </w:r>
      <w:proofErr w:type="spellStart"/>
      <w:r w:rsidR="00ED2363">
        <w:t>requirements</w:t>
      </w:r>
      <w:proofErr w:type="spellEnd"/>
      <w:r w:rsidR="00ED2363">
        <w:t xml:space="preserve"> </w:t>
      </w:r>
      <w:proofErr w:type="spellStart"/>
      <w:r>
        <w:t>documentation</w:t>
      </w:r>
      <w:proofErr w:type="spellEnd"/>
    </w:p>
    <w:p w:rsidR="008B7057" w:rsidRDefault="008B7057" w:rsidP="00C206FB">
      <w:pPr>
        <w:pStyle w:val="Listenabsatz"/>
        <w:ind w:left="360"/>
      </w:pPr>
    </w:p>
    <w:p w:rsidR="001E5459" w:rsidRDefault="00F633BE" w:rsidP="00C206FB">
      <w:pPr>
        <w:ind w:left="360"/>
      </w:pPr>
      <w:proofErr w:type="spellStart"/>
      <w:r>
        <w:t>Daedalos</w:t>
      </w:r>
      <w:proofErr w:type="spellEnd"/>
      <w:r>
        <w:t xml:space="preserve"> ist </w:t>
      </w:r>
      <w:r w:rsidR="00725C93">
        <w:t>ein</w:t>
      </w:r>
      <w:r w:rsidR="002D0349">
        <w:t>e Client-Server basierte kundenspezifische Anwendung zur Organisation von Testskripten</w:t>
      </w:r>
      <w:r w:rsidR="00C206FB">
        <w:t>. Auf de</w:t>
      </w:r>
      <w:r w:rsidR="00463C1E">
        <w:t>m SATE PC (ein PC mit der Testanlage</w:t>
      </w:r>
      <w:r w:rsidR="00AE0F75">
        <w:t xml:space="preserve"> direkt</w:t>
      </w:r>
      <w:r w:rsidR="00463C1E">
        <w:t xml:space="preserve"> verbunden ist)</w:t>
      </w:r>
      <w:r w:rsidR="00C206FB">
        <w:t xml:space="preserve"> befindet sich </w:t>
      </w:r>
      <w:r w:rsidR="00463C1E">
        <w:t xml:space="preserve">das Tool als </w:t>
      </w:r>
      <w:r w:rsidR="00C206FB">
        <w:t xml:space="preserve">Server und auf dem lokalem VMware befindet sich </w:t>
      </w:r>
      <w:r w:rsidR="00463C1E">
        <w:t>das Tool als C</w:t>
      </w:r>
      <w:r w:rsidR="00C206FB">
        <w:t>lient.</w:t>
      </w:r>
      <w:r w:rsidR="00463C1E">
        <w:t xml:space="preserve"> </w:t>
      </w:r>
      <w:r w:rsidR="00E7786C">
        <w:t>D</w:t>
      </w:r>
      <w:r w:rsidR="008B7057">
        <w:t xml:space="preserve">urch </w:t>
      </w:r>
      <w:proofErr w:type="spellStart"/>
      <w:r w:rsidR="008B7057">
        <w:t>Deadalos</w:t>
      </w:r>
      <w:proofErr w:type="spellEnd"/>
      <w:r w:rsidR="008B7057">
        <w:t>-Client</w:t>
      </w:r>
      <w:r w:rsidR="00E7786C">
        <w:t xml:space="preserve"> werden</w:t>
      </w:r>
      <w:r w:rsidR="00463C1E">
        <w:t xml:space="preserve"> </w:t>
      </w:r>
      <w:r w:rsidR="008B7057">
        <w:t>ein</w:t>
      </w:r>
      <w:r w:rsidR="00E7786C">
        <w:t>e oder mehrere</w:t>
      </w:r>
      <w:r w:rsidR="008B7057">
        <w:t xml:space="preserve"> verfügbar</w:t>
      </w:r>
      <w:r w:rsidR="00E7786C">
        <w:t>e</w:t>
      </w:r>
      <w:r w:rsidR="008B7057">
        <w:t xml:space="preserve"> Test</w:t>
      </w:r>
      <w:r w:rsidR="00E7786C">
        <w:t>s</w:t>
      </w:r>
      <w:r w:rsidR="008B7057">
        <w:t xml:space="preserve"> zum SATE PC </w:t>
      </w:r>
      <w:r w:rsidR="00E7786C">
        <w:t>ge</w:t>
      </w:r>
      <w:r w:rsidR="008B7057">
        <w:t xml:space="preserve">sendet, werden die Inhalten des Testskripts zu </w:t>
      </w:r>
      <w:proofErr w:type="spellStart"/>
      <w:r w:rsidR="008B7057">
        <w:t>Deadalos</w:t>
      </w:r>
      <w:proofErr w:type="spellEnd"/>
      <w:r w:rsidR="008B7057">
        <w:t xml:space="preserve">-Server kopiert. Dann </w:t>
      </w:r>
      <w:r w:rsidR="008B7650">
        <w:t xml:space="preserve">lässt </w:t>
      </w:r>
      <w:proofErr w:type="spellStart"/>
      <w:r w:rsidR="008B7650">
        <w:t>Deadalos</w:t>
      </w:r>
      <w:proofErr w:type="spellEnd"/>
      <w:r w:rsidR="008B7650">
        <w:t xml:space="preserve">-Server den kopierten Test auf der Testanlage laufen. </w:t>
      </w:r>
      <w:r w:rsidR="00AE0F75">
        <w:t xml:space="preserve">Während des Testlaufens </w:t>
      </w:r>
      <w:r w:rsidR="00A164FD">
        <w:t xml:space="preserve">informiert das Tool </w:t>
      </w:r>
      <w:r w:rsidR="00E2577B">
        <w:t xml:space="preserve">den </w:t>
      </w:r>
      <w:r w:rsidR="00A164FD">
        <w:t>Job</w:t>
      </w:r>
      <w:r w:rsidR="00E2577B">
        <w:t xml:space="preserve"> N</w:t>
      </w:r>
      <w:r w:rsidR="00A164FD">
        <w:t xml:space="preserve">ame, </w:t>
      </w:r>
      <w:r w:rsidR="00E2577B">
        <w:t xml:space="preserve">den </w:t>
      </w:r>
      <w:r w:rsidR="00A164FD">
        <w:t xml:space="preserve">Username, </w:t>
      </w:r>
      <w:r w:rsidR="00E2577B">
        <w:t xml:space="preserve">die </w:t>
      </w:r>
      <w:proofErr w:type="spellStart"/>
      <w:r w:rsidR="00A164FD">
        <w:t>Remaining</w:t>
      </w:r>
      <w:proofErr w:type="spellEnd"/>
      <w:r w:rsidR="00A164FD">
        <w:t xml:space="preserve"> Duration und </w:t>
      </w:r>
      <w:r w:rsidR="00E2577B">
        <w:t xml:space="preserve">die </w:t>
      </w:r>
      <w:r w:rsidR="00A164FD">
        <w:t>aktuelle Test Status</w:t>
      </w:r>
      <w:r w:rsidR="00E2577B">
        <w:t>. Nach der Durchführung des Tests werden die Resultaten von Server zu Client zurückgegeben. Dann</w:t>
      </w:r>
      <w:r w:rsidR="001E5459">
        <w:t xml:space="preserve"> kommen die Ergebnisse auf dem </w:t>
      </w:r>
      <w:proofErr w:type="spellStart"/>
      <w:r w:rsidR="001E5459">
        <w:t>Current</w:t>
      </w:r>
      <w:proofErr w:type="spellEnd"/>
      <w:r w:rsidR="001E5459">
        <w:t xml:space="preserve"> Job View mit den übersichtlichen Farben (Rot: </w:t>
      </w:r>
      <w:proofErr w:type="spellStart"/>
      <w:r w:rsidR="001E5459">
        <w:t>Failed</w:t>
      </w:r>
      <w:proofErr w:type="spellEnd"/>
      <w:r w:rsidR="001E5459">
        <w:t xml:space="preserve">, Grün: </w:t>
      </w:r>
      <w:proofErr w:type="spellStart"/>
      <w:r w:rsidR="001E5459">
        <w:t>Passed</w:t>
      </w:r>
      <w:proofErr w:type="spellEnd"/>
      <w:r w:rsidR="001E5459">
        <w:t xml:space="preserve">, Gelb: </w:t>
      </w:r>
      <w:proofErr w:type="spellStart"/>
      <w:r w:rsidR="001E5459">
        <w:t>Unkown</w:t>
      </w:r>
      <w:proofErr w:type="spellEnd"/>
      <w:r w:rsidR="001E5459">
        <w:t xml:space="preserve">) </w:t>
      </w:r>
    </w:p>
    <w:p w:rsidR="00ED2363" w:rsidRDefault="00C4602B" w:rsidP="00C206FB">
      <w:pPr>
        <w:ind w:left="360"/>
      </w:pPr>
      <w:r>
        <w:t>Zwar ü</w:t>
      </w:r>
      <w:r w:rsidR="00E2577B">
        <w:t>ber mehrere VMware ist es möglich gleichzeitig Tes</w:t>
      </w:r>
      <w:r w:rsidR="00B04521">
        <w:t>t</w:t>
      </w:r>
      <w:r w:rsidR="00E2577B">
        <w:t>skripts an die Testanlage zu übermitteln</w:t>
      </w:r>
      <w:r>
        <w:t xml:space="preserve">, aber auf der Testanlage wird der Test einzeln ausgeführt. </w:t>
      </w:r>
      <w:proofErr w:type="spellStart"/>
      <w:r>
        <w:t>Daedalos</w:t>
      </w:r>
      <w:proofErr w:type="spellEnd"/>
      <w:r>
        <w:t xml:space="preserve"> bietet die Funktion zur Zeiterstellung an, dadurch ist es möglich</w:t>
      </w:r>
      <w:r w:rsidR="003B0BC3">
        <w:t>,</w:t>
      </w:r>
      <w:r>
        <w:t xml:space="preserve"> die langlaufende Test</w:t>
      </w:r>
      <w:r w:rsidR="003B0BC3">
        <w:t xml:space="preserve">s </w:t>
      </w:r>
      <w:r>
        <w:t xml:space="preserve">vor oder nach der Arbeitszeit </w:t>
      </w:r>
      <w:r w:rsidR="003B0BC3">
        <w:t>laufen zu lassen, um die lange Wartezeit zu vermeiden.</w:t>
      </w:r>
    </w:p>
    <w:p w:rsidR="003B0BC3" w:rsidRDefault="003B0BC3" w:rsidP="00C206FB">
      <w:pPr>
        <w:ind w:left="360"/>
      </w:pPr>
    </w:p>
    <w:p w:rsidR="00ED2363" w:rsidRDefault="00ED2363" w:rsidP="00C206FB">
      <w:pPr>
        <w:ind w:left="360"/>
      </w:pPr>
    </w:p>
    <w:p w:rsidR="00ED2363" w:rsidRDefault="00ED2363" w:rsidP="00C206FB">
      <w:pPr>
        <w:ind w:left="360"/>
      </w:pPr>
    </w:p>
    <w:p w:rsidR="00ED2363" w:rsidRDefault="00ED2363" w:rsidP="00C206FB">
      <w:pPr>
        <w:ind w:left="360"/>
      </w:pPr>
    </w:p>
    <w:p w:rsidR="00ED2363" w:rsidRDefault="00ED2363" w:rsidP="00C206FB">
      <w:pPr>
        <w:ind w:left="360"/>
      </w:pPr>
    </w:p>
    <w:p w:rsidR="00ED2363" w:rsidRDefault="00ED2363" w:rsidP="00C206FB">
      <w:pPr>
        <w:ind w:left="360"/>
      </w:pPr>
    </w:p>
    <w:p w:rsidR="00C206FB" w:rsidRDefault="00C206FB" w:rsidP="00235EB1"/>
    <w:p w:rsidR="00ED2363" w:rsidRDefault="00ED2363" w:rsidP="00162C5E">
      <w:pPr>
        <w:pStyle w:val="Listenabsatz"/>
        <w:numPr>
          <w:ilvl w:val="0"/>
          <w:numId w:val="1"/>
        </w:numPr>
      </w:pPr>
      <w:r>
        <w:lastRenderedPageBreak/>
        <w:t>A429</w:t>
      </w:r>
    </w:p>
    <w:tbl>
      <w:tblPr>
        <w:tblpPr w:leftFromText="141" w:rightFromText="141" w:vertAnchor="text" w:tblpY="281"/>
        <w:tblW w:w="92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1335"/>
        <w:gridCol w:w="3468"/>
        <w:gridCol w:w="1292"/>
        <w:gridCol w:w="2025"/>
      </w:tblGrid>
      <w:tr w:rsidR="00887F96" w:rsidRPr="0018455E" w:rsidTr="00ED2363">
        <w:trPr>
          <w:trHeight w:val="72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vAlign w:val="center"/>
            <w:hideMark/>
          </w:tcPr>
          <w:p w:rsidR="00887F96" w:rsidRPr="0018455E" w:rsidRDefault="00887F96" w:rsidP="00887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32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vAlign w:val="center"/>
            <w:hideMark/>
          </w:tcPr>
          <w:p w:rsidR="00887F96" w:rsidRPr="0018455E" w:rsidRDefault="00887F96" w:rsidP="00887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31 – 30</w:t>
            </w:r>
          </w:p>
        </w:tc>
        <w:tc>
          <w:tcPr>
            <w:tcW w:w="3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vAlign w:val="center"/>
            <w:hideMark/>
          </w:tcPr>
          <w:p w:rsidR="00887F96" w:rsidRPr="0018455E" w:rsidRDefault="00887F96" w:rsidP="00887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29 – 11</w:t>
            </w: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vAlign w:val="center"/>
            <w:hideMark/>
          </w:tcPr>
          <w:p w:rsidR="00887F96" w:rsidRPr="0018455E" w:rsidRDefault="00887F96" w:rsidP="00887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10 – 9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vAlign w:val="center"/>
            <w:hideMark/>
          </w:tcPr>
          <w:p w:rsidR="00887F96" w:rsidRPr="0018455E" w:rsidRDefault="00887F96" w:rsidP="00887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8 – 1</w:t>
            </w:r>
          </w:p>
        </w:tc>
      </w:tr>
      <w:tr w:rsidR="00887F96" w:rsidRPr="0018455E" w:rsidTr="00ED2363">
        <w:trPr>
          <w:trHeight w:val="619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887F96" w:rsidRPr="0018455E" w:rsidRDefault="00887F96" w:rsidP="00887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8455E">
              <w:rPr>
                <w:rFonts w:ascii="Calibri" w:eastAsia="Times New Roman" w:hAnsi="Calibri" w:cs="Times New Roman"/>
                <w:color w:val="000000"/>
                <w:lang w:eastAsia="de-DE"/>
              </w:rPr>
              <w:t>Parity</w:t>
            </w:r>
            <w:proofErr w:type="spellEnd"/>
            <w:r w:rsidRPr="0018455E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Bit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887F96" w:rsidRPr="0018455E" w:rsidRDefault="00887F96" w:rsidP="00887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8455E">
              <w:rPr>
                <w:rFonts w:ascii="Calibri" w:eastAsia="Times New Roman" w:hAnsi="Calibri" w:cs="Times New Roman"/>
                <w:color w:val="000000"/>
                <w:lang w:eastAsia="de-DE"/>
              </w:rPr>
              <w:t>SSM</w:t>
            </w:r>
          </w:p>
        </w:tc>
        <w:tc>
          <w:tcPr>
            <w:tcW w:w="3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887F96" w:rsidRPr="0018455E" w:rsidRDefault="00887F96" w:rsidP="00887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8455E">
              <w:rPr>
                <w:rFonts w:ascii="Calibri" w:eastAsia="Times New Roman" w:hAnsi="Calibri" w:cs="Times New Roman"/>
                <w:color w:val="000000"/>
                <w:lang w:eastAsia="de-DE"/>
              </w:rPr>
              <w:t>Payload</w:t>
            </w: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887F96" w:rsidRPr="0018455E" w:rsidRDefault="00887F96" w:rsidP="00887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8455E">
              <w:rPr>
                <w:rFonts w:ascii="Calibri" w:eastAsia="Times New Roman" w:hAnsi="Calibri" w:cs="Times New Roman"/>
                <w:color w:val="000000"/>
                <w:lang w:eastAsia="de-DE"/>
              </w:rPr>
              <w:t>SDI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887F96" w:rsidRPr="0018455E" w:rsidRDefault="00887F96" w:rsidP="00887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8455E">
              <w:rPr>
                <w:rFonts w:ascii="Calibri" w:eastAsia="Times New Roman" w:hAnsi="Calibri" w:cs="Times New Roman"/>
                <w:color w:val="000000"/>
                <w:lang w:eastAsia="de-DE"/>
              </w:rPr>
              <w:t>Label</w:t>
            </w:r>
          </w:p>
        </w:tc>
      </w:tr>
    </w:tbl>
    <w:p w:rsidR="0018455E" w:rsidRDefault="0018455E" w:rsidP="0018455E"/>
    <w:p w:rsidR="00887F96" w:rsidRDefault="00887F96" w:rsidP="0018455E"/>
    <w:p w:rsidR="00887F96" w:rsidRDefault="00887F96" w:rsidP="0018455E">
      <w:r>
        <w:t>DISCRETE / BINARY</w:t>
      </w:r>
    </w:p>
    <w:p w:rsidR="00887F96" w:rsidRDefault="00887F96" w:rsidP="0018455E">
      <w:r>
        <w:t>SSM_NO: Normal Operation</w:t>
      </w:r>
    </w:p>
    <w:p w:rsidR="00887F96" w:rsidRDefault="00887F96" w:rsidP="0018455E">
      <w:r>
        <w:t xml:space="preserve">SSM_NCD: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Data</w:t>
      </w:r>
    </w:p>
    <w:p w:rsidR="00887F96" w:rsidRDefault="00887F96" w:rsidP="0018455E">
      <w:r>
        <w:t xml:space="preserve">SSM_FT: </w:t>
      </w:r>
      <w:proofErr w:type="spellStart"/>
      <w:r>
        <w:t>Functional</w:t>
      </w:r>
      <w:proofErr w:type="spellEnd"/>
      <w:r>
        <w:t xml:space="preserve"> Test</w:t>
      </w:r>
    </w:p>
    <w:p w:rsidR="00887F96" w:rsidRDefault="00887F96" w:rsidP="0018455E">
      <w:r>
        <w:t xml:space="preserve">SSM_FW: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Warning</w:t>
      </w:r>
      <w:bookmarkStart w:id="0" w:name="_GoBack"/>
      <w:bookmarkEnd w:id="0"/>
      <w:proofErr w:type="spellEnd"/>
    </w:p>
    <w:p w:rsidR="00887F96" w:rsidRDefault="00887F96" w:rsidP="0018455E"/>
    <w:p w:rsidR="00887F96" w:rsidRDefault="00887F96" w:rsidP="0018455E">
      <w:r>
        <w:t>BCD</w:t>
      </w:r>
    </w:p>
    <w:p w:rsidR="00887F96" w:rsidRDefault="00887F96" w:rsidP="0018455E">
      <w:r>
        <w:t>SSM_BCD_PLUS</w:t>
      </w:r>
    </w:p>
    <w:p w:rsidR="00887F96" w:rsidRDefault="00887F96" w:rsidP="0018455E">
      <w:r>
        <w:t>SSM_BCD_NCD</w:t>
      </w:r>
    </w:p>
    <w:p w:rsidR="00887F96" w:rsidRDefault="00887F96" w:rsidP="0018455E">
      <w:r>
        <w:t>SSM_BCD_FT</w:t>
      </w:r>
    </w:p>
    <w:p w:rsidR="00887F96" w:rsidRDefault="00887F96" w:rsidP="0018455E">
      <w:r>
        <w:t>SSM_BCD_MINUS</w:t>
      </w:r>
    </w:p>
    <w:p w:rsidR="00ED2363" w:rsidRDefault="00ED2363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235EB1"/>
    <w:p w:rsidR="00235EB1" w:rsidRDefault="00235EB1" w:rsidP="00235EB1">
      <w:pPr>
        <w:pStyle w:val="Listenabsatz"/>
        <w:numPr>
          <w:ilvl w:val="0"/>
          <w:numId w:val="1"/>
        </w:numPr>
      </w:pPr>
      <w:proofErr w:type="spellStart"/>
      <w:r>
        <w:lastRenderedPageBreak/>
        <w:t>CoToRDC</w:t>
      </w:r>
      <w:proofErr w:type="spellEnd"/>
    </w:p>
    <w:p w:rsidR="00235EB1" w:rsidRDefault="00235EB1" w:rsidP="00235EB1">
      <w:pPr>
        <w:pStyle w:val="Listenabsatz"/>
        <w:ind w:left="360"/>
      </w:pPr>
      <w:r>
        <w:t xml:space="preserve">The CRDC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avionics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IMA ‚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‘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avionics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avionics</w:t>
      </w:r>
      <w:proofErr w:type="spellEnd"/>
      <w:r>
        <w:t xml:space="preserve"> </w:t>
      </w:r>
      <w:proofErr w:type="spellStart"/>
      <w:r>
        <w:t>equipent</w:t>
      </w:r>
      <w:proofErr w:type="spellEnd"/>
      <w:r>
        <w:t>.</w:t>
      </w:r>
    </w:p>
    <w:p w:rsidR="00BD6E68" w:rsidRDefault="00BD6E68" w:rsidP="00235EB1">
      <w:pPr>
        <w:pStyle w:val="Listenabsatz"/>
        <w:ind w:left="360"/>
      </w:pPr>
    </w:p>
    <w:p w:rsidR="00BD6E68" w:rsidRDefault="00BD6E68" w:rsidP="00235EB1">
      <w:pPr>
        <w:pStyle w:val="Listenabsatz"/>
        <w:ind w:left="360"/>
      </w:pPr>
    </w:p>
    <w:p w:rsidR="00235EB1" w:rsidRDefault="00235EB1" w:rsidP="00235EB1">
      <w:pPr>
        <w:pStyle w:val="Listenabsatz"/>
        <w:ind w:left="360"/>
      </w:pPr>
      <w:proofErr w:type="spellStart"/>
      <w:r>
        <w:t>Co</w:t>
      </w:r>
      <w:r w:rsidR="003B0BC3">
        <w:t>T</w:t>
      </w:r>
      <w:r>
        <w:t>oRdc</w:t>
      </w:r>
      <w:proofErr w:type="spellEnd"/>
      <w:r w:rsidR="003B0BC3">
        <w:t xml:space="preserve"> </w:t>
      </w:r>
      <w:proofErr w:type="spellStart"/>
      <w:r w:rsidR="003B0BC3">
        <w:t>i</w:t>
      </w:r>
      <w:r>
        <w:t>s</w:t>
      </w:r>
      <w:proofErr w:type="spellEnd"/>
      <w:r>
        <w:t xml:space="preserve"> ein </w:t>
      </w:r>
      <w:r w:rsidR="003B0BC3">
        <w:t>K</w:t>
      </w:r>
      <w:r>
        <w:t>o</w:t>
      </w:r>
      <w:r w:rsidR="003B0BC3">
        <w:t>n</w:t>
      </w:r>
      <w:r>
        <w:t>figuration</w:t>
      </w:r>
      <w:r w:rsidR="003B0BC3">
        <w:t>st</w:t>
      </w:r>
      <w:r>
        <w:t>ool (</w:t>
      </w:r>
      <w:proofErr w:type="spellStart"/>
      <w:r>
        <w:t>Configuration</w:t>
      </w:r>
      <w:proofErr w:type="spellEnd"/>
      <w:r>
        <w:t xml:space="preserve"> Tool </w:t>
      </w:r>
      <w:proofErr w:type="spellStart"/>
      <w:r>
        <w:t>for</w:t>
      </w:r>
      <w:proofErr w:type="spellEnd"/>
      <w:r>
        <w:t xml:space="preserve"> Remote Date </w:t>
      </w:r>
      <w:proofErr w:type="spellStart"/>
      <w:r>
        <w:t>Concentrator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CRDC</w:t>
      </w:r>
    </w:p>
    <w:p w:rsidR="00235EB1" w:rsidRDefault="00235EB1" w:rsidP="00235EB1">
      <w:pPr>
        <w:pStyle w:val="Listenabsatz"/>
        <w:ind w:left="360"/>
      </w:pPr>
    </w:p>
    <w:p w:rsidR="00235EB1" w:rsidRDefault="00235EB1" w:rsidP="00235EB1">
      <w:pPr>
        <w:pStyle w:val="Listenabsatz"/>
        <w:ind w:left="360"/>
      </w:pPr>
      <w:r>
        <w:t xml:space="preserve">AC-ICD: </w:t>
      </w:r>
      <w:proofErr w:type="spellStart"/>
      <w:r>
        <w:t>Is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Interface Control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at </w:t>
      </w:r>
      <w:proofErr w:type="spellStart"/>
      <w:r>
        <w:t>Aircraft</w:t>
      </w:r>
      <w:proofErr w:type="spellEnd"/>
      <w:r>
        <w:t xml:space="preserve">(A/C)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Collection </w:t>
      </w:r>
      <w:proofErr w:type="spellStart"/>
      <w:r>
        <w:t>of</w:t>
      </w:r>
      <w:proofErr w:type="spellEnd"/>
      <w:r>
        <w:t xml:space="preserve"> I/O </w:t>
      </w:r>
      <w:proofErr w:type="spellStart"/>
      <w:r>
        <w:t>definitions</w:t>
      </w:r>
      <w:proofErr w:type="spellEnd"/>
      <w:r>
        <w:t xml:space="preserve"> per </w:t>
      </w:r>
      <w:proofErr w:type="spellStart"/>
      <w:r>
        <w:t>system</w:t>
      </w:r>
      <w:proofErr w:type="spellEnd"/>
      <w:r>
        <w:t>(CRDC)</w:t>
      </w:r>
    </w:p>
    <w:p w:rsidR="00235EB1" w:rsidRDefault="00235EB1" w:rsidP="00235EB1">
      <w:pPr>
        <w:pStyle w:val="Listenabsatz"/>
        <w:ind w:left="360"/>
      </w:pPr>
    </w:p>
    <w:p w:rsidR="00235EB1" w:rsidRDefault="00235EB1" w:rsidP="00235EB1">
      <w:pPr>
        <w:pStyle w:val="Listenabsatz"/>
        <w:ind w:left="360"/>
      </w:pPr>
      <w:r>
        <w:t xml:space="preserve">Routing: Transmission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output</w:t>
      </w:r>
      <w:proofErr w:type="spellEnd"/>
      <w:r>
        <w:t xml:space="preserve"> oft he CRDC.</w:t>
      </w:r>
    </w:p>
    <w:p w:rsidR="00235EB1" w:rsidRDefault="00235EB1" w:rsidP="00235EB1">
      <w:pPr>
        <w:pStyle w:val="Listenabsatz"/>
        <w:ind w:left="360"/>
      </w:pPr>
    </w:p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18455E"/>
    <w:p w:rsidR="00235EB1" w:rsidRDefault="00235EB1" w:rsidP="00235EB1">
      <w:pPr>
        <w:pStyle w:val="Listenabsatz"/>
        <w:numPr>
          <w:ilvl w:val="0"/>
          <w:numId w:val="1"/>
        </w:numPr>
      </w:pPr>
      <w:r>
        <w:t>ADS2 Projekt Manager</w:t>
      </w:r>
    </w:p>
    <w:p w:rsidR="00ED2363" w:rsidRDefault="00ED2363" w:rsidP="00ED2363">
      <w:pPr>
        <w:ind w:left="360"/>
      </w:pPr>
    </w:p>
    <w:p w:rsidR="00ED2363" w:rsidRDefault="00ED2363" w:rsidP="00ED2363">
      <w:pPr>
        <w:pStyle w:val="Listenabsatz"/>
        <w:numPr>
          <w:ilvl w:val="0"/>
          <w:numId w:val="1"/>
        </w:numPr>
      </w:pPr>
      <w:r>
        <w:t xml:space="preserve">Python </w:t>
      </w:r>
    </w:p>
    <w:p w:rsidR="001E5459" w:rsidRDefault="00ED2363" w:rsidP="00235EB1">
      <w:pPr>
        <w:pStyle w:val="Listenabsatz"/>
        <w:numPr>
          <w:ilvl w:val="0"/>
          <w:numId w:val="1"/>
        </w:numPr>
      </w:pPr>
      <w:proofErr w:type="spellStart"/>
      <w:r>
        <w:t>Pycharm</w:t>
      </w:r>
      <w:proofErr w:type="spellEnd"/>
    </w:p>
    <w:p w:rsidR="00ED2363" w:rsidRDefault="00ED2363" w:rsidP="00ED2363">
      <w:pPr>
        <w:pStyle w:val="Listenabsatz"/>
        <w:numPr>
          <w:ilvl w:val="0"/>
          <w:numId w:val="1"/>
        </w:numPr>
      </w:pPr>
      <w:r>
        <w:t>CAN</w:t>
      </w:r>
    </w:p>
    <w:p w:rsidR="00ED2363" w:rsidRDefault="00ED2363" w:rsidP="00ED2363">
      <w:pPr>
        <w:pStyle w:val="Listenabsatz"/>
        <w:numPr>
          <w:ilvl w:val="0"/>
          <w:numId w:val="1"/>
        </w:numPr>
      </w:pPr>
      <w:r>
        <w:t>A664</w:t>
      </w:r>
    </w:p>
    <w:p w:rsidR="00ED2363" w:rsidRDefault="00ED2363" w:rsidP="00ED2363">
      <w:pPr>
        <w:pStyle w:val="Listenabsatz"/>
        <w:numPr>
          <w:ilvl w:val="0"/>
          <w:numId w:val="1"/>
        </w:numPr>
      </w:pPr>
      <w:r>
        <w:t>DSO/DSI</w:t>
      </w:r>
    </w:p>
    <w:p w:rsidR="00ED2363" w:rsidRDefault="00ED2363" w:rsidP="00ED2363">
      <w:pPr>
        <w:pStyle w:val="Listenabsatz"/>
        <w:numPr>
          <w:ilvl w:val="0"/>
          <w:numId w:val="1"/>
        </w:numPr>
      </w:pPr>
      <w:r>
        <w:t>AO/AI</w:t>
      </w:r>
    </w:p>
    <w:p w:rsidR="00ED2363" w:rsidRDefault="00ED2363" w:rsidP="00ED2363">
      <w:pPr>
        <w:pStyle w:val="Listenabsatz"/>
        <w:numPr>
          <w:ilvl w:val="0"/>
          <w:numId w:val="1"/>
        </w:numPr>
      </w:pPr>
      <w:r>
        <w:t>GW</w:t>
      </w:r>
      <w:r w:rsidRPr="00ED2363">
        <w:t xml:space="preserve"> </w:t>
      </w:r>
    </w:p>
    <w:p w:rsidR="00ED2363" w:rsidRDefault="00ED2363" w:rsidP="0018455E"/>
    <w:sectPr w:rsidR="00ED2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B77C1"/>
    <w:multiLevelType w:val="hybridMultilevel"/>
    <w:tmpl w:val="C264FCD8"/>
    <w:lvl w:ilvl="0" w:tplc="CD9C679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BE"/>
    <w:rsid w:val="000627D2"/>
    <w:rsid w:val="0018455E"/>
    <w:rsid w:val="001E5459"/>
    <w:rsid w:val="00235EB1"/>
    <w:rsid w:val="002D0349"/>
    <w:rsid w:val="003B0BC3"/>
    <w:rsid w:val="00415428"/>
    <w:rsid w:val="00463C1E"/>
    <w:rsid w:val="005D0E41"/>
    <w:rsid w:val="00725C93"/>
    <w:rsid w:val="00887F96"/>
    <w:rsid w:val="008B7057"/>
    <w:rsid w:val="008B7650"/>
    <w:rsid w:val="00A164FD"/>
    <w:rsid w:val="00AA0083"/>
    <w:rsid w:val="00AA17E0"/>
    <w:rsid w:val="00AE0F75"/>
    <w:rsid w:val="00B04521"/>
    <w:rsid w:val="00B242EC"/>
    <w:rsid w:val="00BD6E68"/>
    <w:rsid w:val="00C206FB"/>
    <w:rsid w:val="00C4602B"/>
    <w:rsid w:val="00E2577B"/>
    <w:rsid w:val="00E7786C"/>
    <w:rsid w:val="00ED2363"/>
    <w:rsid w:val="00F6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3D391"/>
  <w15:chartTrackingRefBased/>
  <w15:docId w15:val="{DC21D140-F45A-4AC7-A321-C347DBFD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5</cp:revision>
  <dcterms:created xsi:type="dcterms:W3CDTF">2019-02-21T12:46:00Z</dcterms:created>
  <dcterms:modified xsi:type="dcterms:W3CDTF">2019-02-22T12:32:00Z</dcterms:modified>
</cp:coreProperties>
</file>