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X3e29e1b5497b97de6e86c95d410ba3a865826ee"/>
    <w:p>
      <w:pPr>
        <w:pStyle w:val="Heading1"/>
      </w:pPr>
      <w:r>
        <w:t xml:space="preserve">Detailed Building Cost Analysis for Standard Apartment Elements</w:t>
      </w:r>
    </w:p>
    <w:bookmarkStart w:id="20" w:name="overview"/>
    <w:p>
      <w:pPr>
        <w:pStyle w:val="Heading2"/>
      </w:pPr>
      <w:r>
        <w:t xml:space="preserve">Overview</w:t>
      </w:r>
    </w:p>
    <w:p>
      <w:pPr>
        <w:pStyle w:val="FirstParagraph"/>
      </w:pPr>
      <w:r>
        <w:t xml:space="preserve">This document provides a comprehensive and detailed cost analysis for the standard elements proposed for new apartment buildings developed by Awesome Inc. The purpose of this analysis is to offer a clear, data-driven understanding of the financial implications associated with the construction of these apartments, while balancing key factors such as quality, sustainability, and cost-effectiveness. The analysis addresses both the design aspirations of the architectural team and the budget constraints faced by the project management and stakeholders.</w:t>
      </w:r>
    </w:p>
    <w:p>
      <w:pPr>
        <w:pStyle w:val="BodyText"/>
      </w:pPr>
      <w:r>
        <w:t xml:space="preserve">The scope of this document includes a breakdown of costs related to materials, labor, overhead, and miscellaneous expenses. It also highlights sustainability considerations, identifies potential cost-saving opportunities, and outlines compliance and quality assurance measures to ensure the project meets all regulatory and quality standards. This document is intended to serve as a foundational reference for decision-making throughout the project lifecycle, from initial design to final construction.</w:t>
      </w:r>
    </w:p>
    <w:bookmarkEnd w:id="20"/>
    <w:bookmarkStart w:id="28" w:name="cost-breakdown"/>
    <w:p>
      <w:pPr>
        <w:pStyle w:val="Heading2"/>
      </w:pPr>
      <w:r>
        <w:t xml:space="preserve">Cost Breakdown</w:t>
      </w:r>
    </w:p>
    <w:p>
      <w:pPr>
        <w:pStyle w:val="FirstParagraph"/>
      </w:pPr>
      <w:r>
        <w:t xml:space="preserve">The total cost of constructing the standard apartment elements is divided into three primary categories: materials, labor, and overhead/miscellaneous expenses. Each category is analyzed in detail below, with estimated percentages of the total project cost and explanations of the factors influencing these costs.</w:t>
      </w:r>
    </w:p>
    <w:bookmarkStart w:id="23" w:name="materials-estimated-55-of-total-costs"/>
    <w:p>
      <w:pPr>
        <w:pStyle w:val="Heading3"/>
      </w:pPr>
      <w:r>
        <w:t xml:space="preserve">1. Materials (Estimated 55% of Total Costs)</w:t>
      </w:r>
    </w:p>
    <w:p>
      <w:pPr>
        <w:pStyle w:val="FirstParagraph"/>
      </w:pPr>
      <w:r>
        <w:t xml:space="preserve">Materials constitute the largest portion of the construction budget, accounting for approximately 55% of total costs. The focus is on sourcing high-quality, sustainable materials that ensure durability, aesthetic appeal, and environmental responsibility. The selection of materials is critical to the long-term performance and maintenance costs of the building.</w:t>
      </w:r>
    </w:p>
    <w:bookmarkStart w:id="21" w:name="X6dc958e51fb3174099efa469513f23b9be4663e"/>
    <w:p>
      <w:pPr>
        <w:pStyle w:val="Heading4"/>
      </w:pPr>
      <w:r>
        <w:t xml:space="preserve">Key Material Categories and Estimated Costs</w:t>
      </w:r>
    </w:p>
    <w:p>
      <w:pPr>
        <w:pStyle w:val="FirstParagraph"/>
      </w:pPr>
      <w:r>
        <w:t xml:space="preserve">| Material Category | Description | Estimated % of Material Costs | Notes |</w:t>
      </w:r>
      <w:r>
        <w:t xml:space="preserve"> </w:t>
      </w:r>
      <w:r>
        <w:t xml:space="preserve">|---------------------------|------------------------------------------------|------------------------------|--------------------------------------------|</w:t>
      </w:r>
      <w:r>
        <w:t xml:space="preserve"> </w:t>
      </w:r>
      <w:r>
        <w:t xml:space="preserve">| Structural Components | Concrete, steel reinforcements, load-bearing walls | 40% | High-strength concrete and recycled steel preferred |</w:t>
      </w:r>
      <w:r>
        <w:t xml:space="preserve"> </w:t>
      </w:r>
      <w:r>
        <w:t xml:space="preserve">| Exterior Finishes | Brick, siding, insulation, waterproof membranes | 20% | Emphasis on weather resistance and insulation value |</w:t>
      </w:r>
      <w:r>
        <w:t xml:space="preserve"> </w:t>
      </w:r>
      <w:r>
        <w:t xml:space="preserve">| Interior Finishes | Drywall, flooring, paint, cabinetry | 25% | Durable, low-VOC materials for indoor air quality |</w:t>
      </w:r>
      <w:r>
        <w:t xml:space="preserve"> </w:t>
      </w:r>
      <w:r>
        <w:t xml:space="preserve">| Mechanical &amp; Electrical | HVAC systems, wiring, plumbing fixtures | 10% | Energy-efficient systems prioritized |</w:t>
      </w:r>
      <w:r>
        <w:t xml:space="preserve"> </w:t>
      </w:r>
      <w:r>
        <w:t xml:space="preserve">| Fixtures &amp; Fittings | Doors, windows, lighting fixtures | 5% | Double-glazed windows for thermal efficiency |</w:t>
      </w:r>
    </w:p>
    <w:bookmarkEnd w:id="21"/>
    <w:bookmarkStart w:id="22" w:name="material-procurement-strategy"/>
    <w:p>
      <w:pPr>
        <w:pStyle w:val="Heading4"/>
      </w:pPr>
      <w:r>
        <w:t xml:space="preserve">Material Procurement Strategy</w:t>
      </w:r>
    </w:p>
    <w:p>
      <w:pPr>
        <w:pStyle w:val="Compact"/>
        <w:numPr>
          <w:ilvl w:val="0"/>
          <w:numId w:val="1001"/>
        </w:numPr>
      </w:pPr>
      <w:r>
        <w:rPr>
          <w:b/>
          <w:bCs/>
        </w:rPr>
        <w:t xml:space="preserve">Sustainability:</w:t>
      </w:r>
      <w:r>
        <w:t xml:space="preserve"> </w:t>
      </w:r>
      <w:r>
        <w:t xml:space="preserve">Preference for recycled and locally sourced materials to reduce carbon footprint and transportation costs.</w:t>
      </w:r>
    </w:p>
    <w:p>
      <w:pPr>
        <w:pStyle w:val="Compact"/>
        <w:numPr>
          <w:ilvl w:val="0"/>
          <w:numId w:val="1001"/>
        </w:numPr>
      </w:pPr>
      <w:r>
        <w:rPr>
          <w:b/>
          <w:bCs/>
        </w:rPr>
        <w:t xml:space="preserve">Quality Assurance:</w:t>
      </w:r>
      <w:r>
        <w:t xml:space="preserve"> </w:t>
      </w:r>
      <w:r>
        <w:t xml:space="preserve">Materials must meet or exceed industry standards such as ASTM and ISO certifications.</w:t>
      </w:r>
    </w:p>
    <w:p>
      <w:pPr>
        <w:pStyle w:val="Compact"/>
        <w:numPr>
          <w:ilvl w:val="0"/>
          <w:numId w:val="1001"/>
        </w:numPr>
      </w:pPr>
      <w:r>
        <w:rPr>
          <w:b/>
          <w:bCs/>
        </w:rPr>
        <w:t xml:space="preserve">Supplier Relationships:</w:t>
      </w:r>
      <w:r>
        <w:t xml:space="preserve"> </w:t>
      </w:r>
      <w:r>
        <w:t xml:space="preserve">Establishing long-term contracts with reliable suppliers to secure competitive pricing and timely delivery.</w:t>
      </w:r>
    </w:p>
    <w:bookmarkEnd w:id="22"/>
    <w:bookmarkEnd w:id="23"/>
    <w:bookmarkStart w:id="26" w:name="labor-estimated-30-of-total-costs"/>
    <w:p>
      <w:pPr>
        <w:pStyle w:val="Heading3"/>
      </w:pPr>
      <w:r>
        <w:t xml:space="preserve">2. Labor (Estimated 30% of Total Costs)</w:t>
      </w:r>
    </w:p>
    <w:p>
      <w:pPr>
        <w:pStyle w:val="FirstParagraph"/>
      </w:pPr>
      <w:r>
        <w:t xml:space="preserve">Labor costs are estimated to represent about 30% of the total project budget. The use of prefabrication techniques significantly reduces on-site labor time, which helps control costs and improve construction timelines. However, skilled labor remains essential to maintain the high-quality standards set by Awesome Inc.</w:t>
      </w:r>
    </w:p>
    <w:bookmarkStart w:id="24" w:name="labor-categories-and-considerations"/>
    <w:p>
      <w:pPr>
        <w:pStyle w:val="Heading4"/>
      </w:pPr>
      <w:r>
        <w:t xml:space="preserve">Labor Categories and Considerations</w:t>
      </w:r>
    </w:p>
    <w:p>
      <w:pPr>
        <w:pStyle w:val="FirstParagraph"/>
      </w:pPr>
      <w:r>
        <w:t xml:space="preserve">| Labor Category | Description | Estimated % of Labor Costs | Notes |</w:t>
      </w:r>
      <w:r>
        <w:t xml:space="preserve"> </w:t>
      </w:r>
      <w:r>
        <w:t xml:space="preserve">|--------------------------|------------------------------------------------|----------------------------|--------------------------------------------|</w:t>
      </w:r>
      <w:r>
        <w:t xml:space="preserve"> </w:t>
      </w:r>
      <w:r>
        <w:t xml:space="preserve">| Prefabrication Workers | Assembly of modular components off-site | 50% | Specialized training required |</w:t>
      </w:r>
      <w:r>
        <w:t xml:space="preserve"> </w:t>
      </w:r>
      <w:r>
        <w:t xml:space="preserve">| On-site Construction Crew| Installation, finishing, and quality checks | 40% | Includes carpenters, electricians, plumbers |</w:t>
      </w:r>
      <w:r>
        <w:t xml:space="preserve"> </w:t>
      </w:r>
      <w:r>
        <w:t xml:space="preserve">| Project Supervision | Site managers, safety officers | 10% | Ensures compliance with schedules and safety |</w:t>
      </w:r>
    </w:p>
    <w:bookmarkEnd w:id="24"/>
    <w:bookmarkStart w:id="25" w:name="labor-efficiency-measures"/>
    <w:p>
      <w:pPr>
        <w:pStyle w:val="Heading4"/>
      </w:pPr>
      <w:r>
        <w:t xml:space="preserve">Labor Efficiency Measures</w:t>
      </w:r>
    </w:p>
    <w:p>
      <w:pPr>
        <w:pStyle w:val="Compact"/>
        <w:numPr>
          <w:ilvl w:val="0"/>
          <w:numId w:val="1002"/>
        </w:numPr>
      </w:pPr>
      <w:r>
        <w:rPr>
          <w:b/>
          <w:bCs/>
        </w:rPr>
        <w:t xml:space="preserve">Prefabrication:</w:t>
      </w:r>
      <w:r>
        <w:t xml:space="preserve"> </w:t>
      </w:r>
      <w:r>
        <w:t xml:space="preserve">Modular construction reduces on-site labor by up to 40%, accelerating project completion.</w:t>
      </w:r>
    </w:p>
    <w:p>
      <w:pPr>
        <w:pStyle w:val="Compact"/>
        <w:numPr>
          <w:ilvl w:val="0"/>
          <w:numId w:val="1002"/>
        </w:numPr>
      </w:pPr>
      <w:r>
        <w:rPr>
          <w:b/>
          <w:bCs/>
        </w:rPr>
        <w:t xml:space="preserve">Training Programs:</w:t>
      </w:r>
      <w:r>
        <w:t xml:space="preserve"> </w:t>
      </w:r>
      <w:r>
        <w:t xml:space="preserve">Continuous skill development to improve workmanship and reduce errors.</w:t>
      </w:r>
    </w:p>
    <w:p>
      <w:pPr>
        <w:pStyle w:val="Compact"/>
        <w:numPr>
          <w:ilvl w:val="0"/>
          <w:numId w:val="1002"/>
        </w:numPr>
      </w:pPr>
      <w:r>
        <w:rPr>
          <w:b/>
          <w:bCs/>
        </w:rPr>
        <w:t xml:space="preserve">Labor Scheduling:</w:t>
      </w:r>
      <w:r>
        <w:t xml:space="preserve"> </w:t>
      </w:r>
      <w:r>
        <w:t xml:space="preserve">Optimized shifts and resource allocation to minimize downtime and overtime costs.</w:t>
      </w:r>
    </w:p>
    <w:bookmarkEnd w:id="25"/>
    <w:bookmarkEnd w:id="26"/>
    <w:bookmarkStart w:id="27" w:name="X949670d0ae3abea01cd2e8b1e745c2bc2c464cc"/>
    <w:p>
      <w:pPr>
        <w:pStyle w:val="Heading3"/>
      </w:pPr>
      <w:r>
        <w:t xml:space="preserve">3. Overhead and Miscellaneous (Estimated 15% of Total Costs)</w:t>
      </w:r>
    </w:p>
    <w:p>
      <w:pPr>
        <w:pStyle w:val="FirstParagraph"/>
      </w:pPr>
      <w:r>
        <w:t xml:space="preserve">This category includes all indirect costs associated with the project, such as project management, permits, insurance, and contingencies.</w:t>
      </w:r>
    </w:p>
    <w:p>
      <w:pPr>
        <w:pStyle w:val="BodyText"/>
      </w:pPr>
      <w:r>
        <w:t xml:space="preserve">| Overhead Item | Description | Estimated % of Overhead Costs | Notes |</w:t>
      </w:r>
      <w:r>
        <w:t xml:space="preserve"> </w:t>
      </w:r>
      <w:r>
        <w:t xml:space="preserve">|-------------------------|------------------------------------------------|-------------------------------|--------------------------------------------|</w:t>
      </w:r>
      <w:r>
        <w:t xml:space="preserve"> </w:t>
      </w:r>
      <w:r>
        <w:t xml:space="preserve">| Project Management | Planning, coordination, and administration | 50% | Includes salaries of project managers |</w:t>
      </w:r>
      <w:r>
        <w:t xml:space="preserve"> </w:t>
      </w:r>
      <w:r>
        <w:t xml:space="preserve">| Permits and Fees | Building permits, inspections, and regulatory fees | 20% | Varies by municipality |</w:t>
      </w:r>
      <w:r>
        <w:t xml:space="preserve"> </w:t>
      </w:r>
      <w:r>
        <w:t xml:space="preserve">| Insurance | Construction insurance and liability coverage | 15% | Essential for risk mitigation |</w:t>
      </w:r>
      <w:r>
        <w:t xml:space="preserve"> </w:t>
      </w:r>
      <w:r>
        <w:t xml:space="preserve">| Contingency Fund | Reserved for unforeseen expenses | 15% | Typically 5-10% of total project cost |</w:t>
      </w:r>
    </w:p>
    <w:bookmarkEnd w:id="27"/>
    <w:bookmarkEnd w:id="28"/>
    <w:bookmarkStart w:id="33" w:name="sustainability-considerations"/>
    <w:p>
      <w:pPr>
        <w:pStyle w:val="Heading2"/>
      </w:pPr>
      <w:r>
        <w:t xml:space="preserve">Sustainability Considerations</w:t>
      </w:r>
    </w:p>
    <w:p>
      <w:pPr>
        <w:pStyle w:val="FirstParagraph"/>
      </w:pPr>
      <w:r>
        <w:t xml:space="preserve">Sustainability is a core principle in the design and construction of the new apartment buildings. The following strategies are integrated to minimize environmental impact and promote long-term operational savings:</w:t>
      </w:r>
    </w:p>
    <w:bookmarkStart w:id="29" w:name="Xd826e7f09dac1c358307b69c6636cc8a1735283"/>
    <w:p>
      <w:pPr>
        <w:pStyle w:val="Heading3"/>
      </w:pPr>
      <w:r>
        <w:t xml:space="preserve">Use of Recycled and Locally Sourced Materials</w:t>
      </w:r>
    </w:p>
    <w:p>
      <w:pPr>
        <w:pStyle w:val="Compact"/>
        <w:numPr>
          <w:ilvl w:val="0"/>
          <w:numId w:val="1003"/>
        </w:numPr>
      </w:pPr>
      <w:r>
        <w:rPr>
          <w:b/>
          <w:bCs/>
        </w:rPr>
        <w:t xml:space="preserve">Recycled Steel and Concrete:</w:t>
      </w:r>
      <w:r>
        <w:t xml:space="preserve"> </w:t>
      </w:r>
      <w:r>
        <w:t xml:space="preserve">Utilizing recycled content reduces the demand for virgin materials and lowers embodied carbon.</w:t>
      </w:r>
    </w:p>
    <w:p>
      <w:pPr>
        <w:pStyle w:val="Compact"/>
        <w:numPr>
          <w:ilvl w:val="0"/>
          <w:numId w:val="1003"/>
        </w:numPr>
      </w:pPr>
      <w:r>
        <w:rPr>
          <w:b/>
          <w:bCs/>
        </w:rPr>
        <w:t xml:space="preserve">Locally Sourced Timber and Masonry:</w:t>
      </w:r>
      <w:r>
        <w:t xml:space="preserve"> </w:t>
      </w:r>
      <w:r>
        <w:t xml:space="preserve">Reduces transportation emissions and supports local economies.</w:t>
      </w:r>
    </w:p>
    <w:p>
      <w:pPr>
        <w:pStyle w:val="Compact"/>
        <w:numPr>
          <w:ilvl w:val="0"/>
          <w:numId w:val="1003"/>
        </w:numPr>
      </w:pPr>
      <w:r>
        <w:rPr>
          <w:b/>
          <w:bCs/>
        </w:rPr>
        <w:t xml:space="preserve">Low-VOC Paints and Finishes:</w:t>
      </w:r>
      <w:r>
        <w:t xml:space="preserve"> </w:t>
      </w:r>
      <w:r>
        <w:t xml:space="preserve">Improves indoor air quality and occupant health.</w:t>
      </w:r>
    </w:p>
    <w:bookmarkEnd w:id="29"/>
    <w:bookmarkStart w:id="30" w:name="energy-efficient-systems"/>
    <w:p>
      <w:pPr>
        <w:pStyle w:val="Heading3"/>
      </w:pPr>
      <w:r>
        <w:t xml:space="preserve">Energy-Efficient Systems</w:t>
      </w:r>
    </w:p>
    <w:p>
      <w:pPr>
        <w:pStyle w:val="Compact"/>
        <w:numPr>
          <w:ilvl w:val="0"/>
          <w:numId w:val="1004"/>
        </w:numPr>
      </w:pPr>
      <w:r>
        <w:rPr>
          <w:b/>
          <w:bCs/>
        </w:rPr>
        <w:t xml:space="preserve">High-Performance Insulation:</w:t>
      </w:r>
      <w:r>
        <w:t xml:space="preserve"> </w:t>
      </w:r>
      <w:r>
        <w:t xml:space="preserve">Reduces heating and cooling loads.</w:t>
      </w:r>
    </w:p>
    <w:p>
      <w:pPr>
        <w:pStyle w:val="Compact"/>
        <w:numPr>
          <w:ilvl w:val="0"/>
          <w:numId w:val="1004"/>
        </w:numPr>
      </w:pPr>
      <w:r>
        <w:rPr>
          <w:b/>
          <w:bCs/>
        </w:rPr>
        <w:t xml:space="preserve">Energy-Efficient HVAC:</w:t>
      </w:r>
      <w:r>
        <w:t xml:space="preserve"> </w:t>
      </w:r>
      <w:r>
        <w:t xml:space="preserve">Systems with variable speed drives and smart controls.</w:t>
      </w:r>
    </w:p>
    <w:p>
      <w:pPr>
        <w:pStyle w:val="Compact"/>
        <w:numPr>
          <w:ilvl w:val="0"/>
          <w:numId w:val="1004"/>
        </w:numPr>
      </w:pPr>
      <w:r>
        <w:rPr>
          <w:b/>
          <w:bCs/>
        </w:rPr>
        <w:t xml:space="preserve">LED Lighting:</w:t>
      </w:r>
      <w:r>
        <w:t xml:space="preserve"> </w:t>
      </w:r>
      <w:r>
        <w:t xml:space="preserve">Low energy consumption and long lifespan.</w:t>
      </w:r>
    </w:p>
    <w:p>
      <w:pPr>
        <w:pStyle w:val="Compact"/>
        <w:numPr>
          <w:ilvl w:val="0"/>
          <w:numId w:val="1004"/>
        </w:numPr>
      </w:pPr>
      <w:r>
        <w:rPr>
          <w:b/>
          <w:bCs/>
        </w:rPr>
        <w:t xml:space="preserve">Solar-Ready Roofs:</w:t>
      </w:r>
      <w:r>
        <w:t xml:space="preserve"> </w:t>
      </w:r>
      <w:r>
        <w:t xml:space="preserve">Designed to accommodate future photovoltaic installations.</w:t>
      </w:r>
    </w:p>
    <w:bookmarkEnd w:id="30"/>
    <w:bookmarkStart w:id="31" w:name="water-conservation-measures"/>
    <w:p>
      <w:pPr>
        <w:pStyle w:val="Heading3"/>
      </w:pPr>
      <w:r>
        <w:t xml:space="preserve">Water Conservation Measures</w:t>
      </w:r>
    </w:p>
    <w:p>
      <w:pPr>
        <w:pStyle w:val="Compact"/>
        <w:numPr>
          <w:ilvl w:val="0"/>
          <w:numId w:val="1005"/>
        </w:numPr>
      </w:pPr>
      <w:r>
        <w:rPr>
          <w:b/>
          <w:bCs/>
        </w:rPr>
        <w:t xml:space="preserve">Low-Flow Fixtures:</w:t>
      </w:r>
      <w:r>
        <w:t xml:space="preserve"> </w:t>
      </w:r>
      <w:r>
        <w:t xml:space="preserve">Faucets, toilets, and showerheads designed to reduce water use.</w:t>
      </w:r>
    </w:p>
    <w:p>
      <w:pPr>
        <w:pStyle w:val="Compact"/>
        <w:numPr>
          <w:ilvl w:val="0"/>
          <w:numId w:val="1005"/>
        </w:numPr>
      </w:pPr>
      <w:r>
        <w:rPr>
          <w:b/>
          <w:bCs/>
        </w:rPr>
        <w:t xml:space="preserve">Rainwater Harvesting:</w:t>
      </w:r>
      <w:r>
        <w:t xml:space="preserve"> </w:t>
      </w:r>
      <w:r>
        <w:t xml:space="preserve">Systems to collect and reuse rainwater for irrigation.</w:t>
      </w:r>
    </w:p>
    <w:bookmarkEnd w:id="31"/>
    <w:bookmarkStart w:id="32" w:name="long-term-savings"/>
    <w:p>
      <w:pPr>
        <w:pStyle w:val="Heading3"/>
      </w:pPr>
      <w:r>
        <w:t xml:space="preserve">Long-Term Savings</w:t>
      </w:r>
    </w:p>
    <w:p>
      <w:pPr>
        <w:pStyle w:val="FirstParagraph"/>
      </w:pPr>
      <w:r>
        <w:t xml:space="preserve">While some sustainable features may increase upfront costs by 5-10%, lifecycle cost analysis shows potential savings of 20-30% in energy and water expenses over 20 years.</w:t>
      </w:r>
    </w:p>
    <w:bookmarkEnd w:id="32"/>
    <w:bookmarkEnd w:id="33"/>
    <w:bookmarkStart w:id="38" w:name="cost-saving-opportunities"/>
    <w:p>
      <w:pPr>
        <w:pStyle w:val="Heading2"/>
      </w:pPr>
      <w:r>
        <w:t xml:space="preserve">Cost-Saving Opportunities</w:t>
      </w:r>
    </w:p>
    <w:p>
      <w:pPr>
        <w:pStyle w:val="FirstParagraph"/>
      </w:pPr>
      <w:r>
        <w:t xml:space="preserve">To optimize the budget without compromising quality or design intent, the following cost-saving strategies are recommended:</w:t>
      </w:r>
    </w:p>
    <w:bookmarkStart w:id="34" w:name="material-procurement-optimization"/>
    <w:p>
      <w:pPr>
        <w:pStyle w:val="Heading3"/>
      </w:pPr>
      <w:r>
        <w:t xml:space="preserve">1. Material Procurement Optimization</w:t>
      </w:r>
    </w:p>
    <w:p>
      <w:pPr>
        <w:pStyle w:val="Compact"/>
        <w:numPr>
          <w:ilvl w:val="0"/>
          <w:numId w:val="1006"/>
        </w:numPr>
      </w:pPr>
      <w:r>
        <w:rPr>
          <w:b/>
          <w:bCs/>
        </w:rPr>
        <w:t xml:space="preserve">Bulk Purchasing:</w:t>
      </w:r>
      <w:r>
        <w:t xml:space="preserve"> </w:t>
      </w:r>
      <w:r>
        <w:t xml:space="preserve">Consolidating orders to leverage volume discounts.</w:t>
      </w:r>
    </w:p>
    <w:p>
      <w:pPr>
        <w:pStyle w:val="Compact"/>
        <w:numPr>
          <w:ilvl w:val="0"/>
          <w:numId w:val="1006"/>
        </w:numPr>
      </w:pPr>
      <w:r>
        <w:rPr>
          <w:b/>
          <w:bCs/>
        </w:rPr>
        <w:t xml:space="preserve">Supplier Negotiations:</w:t>
      </w:r>
      <w:r>
        <w:t xml:space="preserve"> </w:t>
      </w:r>
      <w:r>
        <w:t xml:space="preserve">Establishing competitive contracts with multiple suppliers.</w:t>
      </w:r>
    </w:p>
    <w:p>
      <w:pPr>
        <w:pStyle w:val="Compact"/>
        <w:numPr>
          <w:ilvl w:val="0"/>
          <w:numId w:val="1006"/>
        </w:numPr>
      </w:pPr>
      <w:r>
        <w:rPr>
          <w:b/>
          <w:bCs/>
        </w:rPr>
        <w:t xml:space="preserve">Standardization:</w:t>
      </w:r>
      <w:r>
        <w:t xml:space="preserve"> </w:t>
      </w:r>
      <w:r>
        <w:t xml:space="preserve">Using standardized components to reduce custom fabrication costs.</w:t>
      </w:r>
    </w:p>
    <w:bookmarkEnd w:id="34"/>
    <w:bookmarkStart w:id="35" w:name="design-simplification"/>
    <w:p>
      <w:pPr>
        <w:pStyle w:val="Heading3"/>
      </w:pPr>
      <w:r>
        <w:t xml:space="preserve">2. Design Simplification</w:t>
      </w:r>
    </w:p>
    <w:p>
      <w:pPr>
        <w:pStyle w:val="Compact"/>
        <w:numPr>
          <w:ilvl w:val="0"/>
          <w:numId w:val="1007"/>
        </w:numPr>
      </w:pPr>
      <w:r>
        <w:rPr>
          <w:b/>
          <w:bCs/>
        </w:rPr>
        <w:t xml:space="preserve">Reducing Complexity:</w:t>
      </w:r>
      <w:r>
        <w:t xml:space="preserve"> </w:t>
      </w:r>
      <w:r>
        <w:t xml:space="preserve">Streamlining architectural details to minimize labor and material waste.</w:t>
      </w:r>
    </w:p>
    <w:p>
      <w:pPr>
        <w:pStyle w:val="Compact"/>
        <w:numPr>
          <w:ilvl w:val="0"/>
          <w:numId w:val="1007"/>
        </w:numPr>
      </w:pPr>
      <w:r>
        <w:rPr>
          <w:b/>
          <w:bCs/>
        </w:rPr>
        <w:t xml:space="preserve">Modular Design:</w:t>
      </w:r>
      <w:r>
        <w:t xml:space="preserve"> </w:t>
      </w:r>
      <w:r>
        <w:t xml:space="preserve">Designing repeatable units to facilitate prefabrication and reduce errors.</w:t>
      </w:r>
    </w:p>
    <w:p>
      <w:pPr>
        <w:pStyle w:val="Compact"/>
        <w:numPr>
          <w:ilvl w:val="0"/>
          <w:numId w:val="1007"/>
        </w:numPr>
      </w:pPr>
      <w:r>
        <w:rPr>
          <w:b/>
          <w:bCs/>
        </w:rPr>
        <w:t xml:space="preserve">Value Engineering:</w:t>
      </w:r>
      <w:r>
        <w:t xml:space="preserve"> </w:t>
      </w:r>
      <w:r>
        <w:t xml:space="preserve">Reviewing design elements to identify cost-effective alternatives.</w:t>
      </w:r>
    </w:p>
    <w:bookmarkEnd w:id="35"/>
    <w:bookmarkStart w:id="36" w:name="modular-construction"/>
    <w:p>
      <w:pPr>
        <w:pStyle w:val="Heading3"/>
      </w:pPr>
      <w:r>
        <w:t xml:space="preserve">3. Modular Construction</w:t>
      </w:r>
    </w:p>
    <w:p>
      <w:pPr>
        <w:pStyle w:val="Compact"/>
        <w:numPr>
          <w:ilvl w:val="0"/>
          <w:numId w:val="1008"/>
        </w:numPr>
      </w:pPr>
      <w:r>
        <w:rPr>
          <w:b/>
          <w:bCs/>
        </w:rPr>
        <w:t xml:space="preserve">Waste Reduction:</w:t>
      </w:r>
      <w:r>
        <w:t xml:space="preserve"> </w:t>
      </w:r>
      <w:r>
        <w:t xml:space="preserve">Prefabrication reduces material waste by up to 30%.</w:t>
      </w:r>
    </w:p>
    <w:p>
      <w:pPr>
        <w:pStyle w:val="Compact"/>
        <w:numPr>
          <w:ilvl w:val="0"/>
          <w:numId w:val="1008"/>
        </w:numPr>
      </w:pPr>
      <w:r>
        <w:rPr>
          <w:b/>
          <w:bCs/>
        </w:rPr>
        <w:t xml:space="preserve">Accelerated Timelines:</w:t>
      </w:r>
      <w:r>
        <w:t xml:space="preserve"> </w:t>
      </w:r>
      <w:r>
        <w:t xml:space="preserve">Shorter construction periods reduce financing and overhead costs.</w:t>
      </w:r>
    </w:p>
    <w:p>
      <w:pPr>
        <w:pStyle w:val="Compact"/>
        <w:numPr>
          <w:ilvl w:val="0"/>
          <w:numId w:val="1008"/>
        </w:numPr>
      </w:pPr>
      <w:r>
        <w:rPr>
          <w:b/>
          <w:bCs/>
        </w:rPr>
        <w:t xml:space="preserve">Improved Quality Control:</w:t>
      </w:r>
      <w:r>
        <w:t xml:space="preserve"> </w:t>
      </w:r>
      <w:r>
        <w:t xml:space="preserve">Factory conditions allow for better inspection and consistency.</w:t>
      </w:r>
    </w:p>
    <w:bookmarkEnd w:id="36"/>
    <w:bookmarkStart w:id="37" w:name="technology-integration"/>
    <w:p>
      <w:pPr>
        <w:pStyle w:val="Heading3"/>
      </w:pPr>
      <w:r>
        <w:t xml:space="preserve">4. Technology Integration</w:t>
      </w:r>
    </w:p>
    <w:p>
      <w:pPr>
        <w:pStyle w:val="Compact"/>
        <w:numPr>
          <w:ilvl w:val="0"/>
          <w:numId w:val="1009"/>
        </w:numPr>
      </w:pPr>
      <w:r>
        <w:rPr>
          <w:b/>
          <w:bCs/>
        </w:rPr>
        <w:t xml:space="preserve">Building Information Modeling (BIM):</w:t>
      </w:r>
      <w:r>
        <w:t xml:space="preserve"> </w:t>
      </w:r>
      <w:r>
        <w:t xml:space="preserve">Enhances coordination and reduces design conflicts.</w:t>
      </w:r>
    </w:p>
    <w:p>
      <w:pPr>
        <w:pStyle w:val="Compact"/>
        <w:numPr>
          <w:ilvl w:val="0"/>
          <w:numId w:val="1009"/>
        </w:numPr>
      </w:pPr>
      <w:r>
        <w:rPr>
          <w:b/>
          <w:bCs/>
        </w:rPr>
        <w:t xml:space="preserve">Project Management Software:</w:t>
      </w:r>
      <w:r>
        <w:t xml:space="preserve"> </w:t>
      </w:r>
      <w:r>
        <w:t xml:space="preserve">Improves scheduling and resource allocation.</w:t>
      </w:r>
    </w:p>
    <w:bookmarkEnd w:id="37"/>
    <w:bookmarkEnd w:id="38"/>
    <w:bookmarkStart w:id="42" w:name="compliance-and-quality-assurance"/>
    <w:p>
      <w:pPr>
        <w:pStyle w:val="Heading2"/>
      </w:pPr>
      <w:r>
        <w:t xml:space="preserve">Compliance and Quality Assurance</w:t>
      </w:r>
    </w:p>
    <w:p>
      <w:pPr>
        <w:pStyle w:val="FirstParagraph"/>
      </w:pPr>
      <w:r>
        <w:t xml:space="preserve">Ensuring compliance with all applicable building codes and maintaining high-quality standards throughout construction is critical to avoid costly revisions, delays, and penalties.</w:t>
      </w:r>
    </w:p>
    <w:bookmarkStart w:id="39" w:name="regulatory-compliance"/>
    <w:p>
      <w:pPr>
        <w:pStyle w:val="Heading3"/>
      </w:pPr>
      <w:r>
        <w:t xml:space="preserve">Regulatory Compliance</w:t>
      </w:r>
    </w:p>
    <w:p>
      <w:pPr>
        <w:pStyle w:val="Compact"/>
        <w:numPr>
          <w:ilvl w:val="0"/>
          <w:numId w:val="1010"/>
        </w:numPr>
      </w:pPr>
      <w:r>
        <w:rPr>
          <w:b/>
          <w:bCs/>
        </w:rPr>
        <w:t xml:space="preserve">Local Building Codes:</w:t>
      </w:r>
      <w:r>
        <w:t xml:space="preserve"> </w:t>
      </w:r>
      <w:r>
        <w:t xml:space="preserve">All designs adhere to municipal, state, and federal regulations, including fire safety, accessibility (ADA), and seismic standards.</w:t>
      </w:r>
    </w:p>
    <w:p>
      <w:pPr>
        <w:pStyle w:val="Compact"/>
        <w:numPr>
          <w:ilvl w:val="0"/>
          <w:numId w:val="1010"/>
        </w:numPr>
      </w:pPr>
      <w:r>
        <w:rPr>
          <w:b/>
          <w:bCs/>
        </w:rPr>
        <w:t xml:space="preserve">Environmental Regulations:</w:t>
      </w:r>
      <w:r>
        <w:t xml:space="preserve"> </w:t>
      </w:r>
      <w:r>
        <w:t xml:space="preserve">Compliance with environmental impact assessments and waste disposal requirements.</w:t>
      </w:r>
    </w:p>
    <w:p>
      <w:pPr>
        <w:pStyle w:val="Compact"/>
        <w:numPr>
          <w:ilvl w:val="0"/>
          <w:numId w:val="1010"/>
        </w:numPr>
      </w:pPr>
      <w:r>
        <w:rPr>
          <w:b/>
          <w:bCs/>
        </w:rPr>
        <w:t xml:space="preserve">Permitting Process:</w:t>
      </w:r>
      <w:r>
        <w:t xml:space="preserve"> </w:t>
      </w:r>
      <w:r>
        <w:t xml:space="preserve">Early engagement with authorities to streamline approvals.</w:t>
      </w:r>
    </w:p>
    <w:bookmarkEnd w:id="39"/>
    <w:bookmarkStart w:id="40" w:name="quality-control-measures"/>
    <w:p>
      <w:pPr>
        <w:pStyle w:val="Heading3"/>
      </w:pPr>
      <w:r>
        <w:t xml:space="preserve">Quality Control Measures</w:t>
      </w:r>
    </w:p>
    <w:p>
      <w:pPr>
        <w:pStyle w:val="Compact"/>
        <w:numPr>
          <w:ilvl w:val="0"/>
          <w:numId w:val="1011"/>
        </w:numPr>
      </w:pPr>
      <w:r>
        <w:rPr>
          <w:b/>
          <w:bCs/>
        </w:rPr>
        <w:t xml:space="preserve">Inspection Protocols:</w:t>
      </w:r>
      <w:r>
        <w:t xml:space="preserve"> </w:t>
      </w:r>
      <w:r>
        <w:t xml:space="preserve">Regular inspections at key milestones, including foundation, framing, mechanical systems, and finishes.</w:t>
      </w:r>
    </w:p>
    <w:p>
      <w:pPr>
        <w:pStyle w:val="Compact"/>
        <w:numPr>
          <w:ilvl w:val="0"/>
          <w:numId w:val="1011"/>
        </w:numPr>
      </w:pPr>
      <w:r>
        <w:rPr>
          <w:b/>
          <w:bCs/>
        </w:rPr>
        <w:t xml:space="preserve">Testing:</w:t>
      </w:r>
      <w:r>
        <w:t xml:space="preserve"> </w:t>
      </w:r>
      <w:r>
        <w:t xml:space="preserve">Material testing for strength, durability, and safety.</w:t>
      </w:r>
    </w:p>
    <w:p>
      <w:pPr>
        <w:pStyle w:val="Compact"/>
        <w:numPr>
          <w:ilvl w:val="0"/>
          <w:numId w:val="1011"/>
        </w:numPr>
      </w:pPr>
      <w:r>
        <w:rPr>
          <w:b/>
          <w:bCs/>
        </w:rPr>
        <w:t xml:space="preserve">Documentation:</w:t>
      </w:r>
      <w:r>
        <w:t xml:space="preserve"> </w:t>
      </w:r>
      <w:r>
        <w:t xml:space="preserve">Maintaining detailed records of inspections, tests, and corrective actions.</w:t>
      </w:r>
    </w:p>
    <w:p>
      <w:pPr>
        <w:pStyle w:val="Compact"/>
        <w:numPr>
          <w:ilvl w:val="0"/>
          <w:numId w:val="1011"/>
        </w:numPr>
      </w:pPr>
      <w:r>
        <w:rPr>
          <w:b/>
          <w:bCs/>
        </w:rPr>
        <w:t xml:space="preserve">Training:</w:t>
      </w:r>
      <w:r>
        <w:t xml:space="preserve"> </w:t>
      </w:r>
      <w:r>
        <w:t xml:space="preserve">Ongoing training for construction teams on quality standards and safety procedures.</w:t>
      </w:r>
    </w:p>
    <w:bookmarkEnd w:id="40"/>
    <w:bookmarkStart w:id="41" w:name="risk-mitigation"/>
    <w:p>
      <w:pPr>
        <w:pStyle w:val="Heading3"/>
      </w:pPr>
      <w:r>
        <w:t xml:space="preserve">Risk Mitigation</w:t>
      </w:r>
    </w:p>
    <w:p>
      <w:pPr>
        <w:pStyle w:val="Compact"/>
        <w:numPr>
          <w:ilvl w:val="0"/>
          <w:numId w:val="1012"/>
        </w:numPr>
      </w:pPr>
      <w:r>
        <w:rPr>
          <w:b/>
          <w:bCs/>
        </w:rPr>
        <w:t xml:space="preserve">Contingency Planning:</w:t>
      </w:r>
      <w:r>
        <w:t xml:space="preserve"> </w:t>
      </w:r>
      <w:r>
        <w:t xml:space="preserve">Allocating budget and time buffers for unforeseen issues.</w:t>
      </w:r>
    </w:p>
    <w:p>
      <w:pPr>
        <w:pStyle w:val="Compact"/>
        <w:numPr>
          <w:ilvl w:val="0"/>
          <w:numId w:val="1012"/>
        </w:numPr>
      </w:pPr>
      <w:r>
        <w:rPr>
          <w:b/>
          <w:bCs/>
        </w:rPr>
        <w:t xml:space="preserve">Safety Programs:</w:t>
      </w:r>
      <w:r>
        <w:t xml:space="preserve"> </w:t>
      </w:r>
      <w:r>
        <w:t xml:space="preserve">Implementing OSHA-compliant safety measures to reduce accidents and associated costs.</w:t>
      </w:r>
    </w:p>
    <w:bookmarkEnd w:id="41"/>
    <w:bookmarkEnd w:id="42"/>
    <w:bookmarkStart w:id="43" w:name="detailed-cost-summary-table"/>
    <w:p>
      <w:pPr>
        <w:pStyle w:val="Heading2"/>
      </w:pPr>
      <w:r>
        <w:t xml:space="preserve">Detailed Cost Summary Table</w:t>
      </w:r>
    </w:p>
    <w:p>
      <w:pPr>
        <w:pStyle w:val="FirstParagraph"/>
      </w:pPr>
      <w:r>
        <w:t xml:space="preserve">| Cost Category | Subcategory | Estimated % of Total Cost | Notes |</w:t>
      </w:r>
      <w:r>
        <w:t xml:space="preserve"> </w:t>
      </w:r>
      <w:r>
        <w:t xml:space="preserve">|------------------------|-----------------------------|--------------------------|-----------------------------------------------|</w:t>
      </w:r>
      <w:r>
        <w:t xml:space="preserve"> </w:t>
      </w:r>
      <w:r>
        <w:t xml:space="preserve">| Materials | Structural Components | 22% | High-strength, recycled materials |</w:t>
      </w:r>
      <w:r>
        <w:t xml:space="preserve"> </w:t>
      </w:r>
      <w:r>
        <w:t xml:space="preserve">| | Exterior Finishes | 11% | Weather-resistant and insulating materials |</w:t>
      </w:r>
      <w:r>
        <w:t xml:space="preserve"> </w:t>
      </w:r>
      <w:r>
        <w:t xml:space="preserve">| | Interior Finishes | 14% | Durable, low-VOC materials |</w:t>
      </w:r>
      <w:r>
        <w:t xml:space="preserve"> </w:t>
      </w:r>
      <w:r>
        <w:t xml:space="preserve">| | Mechanical &amp; Electrical | 5.5% | Energy-efficient systems |</w:t>
      </w:r>
      <w:r>
        <w:t xml:space="preserve"> </w:t>
      </w:r>
      <w:r>
        <w:t xml:space="preserve">| | Fixtures &amp; Fittings | 2.5% | Thermal-efficient windows and lighting |</w:t>
      </w:r>
      <w:r>
        <w:t xml:space="preserve"> </w:t>
      </w:r>
      <w:r>
        <w:t xml:space="preserve">| Labor | Prefabrication Workers | 15% | Specialized off-site assembly |</w:t>
      </w:r>
      <w:r>
        <w:t xml:space="preserve"> </w:t>
      </w:r>
      <w:r>
        <w:t xml:space="preserve">| | On-site Construction Crew | 12% | Skilled trades for installation and finishing |</w:t>
      </w:r>
      <w:r>
        <w:t xml:space="preserve"> </w:t>
      </w:r>
      <w:r>
        <w:t xml:space="preserve">| | Project Supervision | 3% | Site management and safety |</w:t>
      </w:r>
      <w:r>
        <w:t xml:space="preserve"> </w:t>
      </w:r>
      <w:r>
        <w:t xml:space="preserve">| Overhead &amp; Miscellaneous| Project Management | 7.5% | Planning and administration |</w:t>
      </w:r>
      <w:r>
        <w:t xml:space="preserve"> </w:t>
      </w:r>
      <w:r>
        <w:t xml:space="preserve">| | Permits and Fees | 3% | Regulatory compliance |</w:t>
      </w:r>
      <w:r>
        <w:t xml:space="preserve"> </w:t>
      </w:r>
      <w:r>
        <w:t xml:space="preserve">| | Insurance | 2.25% | Risk management |</w:t>
      </w:r>
      <w:r>
        <w:t xml:space="preserve"> </w:t>
      </w:r>
      <w:r>
        <w:t xml:space="preserve">| | Contingency Fund | 2.25% | Unforeseen expenses |</w:t>
      </w:r>
    </w:p>
    <w:bookmarkEnd w:id="43"/>
    <w:bookmarkStart w:id="44" w:name="conclusion"/>
    <w:p>
      <w:pPr>
        <w:pStyle w:val="Heading2"/>
      </w:pPr>
      <w:r>
        <w:t xml:space="preserve">Conclusion</w:t>
      </w:r>
    </w:p>
    <w:p>
      <w:pPr>
        <w:pStyle w:val="FirstParagraph"/>
      </w:pPr>
      <w:r>
        <w:t xml:space="preserve">This detailed cost analysis provides a realistic and balanced view of the expenses associated with the construction of standard apartment elements for Awesome Inc. By prioritizing high-quality, sustainable materials and leveraging modern construction techniques such as prefabrication and modular design, the project aims to deliver durable, environmentally responsible buildings within budget.</w:t>
      </w:r>
    </w:p>
    <w:p>
      <w:pPr>
        <w:pStyle w:val="BodyText"/>
      </w:pPr>
      <w:r>
        <w:t xml:space="preserve">Ongoing collaboration with contractors, suppliers, and regulatory bodies will be essential to refine these estimates and implement cost-saving measures effectively. The integration of sustainability considerations and rigorous quality assurance protocols ensures that the final product meets both the aesthetic and functional expectations of Awesome Inc. and its customers, while also contributing positively to environmental stewardship and long-term operational savings.</w:t>
      </w:r>
    </w:p>
    <w:p>
      <w:pPr>
        <w:pStyle w:val="BodyText"/>
      </w:pPr>
      <w:r>
        <w:t xml:space="preserve">This document will be updated periodically as more detailed bids and project data become available, ensuring that the cost analysis remains accurate and actionable throughout the project lifecycle.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2025-07-28T07:40:40Z</dcterms:created>
  <dcterms:modified xsi:type="dcterms:W3CDTF">2025-07-28T07:40:40Z</dcterms:modified>
</cp:coreProperties>
</file>

<file path=docProps/custom.xml><?xml version="1.0" encoding="utf-8"?>
<Properties xmlns="http://schemas.openxmlformats.org/officeDocument/2006/custom-properties" xmlns:vt="http://schemas.openxmlformats.org/officeDocument/2006/docPropsVTypes"/>
</file>