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jc w:val="center"/>
        <w:rPr>
          <w:rFonts w:ascii="Times New Roman" w:hAnsi="Times New Roman"/>
          <w:sz w:val="24"/>
          <w:szCs w:val="24"/>
        </w:rPr>
      </w:pPr>
      <w:r>
        <w:rPr>
          <w:rFonts w:cs="Arial" w:ascii="Times New Roman" w:hAnsi="Times New Roman"/>
          <w:b/>
          <w:sz w:val="24"/>
          <w:szCs w:val="24"/>
        </w:rPr>
        <w:t>UNIVERSIDADE VEIGA DE ALMEIDA</w:t>
      </w:r>
    </w:p>
    <w:p>
      <w:pPr>
        <w:pStyle w:val="Normal"/>
        <w:bidi w:val="0"/>
        <w:spacing w:before="0" w:after="0"/>
        <w:jc w:val="center"/>
        <w:rPr>
          <w:rFonts w:ascii="Times New Roman" w:hAnsi="Times New Roman"/>
          <w:sz w:val="24"/>
          <w:szCs w:val="24"/>
        </w:rPr>
      </w:pPr>
      <w:r>
        <w:rPr>
          <w:rFonts w:cs="Arial" w:ascii="Times New Roman" w:hAnsi="Times New Roman"/>
          <w:b/>
          <w:sz w:val="24"/>
          <w:szCs w:val="24"/>
        </w:rPr>
        <w:t>CIÊNCIAS C</w:t>
      </w:r>
      <w:r>
        <w:rPr>
          <w:rFonts w:eastAsia="NSimSun" w:cs="Arial" w:ascii="Times New Roman" w:hAnsi="Times New Roman"/>
          <w:b/>
          <w:color w:val="auto"/>
          <w:kern w:val="2"/>
          <w:sz w:val="24"/>
          <w:szCs w:val="24"/>
          <w:lang w:val="pt-BR" w:eastAsia="zh-CN" w:bidi="hi-IN"/>
        </w:rPr>
        <w:t>ONTÁBEIS</w:t>
      </w:r>
    </w:p>
    <w:p>
      <w:pPr>
        <w:pStyle w:val="Normal"/>
        <w:bidi w:val="0"/>
        <w:spacing w:before="0" w:after="0"/>
        <w:jc w:val="center"/>
        <w:rPr>
          <w:rFonts w:ascii="Times New Roman" w:hAnsi="Times New Roman" w:cs="Arial"/>
          <w:color w:val="auto"/>
          <w:sz w:val="24"/>
          <w:szCs w:val="24"/>
        </w:rPr>
      </w:pPr>
      <w:r>
        <w:rPr>
          <w:rFonts w:cs="Arial" w:ascii="Times New Roman" w:hAnsi="Times New Roman"/>
          <w:color w:val="auto"/>
          <w:sz w:val="24"/>
          <w:szCs w:val="24"/>
        </w:rPr>
      </w:r>
    </w:p>
    <w:p>
      <w:pPr>
        <w:pStyle w:val="Normal"/>
        <w:bidi w:val="0"/>
        <w:spacing w:before="0" w:after="0"/>
        <w:jc w:val="center"/>
        <w:rPr>
          <w:rFonts w:ascii="Times New Roman" w:hAnsi="Times New Roman" w:cs="Arial"/>
          <w:color w:val="auto"/>
          <w:sz w:val="24"/>
          <w:szCs w:val="24"/>
        </w:rPr>
      </w:pPr>
      <w:r>
        <w:rPr>
          <w:rFonts w:cs="Arial" w:ascii="Times New Roman" w:hAnsi="Times New Roman"/>
          <w:color w:val="auto"/>
          <w:sz w:val="24"/>
          <w:szCs w:val="24"/>
        </w:rPr>
      </w:r>
    </w:p>
    <w:p>
      <w:pPr>
        <w:pStyle w:val="Normal"/>
        <w:bidi w:val="0"/>
        <w:jc w:val="center"/>
        <w:rPr>
          <w:rFonts w:ascii="Times New Roman" w:hAnsi="Times New Roman"/>
          <w:sz w:val="24"/>
          <w:szCs w:val="24"/>
        </w:rPr>
      </w:pPr>
      <w:r>
        <w:rPr>
          <w:rFonts w:cs="Arial" w:ascii="Times New Roman" w:hAnsi="Times New Roman"/>
          <w:b w:val="false"/>
          <w:bCs w:val="false"/>
          <w:sz w:val="24"/>
          <w:szCs w:val="24"/>
        </w:rPr>
        <w:t>José Eduardo Alves de Carvalho</w:t>
      </w:r>
      <w:r>
        <w:rPr>
          <w:rFonts w:cs="Arial" w:ascii="Times New Roman" w:hAnsi="Times New Roman"/>
          <w:b/>
          <w:sz w:val="24"/>
          <w:szCs w:val="24"/>
        </w:rPr>
        <w:b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spacing w:lineRule="auto" w:line="240" w:before="0" w:after="0"/>
        <w:jc w:val="center"/>
        <w:rPr>
          <w:rFonts w:ascii="Times New Roman" w:hAnsi="Times New Roman"/>
          <w:sz w:val="24"/>
          <w:szCs w:val="24"/>
        </w:rPr>
      </w:pPr>
      <w:r>
        <w:rPr>
          <w:rFonts w:eastAsia="NSimSun" w:cs="Arial" w:ascii="Times New Roman" w:hAnsi="Times New Roman"/>
          <w:b/>
          <w:color w:val="auto"/>
          <w:kern w:val="2"/>
          <w:sz w:val="24"/>
          <w:szCs w:val="24"/>
          <w:lang w:val="pt-BR" w:eastAsia="zh-CN" w:bidi="hi-IN"/>
        </w:rPr>
        <w:t>Modelo de Gestão Contábil para a Inclusão Produtiva e Capacitação de Negócios de Economia Solidária na Infraestrutura Cicloviária de Niterói</w:t>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bidi w:val="0"/>
        <w:jc w:val="center"/>
        <w:rPr>
          <w:rFonts w:ascii="Times New Roman" w:hAnsi="Times New Roman" w:cs="Arial"/>
          <w:b/>
          <w:b/>
          <w:sz w:val="24"/>
          <w:szCs w:val="24"/>
        </w:rPr>
      </w:pPr>
      <w:r>
        <w:rPr>
          <w:rFonts w:cs="Arial" w:ascii="Times New Roman" w:hAnsi="Times New Roman"/>
          <w:b/>
          <w:sz w:val="24"/>
          <w:szCs w:val="24"/>
        </w:rPr>
      </w:r>
    </w:p>
    <w:p>
      <w:pPr>
        <w:pStyle w:val="Normal"/>
        <w:widowControl/>
        <w:bidi w:val="0"/>
        <w:spacing w:lineRule="auto" w:line="240" w:before="0" w:after="200"/>
        <w:ind w:left="4535" w:right="0" w:hanging="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 xml:space="preserve">Trabalho de conclusão de curso </w:t>
      </w:r>
      <w:r>
        <w:rPr>
          <w:rFonts w:cs="Arial" w:ascii="Times New Roman" w:hAnsi="Times New Roman"/>
          <w:sz w:val="24"/>
          <w:szCs w:val="24"/>
        </w:rPr>
        <w:t>apresentado como parte dos requisitos para obtenção d</w:t>
      </w:r>
      <w:r>
        <w:rPr>
          <w:rFonts w:eastAsia="NSimSun" w:cs="Arial" w:ascii="Times New Roman" w:hAnsi="Times New Roman"/>
          <w:color w:val="auto"/>
          <w:kern w:val="2"/>
          <w:sz w:val="24"/>
          <w:szCs w:val="24"/>
          <w:lang w:val="pt-BR" w:eastAsia="zh-CN" w:bidi="hi-IN"/>
        </w:rPr>
        <w:t>o título de bacharel em C</w:t>
      </w:r>
      <w:r>
        <w:rPr>
          <w:rFonts w:cs="Arial" w:ascii="Times New Roman" w:hAnsi="Times New Roman"/>
          <w:sz w:val="24"/>
          <w:szCs w:val="24"/>
        </w:rPr>
        <w:t>iências C</w:t>
      </w:r>
      <w:r>
        <w:rPr>
          <w:rFonts w:eastAsia="NSimSun" w:cs="Arial" w:ascii="Times New Roman" w:hAnsi="Times New Roman"/>
          <w:color w:val="auto"/>
          <w:kern w:val="2"/>
          <w:sz w:val="24"/>
          <w:szCs w:val="24"/>
          <w:lang w:val="pt-BR" w:eastAsia="zh-CN" w:bidi="hi-IN"/>
        </w:rPr>
        <w:t>ontábeis</w:t>
      </w:r>
    </w:p>
    <w:p>
      <w:pPr>
        <w:pStyle w:val="Normal"/>
        <w:widowControl/>
        <w:bidi w:val="0"/>
        <w:spacing w:lineRule="auto" w:line="240" w:before="0" w:after="200"/>
        <w:ind w:left="4535" w:right="0" w:hanging="0"/>
        <w:jc w:val="both"/>
        <w:rPr>
          <w:rFonts w:ascii="Times New Roman" w:hAnsi="Times New Roman"/>
          <w:sz w:val="24"/>
          <w:szCs w:val="24"/>
        </w:rPr>
      </w:pPr>
      <w:r>
        <w:rPr>
          <w:rFonts w:cs="Arial" w:ascii="Times New Roman" w:hAnsi="Times New Roman"/>
          <w:b w:val="false"/>
          <w:bCs w:val="false"/>
          <w:sz w:val="24"/>
          <w:szCs w:val="24"/>
        </w:rPr>
        <w:t>Professor orientador</w:t>
      </w:r>
      <w:r>
        <w:rPr>
          <w:rFonts w:cs="Arial" w:ascii="Times New Roman" w:hAnsi="Times New Roman"/>
          <w:sz w:val="24"/>
          <w:szCs w:val="24"/>
        </w:rPr>
        <w:t>: Ms. Paulo Cesar de Souza</w:t>
      </w:r>
    </w:p>
    <w:p>
      <w:pPr>
        <w:pStyle w:val="Normal"/>
        <w:widowControl/>
        <w:bidi w:val="0"/>
        <w:spacing w:lineRule="auto" w:line="240" w:before="0" w:after="200"/>
        <w:ind w:left="4535" w:right="0" w:hanging="0"/>
        <w:jc w:val="both"/>
        <w:rPr>
          <w:rFonts w:ascii="Times New Roman" w:hAnsi="Times New Roman" w:cs="Arial"/>
          <w:sz w:val="24"/>
          <w:szCs w:val="24"/>
        </w:rPr>
      </w:pPr>
      <w:r>
        <w:rPr>
          <w:rFonts w:cs="Arial"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Normal"/>
        <w:bidi w:val="0"/>
        <w:jc w:val="both"/>
        <w:rPr>
          <w:rFonts w:ascii="Times New Roman" w:hAnsi="Times New Roman"/>
          <w:sz w:val="24"/>
          <w:szCs w:val="24"/>
        </w:rPr>
      </w:pPr>
      <w:r>
        <w:rPr>
          <w:rFonts w:ascii="Times New Roman" w:hAnsi="Times New Roman"/>
          <w:sz w:val="24"/>
          <w:szCs w:val="24"/>
        </w:rPr>
      </w:r>
    </w:p>
    <w:p>
      <w:pPr>
        <w:pStyle w:val="Rodap"/>
        <w:bidi w:val="0"/>
        <w:jc w:val="center"/>
        <w:rPr>
          <w:rFonts w:ascii="Times New Roman" w:hAnsi="Times New Roman"/>
          <w:sz w:val="24"/>
          <w:szCs w:val="24"/>
        </w:rPr>
      </w:pPr>
      <w:r>
        <w:rPr>
          <w:rFonts w:cs="Arial" w:ascii="Times New Roman" w:hAnsi="Times New Roman"/>
          <w:b/>
          <w:sz w:val="24"/>
          <w:szCs w:val="24"/>
        </w:rPr>
        <w:t>Rio de Janeiro – RJ</w:t>
      </w:r>
    </w:p>
    <w:p>
      <w:pPr>
        <w:pStyle w:val="Rodap"/>
        <w:bidi w:val="0"/>
        <w:spacing w:before="0" w:after="0"/>
        <w:jc w:val="center"/>
        <w:rPr>
          <w:rFonts w:ascii="Times New Roman" w:hAnsi="Times New Roman"/>
          <w:sz w:val="24"/>
          <w:szCs w:val="24"/>
        </w:rPr>
      </w:pPr>
      <w:r>
        <w:rPr>
          <w:rFonts w:cs="Arial" w:ascii="Times New Roman" w:hAnsi="Times New Roman"/>
          <w:b/>
          <w:sz w:val="24"/>
          <w:szCs w:val="24"/>
        </w:rPr>
        <w:t>2025</w:t>
      </w:r>
      <w:r>
        <w:br w:type="page"/>
      </w:r>
    </w:p>
    <w:p>
      <w:pPr>
        <w:pStyle w:val="Normal"/>
        <w:bidi w:val="0"/>
        <w:spacing w:lineRule="auto" w:line="240" w:before="0" w:after="0"/>
        <w:jc w:val="center"/>
        <w:rPr>
          <w:rFonts w:ascii="Times New Roman" w:hAnsi="Times New Roman"/>
          <w:sz w:val="24"/>
          <w:szCs w:val="24"/>
        </w:rPr>
      </w:pPr>
      <w:r>
        <w:rPr>
          <w:rFonts w:eastAsia="NSimSun" w:cs="Arial" w:ascii="Times New Roman" w:hAnsi="Times New Roman"/>
          <w:b/>
          <w:bCs/>
          <w:color w:val="auto"/>
          <w:kern w:val="2"/>
          <w:sz w:val="24"/>
          <w:szCs w:val="24"/>
          <w:lang w:val="pt-BR" w:eastAsia="zh-CN" w:bidi="hi-IN"/>
        </w:rPr>
        <w:t>Modelo de Gestão Contábil para a Inclusão Produtiva e Capacitação de Negócios de Economia Solidária na Infraestrutura Cicloviária de Niterói</w:t>
      </w:r>
    </w:p>
    <w:p>
      <w:pPr>
        <w:pStyle w:val="Normal"/>
        <w:bidi w:val="0"/>
        <w:spacing w:lineRule="auto" w:line="240" w:before="0" w:after="0"/>
        <w:jc w:val="center"/>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righ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right"/>
        <w:rPr>
          <w:rFonts w:ascii="Times New Roman" w:hAnsi="Times New Roman"/>
          <w:sz w:val="24"/>
          <w:szCs w:val="24"/>
        </w:rPr>
      </w:pPr>
      <w:r>
        <w:rPr>
          <w:rFonts w:ascii="Times New Roman" w:hAnsi="Times New Roman"/>
          <w:sz w:val="24"/>
          <w:szCs w:val="24"/>
        </w:rPr>
        <w:t>Jos</w:t>
      </w:r>
      <w:r>
        <w:rPr>
          <w:rFonts w:eastAsia="NSimSun" w:cs="Arial" w:ascii="Times New Roman" w:hAnsi="Times New Roman"/>
          <w:color w:val="auto"/>
          <w:kern w:val="2"/>
          <w:sz w:val="24"/>
          <w:szCs w:val="24"/>
          <w:lang w:val="pt-BR" w:eastAsia="zh-CN" w:bidi="hi-IN"/>
        </w:rPr>
        <w:t>é Eduardo Alves de Carvalho</w:t>
      </w:r>
      <w:r>
        <w:rPr>
          <w:rStyle w:val="Ncoradanotaderodap"/>
          <w:rFonts w:eastAsia="NSimSun" w:cs="Arial" w:ascii="Times New Roman" w:hAnsi="Times New Roman"/>
          <w:color w:val="auto"/>
          <w:kern w:val="2"/>
          <w:sz w:val="24"/>
          <w:szCs w:val="24"/>
          <w:lang w:val="pt-BR" w:eastAsia="zh-CN" w:bidi="hi-IN"/>
        </w:rPr>
        <w:footnoteReference w:id="2"/>
      </w:r>
    </w:p>
    <w:p>
      <w:pPr>
        <w:pStyle w:val="Normal"/>
        <w:bidi w:val="0"/>
        <w:spacing w:lineRule="auto" w:line="240" w:before="0" w:after="0"/>
        <w:jc w:val="right"/>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240" w:before="0" w:after="0"/>
        <w:jc w:val="right"/>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240" w:before="0" w:after="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RESUMO</w:t>
      </w:r>
      <w:r>
        <w:br w:type="page"/>
      </w:r>
    </w:p>
    <w:p>
      <w:pPr>
        <w:pStyle w:val="Normal"/>
        <w:bidi w:val="0"/>
        <w:spacing w:lineRule="auto" w:line="360"/>
        <w:jc w:val="both"/>
        <w:rPr>
          <w:rFonts w:ascii="Times New Roman" w:hAnsi="Times New Roman"/>
          <w:sz w:val="24"/>
          <w:szCs w:val="24"/>
        </w:rPr>
      </w:pPr>
      <w:r>
        <w:rPr>
          <w:rFonts w:ascii="Times New Roman" w:hAnsi="Times New Roman"/>
          <w:b/>
          <w:bCs/>
          <w:sz w:val="24"/>
          <w:szCs w:val="24"/>
        </w:rPr>
        <w:t>1 - INTRODUÇÃO</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ab/>
        <w:t>A infraestrutura urbana, como as ciclovias, desempenha um papel crescente no desenvolvimento social e econômico das cidades (BALBIM, p. 149), (VOLKER, p. 2), fomentando a mobilidade ativa, a saúde pública (LITMAN, p. 20) e, potencialmente, novas oportunidades de negócios (idem, p. 35) (WRI BRASI). No município de Niterói, a expansão da infraestrutura cicloviária oferece um contexto propício para o desenvolvimento de iniciativas de economia solidária (ES) que podem se beneficiar desse novo espaço para geração de trabalho e renda (RANGEL, p. 21). A Economia Solidária apresenta-se como uma proposta de trabalho para ultrapassar essa lógica capitalista (idem, p. 9), tendo como princípio a “organização social e econômica que é caracterizado pela autogestão, solidariedade e consumo solidário” (BARBOSA, p. 17). É “o conjunto das atividades, sob diversos formatos</w:t>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organizacionais, que contribui para a democratização econômica a partir do engajamento de grupos de indivíduos” (SILVA, p.8).</w:t>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ab/>
        <w:t>Apesar do potencial da economia solidária para promover a inclusão produtiva e o desenvolvimento local, os empreendimentos solidários frequentemente enfrentam desafios na sua gestão, incluindo a área contábil e financeira (CARNEIRO et all, p. 10). A dificuldade de acesso a crédito (idem p. 7) e a necessidade de assessoria técnica e gerencial são apontadas como questões estruturais para estes empreendimentos (DIEESE, p. 9). Nesse sentido, torna-se relevante investigar como a ciência contábil pode oferecer um modelo de gestão que apoie o desenvolvimento e a sustentabilidade de negócios de economia solidária inseridos na infraestrutura cicloviária de Niterói.</w:t>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ab/>
        <w:t xml:space="preserve">Diante desse contexto, o presente artigo tem como objetivo geral propor um modelo de gestão contábil para a inclusão produtiva e a capacitação de negócios de economia solidária na infraestrutura cicloviária de Niterói. </w:t>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ab/>
        <w:t>A justificativa para esta pesquisa reside na importância da contabilidade como ferramenta de apoio à organização financeira, tomada de decisões e sustentabilidade de novos empreendimentos sociais nos moldes da Economia Solidária, com seus princípios de autogestão, solidariedade e cooperação. O que demanda modelos de gestão que estejam alinhados com esses valores e que considerem as particularidades desses empreendimentos. Dessa forma, a presente pesquisa busca contribuir para o fortalecimento da ES em Niterói, oferecendo um modelo de gestão contábil que possa ser adaptado às necessidades específicas de negócios vinculados à infraestrutura cicloviária.</w:t>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ab/>
        <w:t>Para tal, o presente artigo seguirá apresentando o referencial teórico, abordando a interface entre a economia solidária, a inclusão produtiva, a gestão contábil (com foco em suas especificidades para empreendimentos solidários) e o contexto da infraestrutura cicloviária como um espaço para o desenvolvimento de novos negócios. Em seguida será apresentada a Análise e Discussão do tema, com o histórico e situação atual da ciclovia e entorno, as oportunidades de inclusão produtiva, os desafios enfrentados por novos empreendedores e a interface com políticas públicas. Finalmente, será apresentada a proposta de modelo contábil e de gestão, procurando colocar o Serviço Federal de Processamento de Dados (SERPRO) como um ente governamental com capacidade para criar um sistema e operacionalizar sua produção, ofertando essa iniciativa aos municípios brasileiros.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2 – REFERENCIAL TEÓRICO</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ascii="Times New Roman" w:hAnsi="Times New Roman"/>
          <w:sz w:val="24"/>
          <w:szCs w:val="24"/>
        </w:rPr>
        <w:tab/>
        <w:t>Este capítulo tem como objetivo apresentar e discutir os principais conceitos e referenciais teóricos que fundamentam esta pesquisa, abordando a interface entre a economia solidária, a inclusão produtiva, a gestão contábil (com foco em suas especificidades para empreendimentos solidários) e o contexto da infraestrutura cicloviária como um espaço para o desenvolvimento de novos negócios em Niterói.</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b/>
          <w:b/>
          <w:bCs/>
          <w:sz w:val="24"/>
          <w:szCs w:val="24"/>
        </w:rPr>
      </w:pPr>
      <w:r>
        <w:rPr>
          <w:rFonts w:ascii="Times New Roman" w:hAnsi="Times New Roman"/>
          <w:b/>
          <w:bCs/>
          <w:sz w:val="24"/>
          <w:szCs w:val="24"/>
        </w:rPr>
        <w:t>2.1 Economia Solidária: Conceitos, Princípios e Histórico no Brasil</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ascii="Times New Roman" w:hAnsi="Times New Roman"/>
          <w:sz w:val="24"/>
          <w:szCs w:val="24"/>
        </w:rPr>
        <w:tab/>
        <w:t xml:space="preserve">A economia solidária pode ser entendida como um campo de práticas sociais e econômicas que buscam formas de organização do trabalho e da produção baseadas na autogestão, cooperação, solidariedade e mutualismo (SILVA </w:t>
      </w:r>
      <w:r>
        <w:rPr>
          <w:rFonts w:ascii="Times New Roman" w:hAnsi="Times New Roman"/>
          <w:sz w:val="24"/>
          <w:szCs w:val="24"/>
        </w:rPr>
        <w:t>1990</w:t>
      </w:r>
      <w:r>
        <w:rPr>
          <w:rFonts w:ascii="Times New Roman" w:hAnsi="Times New Roman"/>
          <w:sz w:val="24"/>
          <w:szCs w:val="24"/>
        </w:rPr>
        <w:t xml:space="preserve">, p. 22). Assim, o campo da economia solidária no Brasil se fundamenta no crescimento das experiências de produção de bens e serviços a partir desse modelo, bem como no fortalecimento da comercialização, consumo, distribuição e finanças solidárias (AZEREDO e FARIA, p. 6). Esse aspecto financeiro, em particular, constitue um ramo específico da economia solidária que busca viabilizar experiências financeiras através de diferentes formatos organizacionais, como fundos rotativos, bancos comunitários e cooperativas de crédito solidário (SILVA </w:t>
      </w:r>
      <w:r>
        <w:rPr>
          <w:rFonts w:ascii="Times New Roman" w:hAnsi="Times New Roman"/>
          <w:sz w:val="24"/>
          <w:szCs w:val="24"/>
        </w:rPr>
        <w:t>1990</w:t>
      </w:r>
      <w:r>
        <w:rPr>
          <w:rFonts w:ascii="Times New Roman" w:hAnsi="Times New Roman"/>
          <w:sz w:val="24"/>
          <w:szCs w:val="24"/>
        </w:rPr>
        <w:t xml:space="preserve">, p. 28). </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Autores como Luís Razeto são importantes para compreender a origem do termo na América Latina, referindo-se a uma economia de solidariedade como um constructo teórico elaborado a partir de experiências econômicas populares organizadas coletivamente, com uma racionalidade diferente de outras, uma “racionalidade especial” (idem, p. 22), que se apresenta como uma proposta para ultrapassar a lógica capitalista de trabalho, buscando modos de trabalhar germinados coletivamente, onde os trabalhadores possam desenvolver seus potenciais (RANGEL, p. 9).</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 xml:space="preserve">A temática da economia solidária ganhou maior inserção no debate social e acadêmico no Brasil a partir da década de 1990. Um marco importante foi a constituição de uma mesa redonda durante o 7o Congresso Nacional da Sociedade Brasileira de Sociologia, em 1995, com o tema Formas de Combate e de Resistência à Pobreza (SILVA </w:t>
      </w:r>
      <w:r>
        <w:rPr>
          <w:rFonts w:ascii="Times New Roman" w:hAnsi="Times New Roman"/>
          <w:sz w:val="24"/>
          <w:szCs w:val="24"/>
        </w:rPr>
        <w:t>1990</w:t>
      </w:r>
      <w:r>
        <w:rPr>
          <w:rFonts w:ascii="Times New Roman" w:hAnsi="Times New Roman"/>
          <w:sz w:val="24"/>
          <w:szCs w:val="24"/>
        </w:rPr>
        <w:t>, p. 22). Outro marco importante, ou o “grande salto” (idem, p.10), foi a criação da Secretaria Nacional de Economia Solidária (Senaes) em 2003, impulsionando uma série de programas e ações de política pública em todo o país. Para assumir tal secretaria, e como reconhecimento de seu importante trabalho, o ent</w:t>
      </w:r>
      <w:r>
        <w:rPr>
          <w:rFonts w:eastAsia="NSimSun" w:cs="Arial" w:ascii="Times New Roman" w:hAnsi="Times New Roman"/>
          <w:color w:val="auto"/>
          <w:kern w:val="2"/>
          <w:sz w:val="24"/>
          <w:szCs w:val="24"/>
          <w:lang w:val="pt-BR" w:eastAsia="zh-CN" w:bidi="hi-IN"/>
        </w:rPr>
        <w:t>ão presidente Lula convidou o economista Paul Singer, que desde 1996 vinha teorizando sobre o modelo de economia solidária (idem, p. 24). Seu trabalho  recuperou e difundiu o conceito de economia solidária, interpretando-o como um "ressurgimento" do ideal de igualdade e democracia na produção proposto pelo movimento operário do século XIX, em particular o cooperativismo de produção (ANDION, p. 99).</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Por</w:t>
      </w:r>
      <w:r>
        <w:rPr>
          <w:rFonts w:eastAsia="NSimSun" w:cs="Arial" w:ascii="Times New Roman" w:hAnsi="Times New Roman"/>
          <w:color w:val="auto"/>
          <w:kern w:val="2"/>
          <w:sz w:val="24"/>
          <w:szCs w:val="24"/>
          <w:lang w:val="pt-BR" w:eastAsia="zh-CN" w:bidi="hi-IN"/>
        </w:rPr>
        <w:t>ém, a consolidação da economia solidária no Brasil enfrenta desafios como a busca por reconhecimento público, necessidade de um novo quadro normativo para o trabalho associado e a oposição de setores tradicionais (MEIRELES et, all, p. 6). Nesse sentido, a</w:t>
      </w:r>
      <w:r>
        <w:rPr>
          <w:rFonts w:ascii="Times New Roman" w:hAnsi="Times New Roman"/>
          <w:sz w:val="24"/>
          <w:szCs w:val="24"/>
        </w:rPr>
        <w:t>utores como Luiz Gaiger (GAIGER, p. 801) apontam para a importância de renovar paradigmas políticos e metodológicos para que a economia solidária não se torne apenas um campo de disputas, mas um espaço de autêntico protagonismo social.</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b/>
          <w:b/>
          <w:bCs/>
          <w:sz w:val="24"/>
          <w:szCs w:val="24"/>
        </w:rPr>
      </w:pPr>
      <w:r>
        <w:rPr>
          <w:rFonts w:ascii="Times New Roman" w:hAnsi="Times New Roman"/>
          <w:b/>
          <w:bCs/>
          <w:sz w:val="24"/>
          <w:szCs w:val="24"/>
        </w:rPr>
        <w:t>2.2 Inclusão Produtiva e a Economia Solidária</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ascii="Times New Roman" w:hAnsi="Times New Roman"/>
          <w:sz w:val="24"/>
          <w:szCs w:val="24"/>
        </w:rPr>
        <w:tab/>
        <w:t xml:space="preserve">A economia solidária é intrinsecamente ligada à ideia de inclusão produtiva, oferecendo oportunidades de trabalho e geração de renda para grupos em situação de vulnerabilidade e exclusão do mercado de trabalho formal (idem, p. 807). Nesse contexto, a Economia Solidária funciona como um </w:t>
      </w:r>
      <w:r>
        <w:rPr>
          <w:rFonts w:ascii="Times New Roman" w:hAnsi="Times New Roman"/>
          <w:i/>
          <w:iCs/>
          <w:sz w:val="24"/>
          <w:szCs w:val="24"/>
        </w:rPr>
        <w:t>paradigma</w:t>
      </w:r>
      <w:r>
        <w:rPr>
          <w:rFonts w:ascii="Times New Roman" w:hAnsi="Times New Roman"/>
          <w:sz w:val="24"/>
          <w:szCs w:val="24"/>
        </w:rPr>
        <w:t xml:space="preserve"> e um </w:t>
      </w:r>
      <w:r>
        <w:rPr>
          <w:rFonts w:ascii="Times New Roman" w:hAnsi="Times New Roman"/>
          <w:i/>
          <w:iCs/>
          <w:sz w:val="24"/>
          <w:szCs w:val="24"/>
        </w:rPr>
        <w:t>campo de atuação</w:t>
      </w:r>
      <w:r>
        <w:rPr>
          <w:rFonts w:ascii="Times New Roman" w:hAnsi="Times New Roman"/>
          <w:sz w:val="24"/>
          <w:szCs w:val="24"/>
        </w:rPr>
        <w:t xml:space="preserve"> dentro do qual a Inclusão Produtiva pode propiciar a experimentação de novas práticas econômicas e desenvolver o espírito comunitário. </w:t>
      </w:r>
      <w:r>
        <w:rPr>
          <w:rFonts w:ascii="Times New Roman" w:hAnsi="Times New Roman"/>
          <w:sz w:val="24"/>
          <w:szCs w:val="24"/>
        </w:rPr>
        <w:t>Nesse sentido</w:t>
      </w:r>
      <w:r>
        <w:rPr>
          <w:rFonts w:ascii="Times New Roman" w:hAnsi="Times New Roman"/>
          <w:sz w:val="24"/>
          <w:szCs w:val="24"/>
        </w:rPr>
        <w:t xml:space="preserve">, os empreendimentos solidários podem servir como base para a implementação de alternativas mais abrangentes de inclusão </w:t>
      </w:r>
      <w:r>
        <w:rPr>
          <w:rFonts w:ascii="Times New Roman" w:hAnsi="Times New Roman"/>
          <w:sz w:val="24"/>
          <w:szCs w:val="24"/>
        </w:rPr>
        <w:t>(SILVA 2018, p. 13) e a</w:t>
      </w:r>
      <w:r>
        <w:rPr>
          <w:rFonts w:ascii="Times New Roman" w:hAnsi="Times New Roman"/>
          <w:sz w:val="24"/>
          <w:szCs w:val="24"/>
        </w:rPr>
        <w:t xml:space="preserve"> organização autogestionária do trabalho, um dos pilares da economia solidária, pode ser vista como uma forma de devolver ao trabalhador parte do que o capitalismo lhe retirou </w:t>
      </w:r>
      <w:r>
        <w:rPr>
          <w:rFonts w:ascii="Times New Roman" w:hAnsi="Times New Roman"/>
          <w:sz w:val="24"/>
          <w:szCs w:val="24"/>
        </w:rPr>
        <w:t>(PAULI et all, p. 96)</w:t>
      </w:r>
      <w:r>
        <w:rPr>
          <w:rFonts w:ascii="Times New Roman" w:hAnsi="Times New Roman"/>
          <w:sz w:val="24"/>
          <w:szCs w:val="24"/>
        </w:rPr>
        <w:t>, promovendo o empoderamento e a participação nas decisões.</w:t>
      </w:r>
    </w:p>
    <w:p>
      <w:pPr>
        <w:pStyle w:val="Normal"/>
        <w:bidi w:val="0"/>
        <w:spacing w:lineRule="auto" w:line="36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Através de experiências práticas, como o cultivo de peixes em tanque rede em Foz do Iguaçu, empreendimentos solidários têm o potencial de oferecer uma alternativa viável para comunidades que enfrentam dificuldades econômicas (BARBOSA, 2016). Esses empreendimentos não apenas promovem a geração de renda, mas também fortalecem os vínculos sociais e a coesão comunitária, fatores fundamentais para o desenvolvimento local (idem, p. 36).</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Importante, ainda, destacar que a inclusão produtiva não se resume apenas à geração de renda, mas também envolve a construção de relações justas e igualitárias, além do fortalecimento da comunidade local (DIEESE, p. 22) e da cidadania (GAIGER, p. 1). Isso ocorre porque a abordagem coletiva e associativa dos EES permite que os trabalhadores se organizem para atender a suas necessidades, contribuindo para uma maior coesão social e desenvolvimento local.</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Um caso interessante de inclus</w:t>
      </w:r>
      <w:r>
        <w:rPr>
          <w:rFonts w:eastAsia="NSimSun" w:cs="Arial" w:ascii="Times New Roman" w:hAnsi="Times New Roman"/>
          <w:color w:val="auto"/>
          <w:kern w:val="2"/>
          <w:sz w:val="24"/>
          <w:szCs w:val="24"/>
          <w:lang w:val="pt-BR" w:eastAsia="zh-CN" w:bidi="hi-IN"/>
        </w:rPr>
        <w:t xml:space="preserve">ão através da economia solidária é a experiência de incubadoras de empreendimentos solidários, como as experiências desenvolvidas pelas Incubadoras Universitárias de Cooperativas Populares (ITCP´s) – apoiadas através do Programa Nacional de Incubadoras de Cooperativas Populares (Proninc) (VARANDA, p. 27). Segundo essa autora, “a incubação e apoio a empreendimentos solidários é uma metodologia de ensino, aprendizagem e transferência de tecnologia de gestão para a criação de empreendimentos, valorizando a autogestão e a inclusão social. O processo envolve a dimensão do letramento e acesso ao conhecimento e tecnologia” (idem, p. 28). </w:t>
      </w:r>
    </w:p>
    <w:p>
      <w:pPr>
        <w:pStyle w:val="Normal"/>
        <w:bidi w:val="0"/>
        <w:spacing w:lineRule="auto" w:line="36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ab/>
        <w:t>Finalmente, vale destacar que a economia solidária contribui para a segurança alimentar e a saúde pública, operando em setores como agricultura e serviços de saúde, onde cooperativas têm demonstrado eficácia em garantir o acesso a alimentos e cuidados essenciais (UN,  p. 5). Na Espanha, a aliança Mondragon Health e, na Itália, a Associated Health-care Workers (uma cooperativa de Trabalhadores da Saúde) fornecem serviços e soluções e desenvolvem produtos, contribuindo para a redução da fome e da desnutrição e aumentando a soberania alimentar, através do desenvolvimento de comunidades mais saudáveis (idem, ibidem).</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b/>
          <w:b/>
          <w:bCs/>
          <w:sz w:val="24"/>
          <w:szCs w:val="24"/>
        </w:rPr>
      </w:pPr>
      <w:r>
        <w:rPr>
          <w:rFonts w:ascii="Times New Roman" w:hAnsi="Times New Roman"/>
          <w:b/>
          <w:bCs/>
          <w:sz w:val="24"/>
          <w:szCs w:val="24"/>
        </w:rPr>
        <w:t>2.3 Gestão Contábil em Empreendimentos de Economia Solidária: Contabilidade Social e Comunitária</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ascii="Times New Roman" w:hAnsi="Times New Roman"/>
          <w:sz w:val="24"/>
          <w:szCs w:val="24"/>
        </w:rPr>
        <w:tab/>
        <w:t>A gestão em empreendimentos de economia solidária difere das empresas tradicionais com foco na maximização do lucro. A autogestão implica em processos decisórios coletivos e na necessidade de transparência nas informações financeiras. A contabilidade, neste contexto, assume um papel crucial no apoio à tomada de decisões que considerem não apenas os aspectos econômicos, mas também os sociais e ambientais.</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Contabilidade Social e Comunitária: Uma abordagem de contabilidade social ou comunitária é mais adequada para os empreendimentos de economia solidária, buscando contemplar suas peculiaridades e utilizar uma linguagem acessível aos seus membros. Essa perspectiva visa o empoderamento do grupo, permitindo que os atores envolvidos compreendam as informações financeiras e participem ativamente da gestão. Diferentemente da contabilidade gerencial tradicional, que pressupõe a racionalidade do tomador de decisão em um contexto de maximização do lucro, a contabilidade social busca reconstruir o referencial teórico para atender às complexas relações envolvidas na realidade da economia solidária.</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Ferramentas e Referenciais: Existem iniciativas para desenvolver referenciais de análise financeira específicos para empreendimentos de economia solidária, como o Referencial Brasileiro para Análise de Empreendimentos de Economia Solidária. A experiência das incubadoras tecnológicas de economia solidária (ITES) também é relevante, pois atuam no desenvolvimento de tecnologias de gestão, incluindo a contabilidade social.</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b/>
          <w:b/>
          <w:bCs/>
          <w:sz w:val="24"/>
          <w:szCs w:val="24"/>
        </w:rPr>
      </w:pPr>
      <w:r>
        <w:rPr>
          <w:rFonts w:ascii="Times New Roman" w:hAnsi="Times New Roman"/>
          <w:b/>
          <w:bCs/>
          <w:sz w:val="24"/>
          <w:szCs w:val="24"/>
        </w:rPr>
        <w:t>2.4 Infraestrutura Cicloviária e Oportunidades de Negócios em Niterói</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rFonts w:ascii="Times New Roman" w:hAnsi="Times New Roman"/>
          <w:sz w:val="24"/>
          <w:szCs w:val="24"/>
        </w:rPr>
      </w:pPr>
      <w:r>
        <w:rPr>
          <w:rFonts w:ascii="Times New Roman" w:hAnsi="Times New Roman"/>
          <w:sz w:val="24"/>
          <w:szCs w:val="24"/>
        </w:rPr>
        <w:tab/>
        <w:t>Ciclovias como Espaço Econômico e Social: A infraestrutura cicloviária em Niterói pode ser vista não apenas como um meio de transporte sustentável e uma forma de promover a saúde, mas também como um espaço econômico e social com potencial para o desenvolvimento de novos negócios. A presença de ciclovias e a priorização de cidades projetadas para pessoas, e não apenas para carros, podem gerar novas oportunidades de negócios [Análise da fonte "Cidade e movimento..." na resposta anterior].</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Potenciais Negócios na Infraestrutura Cicloviária: Ao longo das ciclovias e em áreas com foco na mobilidade ativa, podem surgir diversos empreendimentos de economia solidária, como serviços de aluguel e reparo de bicicletas, cafés e lanchonetes com foco em ciclistas e pedestres, venda de produtos locais e artesanais, entre outros [Análise da fonte "Cidade e movimento..." na resposta anterior]. A gestão contábil desses negócios deve considerar as particularidades da economia solidária e contribuir para sua sustentabilidade e inclusão produtiva dos seus membros.</w:t>
      </w:r>
    </w:p>
    <w:p>
      <w:pPr>
        <w:pStyle w:val="Normal"/>
        <w:bidi w:val="0"/>
        <w:spacing w:lineRule="auto" w:line="360"/>
        <w:jc w:val="both"/>
        <w:rPr>
          <w:rFonts w:ascii="Times New Roman" w:hAnsi="Times New Roman"/>
          <w:sz w:val="24"/>
          <w:szCs w:val="24"/>
        </w:rPr>
      </w:pPr>
      <w:r>
        <w:rPr>
          <w:rFonts w:ascii="Times New Roman" w:hAnsi="Times New Roman"/>
          <w:sz w:val="24"/>
          <w:szCs w:val="24"/>
        </w:rPr>
        <w:tab/>
        <w:t>Contexto de Niterói: É importante contextualizar a análise na realidade do município de Niterói, considerando suas políticas públicas de incentivo à economia solidária e à mobilidade sustentável, bem como as características socioeconômicas da região.</w:t>
      </w:r>
    </w:p>
    <w:p>
      <w:pPr>
        <w:pStyle w:val="Normal"/>
        <w:bidi w:val="0"/>
        <w:spacing w:lineRule="auto" w:line="360"/>
        <w:jc w:val="both"/>
        <w:rPr>
          <w:rFonts w:eastAsia="NSimSun" w:cs="Arial"/>
          <w:b w:val="false"/>
          <w:b w:val="false"/>
          <w:bCs w:val="false"/>
          <w:color w:val="auto"/>
          <w:kern w:val="2"/>
          <w:lang w:val="pt-BR" w:eastAsia="zh-CN" w:bidi="hi-IN"/>
        </w:rPr>
      </w:pPr>
      <w:r>
        <w:rPr>
          <w:rFonts w:eastAsia="NSimSun" w:cs="Arial"/>
          <w:b w:val="false"/>
          <w:bCs w:val="false"/>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4. Análise e Discussão</w:t>
      </w:r>
    </w:p>
    <w:p>
      <w:pPr>
        <w:pStyle w:val="Normal"/>
        <w:bidi w:val="0"/>
        <w:spacing w:lineRule="auto" w:line="360"/>
        <w:jc w:val="both"/>
        <w:rPr>
          <w:rFonts w:eastAsia="NSimSun" w:cs="Arial"/>
          <w:b w:val="false"/>
          <w:b w:val="false"/>
          <w:bCs w:val="false"/>
          <w:color w:val="auto"/>
          <w:kern w:val="2"/>
          <w:lang w:val="pt-BR" w:eastAsia="zh-CN" w:bidi="hi-IN"/>
        </w:rPr>
      </w:pPr>
      <w:r>
        <w:rPr>
          <w:rFonts w:eastAsia="NSimSun" w:cs="Arial"/>
          <w:b w:val="false"/>
          <w:bCs w:val="false"/>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4.1 Histórico e situação atual da ciclovia e entorno</w:t>
      </w:r>
    </w:p>
    <w:p>
      <w:pPr>
        <w:pStyle w:val="Normal"/>
        <w:bidi w:val="0"/>
        <w:spacing w:lineRule="auto" w:line="360"/>
        <w:jc w:val="both"/>
        <w:rPr>
          <w:rFonts w:eastAsia="NSimSun" w:cs="Arial"/>
          <w:b w:val="false"/>
          <w:b w:val="false"/>
          <w:bCs w:val="false"/>
          <w:color w:val="auto"/>
          <w:kern w:val="2"/>
          <w:lang w:val="pt-BR" w:eastAsia="zh-CN" w:bidi="hi-IN"/>
        </w:rPr>
      </w:pPr>
      <w:r>
        <w:rPr>
          <w:rFonts w:eastAsia="NSimSun" w:cs="Arial"/>
          <w:b w:val="false"/>
          <w:bCs w:val="false"/>
          <w:color w:val="auto"/>
          <w:kern w:val="2"/>
          <w:lang w:val="pt-BR" w:eastAsia="zh-CN" w:bidi="hi-IN"/>
        </w:rPr>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A infraestrutura cicloviária do município de Niterói tem se expandido significativamente nos últimos anos, configurando-se como um importante elemento do planejamento urbano e da mobilidade ativa na cidade [inferência baseada no tema do TCC e na relevância crescente de ciclovias em contextos urbanos, informação a ser corroborada com fontes específicas sobre urbanismo, se necessário]. Essa expansão reflete uma crescente preocupação com a sustentabilidade e a qualidade de vida dos cidadãos, buscando integrar diferentes modais de transporte e incentivar práticas saudáveis [inferência].</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No contexto do desenvolvimento local de Niterói, a infraestrutura cicloviária pode ser vista como um espaço estratégico para o fomento de atividades econômicas, especialmente aquelas ligadas à economia solidária e ao empreendedorismo social. A presença de ciclistas e de um fluxo potencial de pessoas ao longo das ciclovias cria oportunidades para o surgimento de negócios de apoio, serviços e comércio que podem ser organizados sob os princípios da cooperação e da autogestão [inferência baseada na proposta do TCC].</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O município de Niterói demonstra uma preocupação em promover o desenvolvimento social e sustentável através da economia solidária [ver "ECONOMIA SOLIDÁRIA - DESENVOLVIMENTO SOCIAL E SUSTENTÁVEL DO MUNICÍPIO DE NITERÓ.pdf"]. Nesse sentido, a infraestrutura cicloviária pode ser integrada às estratégias municipais de apoio a projetos sociais e sustentáveis, visando melhorar a qualidade de vida, o meio ambiente e a segurança dos niteroienses.</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A situação atual da ciclovia e seu entorno em Niterói apresenta um cenário em desenvolvimento. É importante analisar:</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A extensão e a localização das ciclovias existentes, identificando as áreas da cidade que já contam com essa infraestrutura e aquelas onde há potencial para expansão.</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As características do entorno das ciclovias, como a presença de espaços públicos, áreas de lazer, comércio e residências, que podem influenciar o tipo de atividades econômicas que podem surgir.</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O perfil dos usuários da ciclovia, incluindo seus hábitos, necessidades e demandas, que podem orientar o desenvolvimento de negócios e serviços.</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A existência de iniciativas de economia solidária já presentes ou com potencial de se desenvolverem ao longo da infraestrutura cicloviária.</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Para uma análise mais aprofundada, seria relevante investigar se o município de Niterói possui planos de planejamento urbano que integrem a infraestrutura cicloviária com o desenvolvimento econômico e social local, e se há alguma regulamentação específica que possa influenciar o surgimento de empreendimentos na área [inferência].</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ab/>
        <w:t>A partir deste panorama inicial, as próximas subseções poderão explorar as oportunidades de inclusão produtiva e os desafios enfrentados por novos empreendedores nesse contexto, culminando na proposta de um modelo contábil e de gestão adequado.</w:t>
      </w:r>
    </w:p>
    <w:p>
      <w:pPr>
        <w:pStyle w:val="Normal"/>
        <w:bidi w:val="0"/>
        <w:spacing w:lineRule="auto" w:line="360"/>
        <w:jc w:val="both"/>
        <w:rPr>
          <w:rFonts w:eastAsia="NSimSun" w:cs="Arial"/>
          <w:b w:val="false"/>
          <w:b w:val="false"/>
          <w:bCs w:val="false"/>
          <w:color w:val="auto"/>
          <w:kern w:val="2"/>
          <w:lang w:val="pt-BR" w:eastAsia="zh-CN" w:bidi="hi-IN"/>
        </w:rPr>
      </w:pPr>
      <w:r>
        <w:rPr>
          <w:rFonts w:eastAsia="NSimSun" w:cs="Arial"/>
          <w:b w:val="false"/>
          <w:bCs w:val="false"/>
          <w:color w:val="auto"/>
          <w:kern w:val="2"/>
          <w:lang w:val="pt-BR" w:eastAsia="zh-CN" w:bidi="hi-IN"/>
        </w:rPr>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Próximos passos:</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Para enriquecer esta seção, seria ideal buscar fontes de informação específicas sobre:</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O histórico do desenvolvimento da malha cicloviária de Niterói.</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Dados estatísticos sobre a extensão das ciclovias, sua localização e o perfil dos usuários.</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Documentos de planejamento urbano do município que mencionem a infraestrutura cicloviária.</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w:t>
      </w:r>
    </w:p>
    <w:p>
      <w:pPr>
        <w:pStyle w:val="Normal"/>
        <w:bidi w:val="0"/>
        <w:spacing w:lineRule="auto" w:line="360"/>
        <w:jc w:val="both"/>
        <w:rPr>
          <w:rFonts w:ascii="Times New Roman" w:hAnsi="Times New Roman"/>
          <w:sz w:val="24"/>
          <w:szCs w:val="24"/>
        </w:rPr>
      </w:pPr>
      <w:r>
        <w:rPr>
          <w:rFonts w:eastAsia="NSimSun" w:cs="Arial" w:ascii="Times New Roman" w:hAnsi="Times New Roman"/>
          <w:b w:val="false"/>
          <w:bCs w:val="false"/>
          <w:color w:val="auto"/>
          <w:kern w:val="2"/>
          <w:sz w:val="24"/>
          <w:szCs w:val="24"/>
          <w:lang w:val="pt-BR" w:eastAsia="zh-CN" w:bidi="hi-IN"/>
        </w:rPr>
        <w:t>Informações sobre projetos de economia solidária que já atuam ou têm potencial para atuar nas proximidades das ciclovias em Niterói.</w:t>
      </w:r>
    </w:p>
    <w:p>
      <w:pPr>
        <w:pStyle w:val="Normal"/>
        <w:bidi w:val="0"/>
        <w:spacing w:lineRule="auto" w:line="360"/>
        <w:jc w:val="both"/>
        <w:rPr>
          <w:rFonts w:eastAsia="NSimSun" w:cs="Arial"/>
          <w:b w:val="false"/>
          <w:b w:val="false"/>
          <w:bCs w:val="false"/>
          <w:color w:val="auto"/>
          <w:kern w:val="2"/>
          <w:lang w:val="pt-BR" w:eastAsia="zh-CN" w:bidi="hi-IN"/>
        </w:rPr>
      </w:pPr>
      <w:r>
        <w:rPr>
          <w:rFonts w:eastAsia="NSimSun" w:cs="Arial"/>
          <w:b w:val="false"/>
          <w:bCs w:val="false"/>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4.2 Oportunidades de inclusão produtiva</w:t>
      </w:r>
    </w:p>
    <w:p>
      <w:pPr>
        <w:pStyle w:val="Normal"/>
        <w:bidi w:val="0"/>
        <w:spacing w:lineRule="auto" w:line="360"/>
        <w:jc w:val="both"/>
        <w:rPr>
          <w:rFonts w:eastAsia="NSimSun" w:cs="Arial"/>
          <w:b w:val="false"/>
          <w:b w:val="false"/>
          <w:bCs w:val="false"/>
          <w:color w:val="auto"/>
          <w:kern w:val="2"/>
          <w:lang w:val="pt-BR" w:eastAsia="zh-CN" w:bidi="hi-IN"/>
        </w:rPr>
      </w:pPr>
      <w:r>
        <w:rPr>
          <w:rFonts w:eastAsia="NSimSun" w:cs="Arial"/>
          <w:b w:val="false"/>
          <w:bCs w:val="false"/>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A infraestrutura cicloviária de Niterói, ao se consolidar como um espaço de mobilidade e convivência, apresenta um leque significativo de oportunidades para a inclusão produtiva, especialmente quando articulada com os princípios e práticas da Economia Solidária (ES). A ES, em sua essência, configura-se como uma alternativa para a geração de trabalho e renda, buscando inclusão social e desenvolvimento territorial.</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Nesse contexto, o entorno das ciclovias pode se tornar um palco para o desenvolvimento de diversos empreendimentos de economia solidária, capazes de atender às necessidades dos ciclistas e da comunidade local, gerando, ao mesmo tempo, renda e promovendo valores como a cooperação e a autogestão. Algumas oportunidades potenciais incluem:</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Serviços de apoio à mobilidade: Oficinas de bicicletas comunitárias para manutenção e reparos, pontos de aluguel de bicicletas, bicicletários com serviços adicionais (peças, acessórios) [inferência baseada no uso da infraestrutura cicloviária]. Estes empreendimentos podem ser organizados de forma coletiva, oferecendo trabalho para moradores locais.</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Comércio local e alimentação saudável: Quiosques ou pequenos estabelecimentos que ofereçam alimentos saudáveis, bebidas, frutas e produtos locais, incentivando o consumo consciente e a valorização da produção da região [inferência]. Grupos de produtores da agricultura familiar e artesãos podem se beneficiar desses espaços para comercialização.</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Artesanato e economia criativa: Exposição e venda de artesanato local, produtos reciclados ou reutilizados, fomentando a economia criativa e a identidade cultural da comunidade.</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Serviços de bem-estar e lazer: Pequenos negócios que ofereçam serviços como massagem rápida para ciclistas, aluguel de equipamentos de lazer (patinetes, skates), ou organização de atividades culturais e de lazer ao longo da ciclovia [inferência].</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A efetivação dessas oportunidades pode ser catalisada pelo apoio de entidades de apoio e fomento (EAF) à ES, como as Incubadoras Tecnológicas de Cooperativas Populares (ITCPs), ligadas a instituições de ensino superior. As ITCPs oferecem assessoria técnica e de gestão para a formação e consolidação de empreendimentos solidários, além de promoverem a capacitação dos trabalhadores. A articulação com políticas públicas de geração de trabalho e renda também se mostra fundamental para o desenvolvimento dessas iniciativas, como o apoio a espaços de comercialização e a facilitação do acesso a crédito.</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A experiência de outros locais, como mencionado na fonte sobre o Paraná, com programas de desenvolvimento produtivo local, demonstra o potencial de iniciativas focadas no fortalecimento do empreendedorismo local. A aplicação de metodologias de incubação e o desenvolvimento de tecnologias sociais podem ser ferramentas valiosas para apoiar a criação e a sustentabilidade desses negócios de economia solidária no contexto da infraestrutura cicloviária de Niterói.</w:t>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val="false"/>
          <w:bCs w:val="false"/>
          <w:color w:val="auto"/>
          <w:kern w:val="2"/>
          <w:sz w:val="24"/>
          <w:szCs w:val="24"/>
          <w:lang w:val="pt-BR" w:eastAsia="zh-CN" w:bidi="hi-IN"/>
        </w:rPr>
        <w:tab/>
        <w:t>Para que essas oportunidades de inclusão produtiva se concretizem de forma efetiva e sustentável, é importante considerar os desafios que novos empreendedores podem enfrentar, tema que será abordado na próxima subseção.</w:t>
      </w:r>
    </w:p>
    <w:p>
      <w:pPr>
        <w:pStyle w:val="Normal"/>
        <w:bidi w:val="0"/>
        <w:spacing w:lineRule="auto" w:line="360"/>
        <w:jc w:val="both"/>
        <w:rPr>
          <w:rFonts w:eastAsia="NSimSun" w:cs="Arial"/>
          <w:b/>
          <w:b/>
          <w:bCs/>
          <w:color w:val="auto"/>
          <w:kern w:val="2"/>
          <w:lang w:val="pt-BR" w:eastAsia="zh-CN" w:bidi="hi-IN"/>
        </w:rPr>
      </w:pPr>
      <w:r>
        <w:rPr>
          <w:rFonts w:eastAsia="NSimSun" w:cs="Arial"/>
          <w:b/>
          <w:bCs/>
          <w:color w:val="auto"/>
          <w:kern w:val="2"/>
          <w:lang w:val="pt-BR" w:eastAsia="zh-CN" w:bidi="hi-IN"/>
        </w:rPr>
      </w:r>
    </w:p>
    <w:p>
      <w:pPr>
        <w:pStyle w:val="Normal"/>
        <w:bidi w:val="0"/>
        <w:spacing w:lineRule="auto" w:line="360"/>
        <w:jc w:val="both"/>
        <w:rPr>
          <w:rFonts w:ascii="Times New Roman" w:hAnsi="Times New Roman"/>
          <w:sz w:val="24"/>
          <w:szCs w:val="24"/>
        </w:rPr>
      </w:pPr>
      <w:r>
        <w:rPr>
          <w:rFonts w:eastAsia="NSimSun" w:cs="Arial" w:ascii="Times New Roman" w:hAnsi="Times New Roman"/>
          <w:b/>
          <w:bCs/>
          <w:color w:val="auto"/>
          <w:kern w:val="2"/>
          <w:sz w:val="24"/>
          <w:szCs w:val="24"/>
          <w:lang w:val="pt-BR" w:eastAsia="zh-CN" w:bidi="hi-IN"/>
        </w:rPr>
        <w:t>4.3 Desafios enfrentados por novos empreendedores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Embora a infraestrutura cicloviária de Niterói possa apresentar oportunidades significativas para a inclusão produtiva, novos empreendedores, especialmente aqueles inseridos na Economia Solidária (ES), frequentemente se deparam com uma série de desafios estruturais e conjunturais. Estes desafios podem dificultar a criação, o desenvolvimento e a sustentabilidade de seus empreendimentos.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Desafios Estruturais e de Gestão: Acesso limitado a capital (crédito e financiamento): Empreendimentos de ES frequentemente enfrentam dificuldades para acessar linhas de crédito e financiamento adequadas às suas necessidades, devido a exigências de garantias, burocracia excessiva e falta de linhas de crédito específicas. A informalidade de muitos desses empreendimentos agrava essa situação. Mesmo as Entidades de Finanças Solidárias (EFS) enfrentam dificuldades para obter crédito para investir em suas estruturas operacionais.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Dificuldades de comercialização: A inserção e a sustentabilidade no mercado representam um grande obstáculo. Muitos empreendimentos relatam dificuldades como falta de capital de giro, estrutura inadequada para a comercialização, custos de transporte elevados e a concorrência de intermediários.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Acesso limitado a conhecimentos e assessoria técnica: A ausência de assessoria técnica no desenvolvimento de suas atividades é uma dificuldade significativa. A diversidade de situações e a falta de "receituários gerais de gestão" dificultam o apoio eficaz. Apesar da atuação das Incubadoras Tecnológicas de Cooperativas Populares (ITCPs) e outras Entidades de Apoio e Fomento (EAFs), o alcance ainda é limitado.</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Desafios na gestão autogestionária: Conciliar a gestão administrativa e financeira com os princípios da autogestão pode ser complexo. A falta de experiência em gestão de negócios é comum entre os trabalhadores da ES. Entrosar o grupo, coordenar diferentes ideias e manter a união e a participação são desafios constantes.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Formalização: Atender aos requisitos de documentação e manter a formalização, devido aos encargos tributários, pode ser um entrave.</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Competição: Em muitos mercados, a competição é acirrada, e os novos empreendimentos podem ter dificuldades para se destacar, especialmente competindo com negócios capitalistas mais estabelecidos.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Infraestrutura e tecnologia: O padrão tecnológico modesto e a carência de recursos para modernização são desafios comuns.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 xml:space="preserve">Desafios Contextuais e de Mercado: </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Crises econômicas e do trabalho: A crise estrutural do mercado de trabalho impulsiona muitos à ES, mas a instabilidade econômica geral pode afetar a viabilidade dos empreendimentos. A pandemia de COVID-19 também agravou as dificuldades enfrentadas.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Influências da lógica capitalista: Compreender e resistir à lógica do mercado capitalista pode ser um desafio para os membros dos empreendimentos de ES, que podem tender a priorizar o lado financeiro em detrimento dos princípios solidários.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Burocracia excessiva e insegurança jurídica: A burocracia pode dificultar a criação e o funcionamento de empresas, incluindo os empreendimentos de ES.</w:t>
        <w:tab/>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Falta de apoio e reconhecimento do poder público: Alguns empreendedores podem sentir falta de apoio da prefeitura ou de outros órgãos públicos, como na divulgação de seus trabalhos e em incentivos fiscais.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Informalidade e precariedade: Muitos novos empreendimentos operam na informalidade, o que dificulta o acesso a apoios e direitos trabalhistas. A linha entre a permanência no empreendimento, a realização de trabalhos informais e o desemprego pode ser tênue para muitos trabalhadores.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É importante ressaltar que esses desafios não são exclusivos da economia solidária, sendo também comuns a micro e pequenas empresas em geral. No entanto, as características específicas dos empreendimentos de ES, como a autogestão e a priorização de objetivos sociais sobre o lucro individual, adicionam camadas de complexidade no enfrentamento dessas dificuldades.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Na próxima subseção, poderemos explorar as possíveis estratégias e soluções para mitigar esses desafios e fortalecer os novos empreendimentos de economia solidária no contexto da infraestrutura cicloviária de Niterói.</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4.4 Interface com políticas públicas.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 interface da Economia Solidária (ES) com as políticas públicas é um tema central nas discussões sobre o fortalecimento e a expansão desse modelo de desenvolvimento. As políticas públicas voltadas para a ES são consideradas instrumentos importantes de reflexão e debate sobre a relevância da ES no capitalismo contemporâneo e seu potencial de superação do sistema econômico capitalista.</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O Papel do Estado e a Criação de Políticas Públicas: O avanço da ES requer que essa questão seja assimilada pelas instituições políticas e se reflita na conduta do Estado e nas opções de governo. No Brasil, isso se verificou crescentemente no âmbito local, por meio de políticas municipais. A criação da Secretaria Nacional de Economia Solidária (SENAES) ilustra o reconhecimento da ES como um domínio de política pública relativamente recente na agenda do governo federal. As políticas de economia solidária inauguraram no Brasil uma nova proposta de ação pública na geração de trabalho e renda, incluindo oficialmente o trabalho associativo como uma estratégia para enfrentar o desemprego e viabilizar projetos de desenvolvimento local.</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Mecanismos de Participação Social: Um elemento central na institucionalização da ES na agenda governamental é a questão da participação social em seus processos deliberativos. Diferentes Instituições de Deliberação Participativa (IDP) surgiram no âmbito do governo federal para propor e acompanhar as políticas públicas de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O Conselho Nacional de Economia Solidária (CNES) foi criado como um espaço de interlocução e busca de consensos em torno de políticas e ações de fortalecimento da ES, integrando representantes de diferentes esferas de governo, Empreendimentos Econômicos Solidários (EES) e organizações da sociedade civil.</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As Conferências Nacionais de Economia Solidária (Conaes) também se destacam como espaços ampliados de discussão sobre as prioridades da ação governamental em torno da temática, com três edições ocorridas em 2006, 2010 e 2014. As Conaes são consideradas momentos-síntese na construção de uma agenda política nacional para a ES, baseada na mobilização interativa entre atores sociais e estatais. A III Conaes, por exemplo, teve como foco a construção de um Plano Nacional de Economia Solidária (PNES).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 Economia Solidária na Agenda Governamental e no Orçamento: A inserção da ES na agenda governamental também se deu por meio de sua inclusão no Plano Plurianual (PPA), como o Programa Economia Solidária em Desenvolvimento (PESD). O orçamento público é um instrumento de gestão crucial que reflete as prioridades e a importância relativa da política de ES no campo estratégico mais amplo das políticas sociais. A análise da destinação e execução orçamentária da política de ES ao longo dos diferentes PPAs (2004-2007, 2008-2011, 2012-2015 e 2016-2019) revela diferentes momentos na trajetória da política, desde a inserção e consolidação até uma "crise de paradigma".</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Natureza Transversal das Políticas de ES:As políticas públicas de ES são consideradas de natureza transversal, mobilizando questões que vão além dos aspectos econômicos, como geração de renda, afirmação de identidades culturais, preservação ambiental e protagonismo local. Isso implica a necessidade de articulação governamental entre diferentes pastas setoriais.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Instrumentos e Ações de Políticas Públicas: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Diversas ações e instrumentos foram implementados no âmbito das políticas públicas de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Fomento ao Comércio Justo e Solidário (CJS): O CJS entrou oficialmente na agenda de políticas públicas federais e foi incluído no PPA 2004-2007. A SENAES colaborou para a criação de espaços de interlocução, como o Grupo de Trabalho de Produção, Comercialização e Consumo Solidário (GT-PCCS), visando promover uma política nacional para o CJS.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Apoio à Comercialização: Após o primeiro mapeamento nacional de EES, a comercialização foi identificada como um dos maiores desafios, reforçando a importância do tema do CJS nas políticas públicas de ES. Foram realizadas feiras e mostras de produtos solidários em diversas escalas geográficas e criados espaços de comercialização.</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Sistema de Informações em Economia Solidária (Sies): O Sies foi implementado como ferramenta para o diagnóstico e acompanhamento dos EES.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Incubadoras Tecnológicas de Cooperativas Populares (ITCPs): As ITCPs, historicamente atreladas ao movimento de ES, atuam no desenvolvimento de assessorias, ações de formação e articulação com políticas públicas mais amplas de enfrentamento às desigualdades sociais. O Proninc buscou gerar interfaces com outras políticas federais de combate às desigualdades sociais por meio do apoio às incubadoras.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Linhas de Crédito: O movimento social no campo da ES demanda o lançamento de novas linhas de crédito acessíveis aos EES para romper com a deficiência estrutural de financiamento.</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Desafios e Perspectivas: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b/>
        <w:t>Apesar dos avanços, a política de ES enfrentou desafios, incluindo dificuldades de execução orçamentária e uma "crise de paradigma" que gerou incertezas quanto à sua continuidade na agenda governamental. O momento atual é marcado por uma perda de relevância das estruturas de deliberação participativa e por riscos de descontinuidade para a política de ES devido a questões orçamentárias. No entanto, a Economia Solidária continua a ser vista como uma importante estratégia para a geração de trabalho e renda e para a promoção de um desenvolvimento mais justo e sustentável, com o potencial de influenciar as políticas de Ciência e Tecnologia. A colaboração entre diferentes níveis de governo e a participação da sociedade civil são cruciais para enfrentar os desafios e construir cidades mais sustentáveis e justas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4.5 Proposta de modelo contábil e de gestão</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Um modelo de gestão para empreendimentos de ES deve integrar as dimensões econômica, social e política, reconhecendo que a busca por excedente financeiro está condicionada ao interesse geral dos associados e a um retorno social. A gestão coletiva e democrática é fundamental para equilibrar a produção de excedente com os objetivos sociais.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Considerando os desafios enfrentados por novos empreendedores da ES, como o acesso limitado a capital e dificuldades de comercialização, um modelo contábil e de gestão eficaz deve contemplar:</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Ferramentas de controle financeiro: É crucial que o modelo permita um acompanhamento detalhado das receitas e despesas, auxiliando na tomada de decisões financeiras mais informadas. A falta de registros contábeis oficiais é uma carência que afeta a caracterização da ES no Brasil, tornando essencial a implementação de sistemas de registro robustos.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Planejamento orçamentário: A elaboração de previsões orçamentárias é importante para o planejamento financeiro e para a sustentabilidade dos empreendimentos. O modelo pode se inspirar em guias para análise de empreendimentos de economia social, como o referencial do Quebec, que detalha a necessidade de calcular o financiamento necessário e as fontes de recursos.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Gestão do capital de giro: Dada a dificuldade de acesso a crédito e a falta de capital de giro relatada por muitos empreendimentos, o modelo deve incluir estratégias para gerenciar eficientemente o capital de giro, essencial para as operações diárias.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Avaliação do desempenho econômico e social: O modelo deve incorporar a identificação e o monitoramento de indicadores que avaliem não apenas o sucesso financeiro, mas também o impacto social do empreendimento. A construção desses indicadores deve considerar os valores e objetivos sociais da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Facilitação do acesso a financiamento: Embora o acesso a bancos privados seja limitado, o modelo pode auxiliar na preparação de informações financeiras que possam ser utilizadas na busca por linhas de crédito adequadas a empreendimentos solidários, como aquelas oferecidas por Entidades de Finanças Solidárias (EFS). A experiência do Banco Palmas demonstra a viabilidade de iniciativas financeiras de proximidade.</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Estratégias de comercialização: O modelo pode integrar ferramentas para analisar custos de produção e transporte, bem como estratégias para a participação em redes de comercialização solidária, incluindo feiras e outros espaços de articulação.</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Fomento à autogestão: A capacitação em gestão contábil deve ser um componente central do modelo, fortalecendo as habilidades de gestão dos membros dos empreendimentos e promovendo maior autonomia. Essa capacitação deve considerar as particularidades da autogestão na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É importante que este modelo seja especificamente adaptado às particularidades da Economia Solidária, evitando a aplicação direta de técnicas de gestão do setor privado sem as devidas adaptações. As particularidades da gestão na ES incluem a dimensão social e os desafios da autogestão e da cooperação.</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 implementação deste modelo pode se beneficiar do apoio de Incubadoras Tecnológicas de Cooperativas Populares (ITCPs) e outras Entidades de Apoio e Fomento (EAFs), que podem oferecer assessoria técnica e auxiliar no desenvolvimento de capacidades de gestão nos empreendimentos. A colaboração com órgãos públicos e organizações da sociedade civil também é fundamental para o sucesso dos projetos de planejamento regional e para atender às reais necessidades da população.</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Considerando a fragilidade institucional e as limitações orçamentárias que podem afetar as políticas de economia solidária, é crucial que o modelo proposto também vise a construção de sustentabilidade a longo prazo para os empreendimentos, reduzindo a dependência de recursos externos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5. Considerações Finais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"Limitações".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Limitações metodológicas: Dada a natureza específica de um estudo de caso voltado para a infraestrutura cicloviária de Niterói, as conclusões podem ter uma aplicabilidade limitada a outros contextos geográficos ou setoriais da Economia Solidária (ES). A particularidade do ambiente da ciclovia e dos tipos de negócios que podem surgir ali podem não ser representativos da diversidade de empreendimentos de ES em geral.</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Disponibilidade e qualidade dos dados: Um estudo sobre gestão contábil para empreendimentos de ES pode enfrentar limitações na disponibilidade de dados contábeis confiáveis e consistentes desses empreendimentos. A fonte "[A gestão no campo da economia solidária - particularidades e desafios.pdf]" e "[o modelo de gestão para novos empreendedores da ES]" mencionam a carência de registros contábeis oficiais na ES brasileira. Em "[INDICADORES PARA A ECONOMIA SOLIDÁRIA - UM ESTUDO DE CASO NO MUNICÍPIO DE SANTA CRUZ DE MINAS-MG.pdf]", observa-se uma limitação na alimentação dos dados por parte dos empreendedores e gestores, o que requer regularidade para conclusões robustas.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Complexidade da gestão na ES: A gestão em organizações de ES possui particularidades, como a necessidade de espaços de reflexão interna e a construção de acordos. Um modelo contábil pode ter dificuldades em capturar plenamente a complexidade dessas dinâmicas sociais e políticas internas, que influenciam a gestão e a sustentabilidade dos empreendimentos.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Interface com políticas públicas: A efetividade de um modelo de gestão contábil também pode ser limitada pela dinâmica e instabilidade das políticas públicas de fomento à ES. O documento "[A política de economia solidária no ciclo orçamentário nacional - inserção, expansão e crise de paradigma.pdf]" detalha as dificuldades de execução orçamentária, a dependência das prioridades da política fiscal e a descontinuidade de ações. Essas incertezas podem impactar a implementação e os resultados dos negócios de ES, independentemente da qualidade de sua gestão contábil.</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Acesso a recursos e financiamento: Mesmo com um modelo de gestão contábil bem estruturado, os empreendimentos de ES frequentemente enfrentam limitações no acesso a crédito e financiamento adequados às suas necessidades. O "[REFERENCIAL BRASILEIRO PARA ANÁLISE DE EMPREENDIMENTOS DE ECONOMIA SOLIDÁRIA.pdf]" busca facilitar esse acesso, mas o problema estrutural de financiamento persiste.</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Natureza transversal da ES: As políticas de ES são transversais, envolvendo diversas áreas. Um estudo focado em gestão contábil para um setor específico (infraestrutura cicloviária) pode ter dificuldade em abordar a totalidade das interfaces e necessidades transversais dos empreendimentos de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Aspectos não quantificáveis: A Economia Solidária envolve princípios como autogestão, cooperação e solidariedade. Um modelo de gestão contábil, por sua natureza, pode ter dificuldade em mensurar e incorporar plenamente esses aspectos qualitativos, que são cruciais para a identidade e o sucesso dos empreendimentos de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Em suma, as limitações de um estudo como o proposto provavelmente envolveriam questões de escopo geográfico e setorial, disponibilidade e qualidade de dados, a complexidade inerente à gestão em ES, a influência do contexto das políticas públicas, desafios de financiamento e a dificuldade de quantificar todos os aspectos relevantes da ES.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b/>
          <w:bCs/>
          <w:sz w:val="24"/>
          <w:szCs w:val="24"/>
        </w:rPr>
      </w:pPr>
      <w:r>
        <w:rPr>
          <w:rFonts w:eastAsia="NSimSun" w:cs="Arial" w:ascii="Times New Roman" w:hAnsi="Times New Roman"/>
          <w:b/>
          <w:bCs/>
          <w:color w:val="auto"/>
          <w:kern w:val="2"/>
          <w:sz w:val="24"/>
          <w:szCs w:val="24"/>
          <w:lang w:val="pt-BR" w:eastAsia="zh-CN" w:bidi="hi-IN"/>
        </w:rPr>
        <w:t>Sugestões para gestores públicos e contadores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Sugestões para Gestores Públicos: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Fortalecimento de políticas públicas de apoio à Economia Solidária (ES): Os gestores públicos poderiam ser incentivados a criar e fortalecer políticas públicas específicas para a ES, reconhecendo sua importância para a inclusão produtiva, geração de renda e desenvolvimento local sustentável. Isso inclui a continuidade e ampliação de programas de apoio e fomento. A criação da Secretaria Nacional de Economia Solidária (SENAES) demonstra o reconhecimento da ES como política pública [ver histórico de políticas de ES]. No entanto, é importante garantir a estabilidade orçamentária e a continuidade dessas políticas [ver discussão sobre desafios orçamentários das políticas de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Apoio à comercialização e acesso a mercados: Dada a dificuldade de inserção em novos mercados e a concorrência dos intermediários, os gestores poderiam ser aconselhados a criar espaços fixos de comercialização solidária dotados de infraestrutura e a ampliar as possibilidades de fornecimento de produtos e serviços da ES nas compras governamentais. O apoio às feiras de economia solidária tem sido uma importante atividade.</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Incentivo à formalização e assessoria técnica: As dificuldades de formalização e a necessidade de assessoria técnica são desafios para os EES. Os gestores públicos poderiam ser encorajados a oferecer suporte para a formalização, desenvolvimento de modelos de gestão e elaboração de planos de negócios e de viabilidade. A assessoria técnica e gerencial, a formação sociopolítica e a qualificação profissional são tipos de apoio importantes.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Facilitação do acesso a crédito e finanças solidárias: O acesso limitado a incentivos fiscais e creditícios é uma questão estrutural. Os gestores poderiam ser estimulados a criar mecanismos que facilitem o acesso a financiamento para a produção e serviços da ES, por meio de parcerias com instituições financeiras públicas, cooperativas de crédito e bancos comunitários. As finanças de proximidade podem favorecer a inclusão financeira.</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Promoção da articulação em rede e do associativismo: As dificuldades de articulação em rede são um desafio. Os gestores poderiam incentivar a criação e o fortalecimento de redes de cooperação entre os empreendimentos de ES. O CEAPE Ana Terra, por exemplo, introduziu a Fiança Solidária, que incrementa os laços pessoais e as práticas de mútua ajuda.</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Fomento à participação social e à autogestão: A efetivação da participação e da autogestão são desafios importantes para os EFS. Os gestores poderiam apoiar iniciativas que promovam a conscientização e a politização dos sócios e que fortaleçam as instâncias de gestão coletiva, como as assembleias gerais.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Consideração das particularidades da Economia Solidária: É importante que os gestores públicos compreendam que a finalidade principal dos empreendimentos solidários não é a obtenção de lucro, mas o interesse coletivo e a base democrática de tomada de decisões. As políticas públicas devem levar em conta essas especificidades.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Sugestões para Contadores: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Desenvolvimento de modelos de gestão contábil adequados à ES: Dada a carência de registros contábeis oficiais na ES brasileira [o modelo de gestão para novos empreendedores da ES], os contadores poderiam ser incentivados a desenvolver e adaptar modelos de gestão contábil que atendam às especificidades dos empreendimentos sociais. Isso inclui instrumentos de controle financeiro, fluxo de caixa, análise de custos, formação de preços e avaliação de resultados.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Incorporação da rentabilidade social e da viabilidade econômico-financeira: Os modelos contábeis para a ES devem integrar a rentabilidade social e a viabilidade econômico-financeira dos empreendimentos, assegurando sua perenidade. O Referencial Brasileiro para Análise de Empreendimentos de Economia Solidária busca integrar esses aspectos.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Facilitação do acesso a informações financeiras e da tomada de decisões: Os contadores podem desempenhar um papel crucial em apoiar a tomada de decisão relativa à realização de investimentos e em estruturar indicadores que permitam o acompanhamento do empreendimento. A contabilidade para a ES deve fornecer informações que orientem decisões de natureza não apenas econômico-financeira, mas também social e solidária.</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Apoio à formação e aprendizagem dos gestores da ES: Os contadores podem contribuir para a formação e aprendizagem dos gestores da ES em relação à gestão financeira e contábil. A oferta de créditos sucessivos pelo CEAPE visava agregar um caráter educativo ao aporte financeiro.</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Consideração dos princípios da ES na prática contábil: Os contadores que trabalham com a ES devem compreender e incorporar os princípios da autogestão, cooperação e solidariedade em suas práticas. A visão empresarial tradicional, focada apenas no êxito do negócio e na acumulação capitalista, pode não ser totalmente adequada à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Adaptação às normas contábeis para pequenos negócios: É importante que os contadores estejam familiarizados com as normas contábeis aplicadas a pequenos negócios e saibam como adaptá-las à realidade da ES.</w:t>
      </w:r>
    </w:p>
    <w:p>
      <w:pPr>
        <w:pStyle w:val="Normal"/>
        <w:bidi w:val="0"/>
        <w:spacing w:lineRule="auto" w:line="360"/>
        <w:jc w:val="both"/>
        <w:rPr>
          <w:rFonts w:ascii="Times New Roman" w:hAnsi="Times New Roman"/>
          <w:b w:val="false"/>
          <w:b w:val="false"/>
          <w:bCs w:val="false"/>
          <w:sz w:val="24"/>
          <w:szCs w:val="24"/>
        </w:rPr>
      </w:pPr>
      <w:r>
        <w:rPr>
          <w:rFonts w:eastAsia="NSimSun" w:cs="Arial" w:ascii="Times New Roman" w:hAnsi="Times New Roman"/>
          <w:b w:val="false"/>
          <w:bCs w:val="false"/>
          <w:color w:val="auto"/>
          <w:kern w:val="2"/>
          <w:sz w:val="24"/>
          <w:szCs w:val="24"/>
          <w:lang w:val="pt-BR" w:eastAsia="zh-CN" w:bidi="hi-IN"/>
        </w:rPr>
        <w:tab/>
        <w:t>Em suma, as sugestões para gestores públicos e contadores provavelmente enfatizariam a necessidade de um apoio mais robusto e específico à Economia Solidária, considerando suas particularidades e potencial para o desenvolvimento social e econômico, e o papel fundamental da gestão contábil como ferramenta para a sustentabilidade e o fortalecimento desses empreendimentos.</w:t>
      </w:r>
    </w:p>
    <w:p>
      <w:pPr>
        <w:pStyle w:val="Normal"/>
        <w:bidi w:val="0"/>
        <w:spacing w:lineRule="auto" w:line="36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360"/>
        <w:jc w:val="both"/>
        <w:rPr>
          <w:rFonts w:ascii="Times New Roman" w:hAnsi="Times New Roman"/>
          <w:sz w:val="24"/>
          <w:szCs w:val="24"/>
        </w:rPr>
      </w:pPr>
      <w:r>
        <w:rPr>
          <w:rFonts w:eastAsia="NSimSun" w:cs="Arial" w:ascii="Times New Roman" w:hAnsi="Times New Roman"/>
          <w:b/>
          <w:bCs/>
          <w:color w:val="auto"/>
          <w:kern w:val="2"/>
          <w:sz w:val="24"/>
          <w:szCs w:val="24"/>
          <w:lang w:val="pt-BR" w:eastAsia="zh-CN" w:bidi="hi-IN"/>
        </w:rPr>
        <w:t>Referências em construção</w:t>
      </w:r>
    </w:p>
    <w:p>
      <w:pPr>
        <w:pStyle w:val="Normal"/>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spacing w:lineRule="auto" w:line="36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bidi w:val="0"/>
        <w:spacing w:lineRule="auto" w:line="240"/>
        <w:jc w:val="both"/>
        <w:rPr/>
      </w:pPr>
      <w:r>
        <w:rPr>
          <w:rFonts w:eastAsia="NSimSun" w:cs="Arial" w:ascii="Times New Roman" w:hAnsi="Times New Roman"/>
          <w:b w:val="false"/>
          <w:bCs w:val="false"/>
          <w:color w:val="auto"/>
          <w:kern w:val="2"/>
          <w:sz w:val="24"/>
          <w:szCs w:val="24"/>
          <w:lang w:val="pt-BR" w:eastAsia="zh-CN" w:bidi="hi-IN"/>
        </w:rPr>
        <w:t>ANDION, C.. A gestão no campo da economia solidária: particularidades e desafios. Revista de Administração Contemporânea, v. 9, n. 1, p. 79–101, jan./mar. 2005. Disponível em: https://www.scielo.br/j/rac/a/VcyJtpt9yjhhDcgP5LDCQVf/. Acesso em: 23 abr. 2025</w:t>
      </w:r>
    </w:p>
    <w:p>
      <w:pPr>
        <w:pStyle w:val="Normal"/>
        <w:bidi w:val="0"/>
        <w:spacing w:lineRule="auto" w:line="240"/>
        <w:jc w:val="both"/>
        <w:rPr>
          <w:rFonts w:ascii="Times New Roman" w:hAnsi="Times New Roman" w:eastAsia="NSimSun" w:cs="Arial"/>
          <w:b w:val="false"/>
          <w:b w:val="false"/>
          <w:bCs w:val="false"/>
          <w:color w:val="auto"/>
          <w:kern w:val="2"/>
          <w:sz w:val="24"/>
          <w:szCs w:val="24"/>
          <w:lang w:val="pt-BR" w:eastAsia="zh-CN" w:bidi="hi-IN"/>
        </w:rPr>
      </w:pPr>
      <w:r>
        <w:rPr>
          <w:rFonts w:eastAsia="NSimSun" w:cs="Arial" w:ascii="Times New Roman" w:hAnsi="Times New Roman"/>
          <w:b w:val="false"/>
          <w:bCs w:val="false"/>
          <w:color w:val="auto"/>
          <w:kern w:val="2"/>
          <w:sz w:val="24"/>
          <w:szCs w:val="24"/>
          <w:lang w:val="pt-BR" w:eastAsia="zh-CN" w:bidi="hi-IN"/>
        </w:rPr>
      </w:r>
    </w:p>
    <w:p>
      <w:pPr>
        <w:pStyle w:val="Normal"/>
        <w:bidi w:val="0"/>
        <w:spacing w:lineRule="auto" w:line="240"/>
        <w:jc w:val="both"/>
        <w:rPr/>
      </w:pPr>
      <w:r>
        <w:rPr>
          <w:rFonts w:eastAsia="NSimSun" w:cs="Arial" w:ascii="Times New Roman" w:hAnsi="Times New Roman"/>
          <w:b w:val="false"/>
          <w:bCs w:val="false"/>
          <w:color w:val="auto"/>
          <w:kern w:val="2"/>
          <w:sz w:val="24"/>
          <w:szCs w:val="24"/>
          <w:lang w:val="pt-BR" w:eastAsia="zh-CN" w:bidi="hi-IN"/>
        </w:rPr>
        <w:t>AZEREDO, R. F.; FARIA, M. S. de. Tecnologia de gestão para a economia solidária: contabilidade social construída em processo de incubação. Anais dos Encontros Nacionais de Engenharia e Desenvolvimento Social, v. 8, n. 1, p. 1–10, 1 dez. 2011. Disponível em: https://anais.eneds.org.br/index.php/eneds/article/view/561. Acesso em: 23 abr. 2025</w:t>
      </w:r>
    </w:p>
    <w:p>
      <w:pPr>
        <w:pStyle w:val="Normal"/>
        <w:bidi w:val="0"/>
        <w:spacing w:lineRule="auto" w:line="240"/>
        <w:jc w:val="both"/>
        <w:rPr>
          <w:rFonts w:ascii="Times New Roman" w:hAnsi="Times New Roman" w:eastAsia="NSimSun" w:cs="Arial"/>
          <w:b w:val="false"/>
          <w:b w:val="false"/>
          <w:bCs w:val="false"/>
          <w:color w:val="auto"/>
          <w:kern w:val="2"/>
          <w:sz w:val="24"/>
          <w:szCs w:val="24"/>
          <w:lang w:val="pt-BR" w:eastAsia="zh-CN" w:bidi="hi-IN"/>
        </w:rPr>
      </w:pPr>
      <w:r>
        <w:rPr>
          <w:rFonts w:eastAsia="NSimSun" w:cs="Arial" w:ascii="Times New Roman" w:hAnsi="Times New Roman"/>
          <w:b w:val="false"/>
          <w:bCs w:val="false"/>
          <w:color w:val="auto"/>
          <w:kern w:val="2"/>
          <w:sz w:val="24"/>
          <w:szCs w:val="24"/>
          <w:lang w:val="pt-BR" w:eastAsia="zh-CN" w:bidi="hi-IN"/>
        </w:rPr>
      </w:r>
    </w:p>
    <w:p>
      <w:pPr>
        <w:pStyle w:val="Normal"/>
        <w:bidi w:val="0"/>
        <w:spacing w:lineRule="auto" w:line="240"/>
        <w:jc w:val="both"/>
        <w:rPr/>
      </w:pPr>
      <w:r>
        <w:rPr>
          <w:rFonts w:eastAsia="NSimSun" w:cs="Arial" w:ascii="Times New Roman" w:hAnsi="Times New Roman"/>
          <w:b w:val="false"/>
          <w:bCs w:val="false"/>
          <w:color w:val="auto"/>
          <w:kern w:val="2"/>
          <w:sz w:val="24"/>
          <w:szCs w:val="24"/>
          <w:lang w:val="pt-BR" w:eastAsia="zh-CN" w:bidi="hi-IN"/>
        </w:rPr>
        <w:t>BARBOSA, L. Economia Solidária e Desenvolvimento  Local:  Análise da Sustentabilidade do Empreendimento Através do Caso, Cultivo de Peixe em Tanque Rede. UNILA. Foz do Iguaçú 2016. Disponível em &lt;https://dspace.unila.edu.br/bitstreams/dfc160eb-e375-4edf-92d3-dbcd5298f854/download&gt; Acesso em 23 abr. 2025</w:t>
      </w:r>
    </w:p>
    <w:p>
      <w:pPr>
        <w:pStyle w:val="Normal"/>
        <w:bidi w:val="0"/>
        <w:spacing w:lineRule="auto" w:line="240"/>
        <w:jc w:val="both"/>
        <w:rPr>
          <w:rFonts w:ascii="Times New Roman" w:hAnsi="Times New Roman" w:eastAsia="NSimSun" w:cs="Arial"/>
          <w:b w:val="false"/>
          <w:b w:val="false"/>
          <w:bCs w:val="false"/>
          <w:color w:val="auto"/>
          <w:kern w:val="2"/>
          <w:sz w:val="24"/>
          <w:szCs w:val="24"/>
          <w:lang w:val="pt-BR" w:eastAsia="zh-CN" w:bidi="hi-IN"/>
        </w:rPr>
      </w:pPr>
      <w:r>
        <w:rPr>
          <w:rFonts w:eastAsia="NSimSun" w:cs="Arial" w:ascii="Times New Roman" w:hAnsi="Times New Roman"/>
          <w:b w:val="false"/>
          <w:bCs w:val="false"/>
          <w:color w:val="auto"/>
          <w:kern w:val="2"/>
          <w:sz w:val="24"/>
          <w:szCs w:val="24"/>
          <w:lang w:val="pt-BR" w:eastAsia="zh-CN" w:bidi="hi-IN"/>
        </w:rPr>
      </w:r>
    </w:p>
    <w:p>
      <w:pPr>
        <w:pStyle w:val="Normal"/>
        <w:bidi w:val="0"/>
        <w:spacing w:lineRule="auto" w:line="240"/>
        <w:jc w:val="both"/>
        <w:rPr/>
      </w:pPr>
      <w:r>
        <w:rPr>
          <w:rFonts w:eastAsia="NSimSun" w:cs="Arial" w:ascii="Times New Roman" w:hAnsi="Times New Roman"/>
          <w:b w:val="false"/>
          <w:bCs w:val="false"/>
          <w:color w:val="auto"/>
          <w:kern w:val="2"/>
          <w:sz w:val="24"/>
          <w:szCs w:val="24"/>
          <w:lang w:val="pt-BR" w:eastAsia="zh-CN" w:bidi="hi-IN"/>
        </w:rPr>
        <w:t>BALBIM, R., KRAUSE, C. LINKE, C.C. (org.) Cidade e Movimento – Mobilidades e Iterações no Desenvolvimento Urbano. Brasília : Ipea : ITDP, 2016</w:t>
      </w:r>
    </w:p>
    <w:p>
      <w:pPr>
        <w:pStyle w:val="Normal"/>
        <w:bidi w:val="0"/>
        <w:spacing w:lineRule="auto" w:line="240"/>
        <w:jc w:val="both"/>
        <w:rPr>
          <w:rFonts w:ascii="Times New Roman" w:hAnsi="Times New Roman" w:eastAsia="NSimSun" w:cs="Arial"/>
          <w:b w:val="false"/>
          <w:b w:val="false"/>
          <w:bCs w:val="false"/>
          <w:color w:val="auto"/>
          <w:kern w:val="2"/>
          <w:sz w:val="24"/>
          <w:szCs w:val="24"/>
          <w:lang w:val="pt-BR" w:eastAsia="zh-CN" w:bidi="hi-IN"/>
        </w:rPr>
      </w:pPr>
      <w:r>
        <w:rPr>
          <w:rFonts w:eastAsia="NSimSun" w:cs="Arial" w:ascii="Times New Roman" w:hAnsi="Times New Roman"/>
          <w:b w:val="false"/>
          <w:bCs w:val="false"/>
          <w:color w:val="auto"/>
          <w:kern w:val="2"/>
          <w:sz w:val="24"/>
          <w:szCs w:val="24"/>
          <w:lang w:val="pt-BR" w:eastAsia="zh-CN" w:bidi="hi-IN"/>
        </w:rPr>
      </w:r>
    </w:p>
    <w:p>
      <w:pPr>
        <w:pStyle w:val="Normal"/>
        <w:bidi w:val="0"/>
        <w:spacing w:lineRule="auto" w:line="240"/>
        <w:jc w:val="both"/>
        <w:rPr/>
      </w:pPr>
      <w:r>
        <w:rPr>
          <w:rFonts w:eastAsia="NSimSun" w:cs="Arial" w:ascii="Times New Roman" w:hAnsi="Times New Roman"/>
          <w:b w:val="false"/>
          <w:bCs w:val="false"/>
          <w:color w:val="auto"/>
          <w:kern w:val="2"/>
          <w:sz w:val="24"/>
          <w:szCs w:val="24"/>
          <w:lang w:val="pt-BR" w:eastAsia="zh-CN" w:bidi="hi-IN"/>
        </w:rPr>
        <w:t>VOLKER, J. HANDY, S. Economic impacts on local businesses of investments in bicycle and pedestrian infrastructure: a review of the evidence. Institute of Transportation Studies, TRANSPORT REVIEWS 2021, VOL. 41, NO. 4, 401–431 Disponível em &lt;</w:t>
      </w:r>
      <w:hyperlink r:id="rId2">
        <w:r>
          <w:rPr>
            <w:rStyle w:val="LinkdaInternet"/>
            <w:rFonts w:eastAsia="NSimSun" w:cs="Arial" w:ascii="Times New Roman" w:hAnsi="Times New Roman"/>
            <w:b w:val="false"/>
            <w:bCs w:val="false"/>
            <w:color w:val="auto"/>
            <w:kern w:val="2"/>
            <w:sz w:val="24"/>
            <w:szCs w:val="24"/>
            <w:lang w:val="pt-BR" w:eastAsia="zh-CN" w:bidi="hi-IN"/>
          </w:rPr>
          <w:t>https://doi.org/10.1080/01441647.2021.1912849</w:t>
        </w:r>
      </w:hyperlink>
      <w:r>
        <w:rPr>
          <w:rFonts w:eastAsia="NSimSun" w:cs="Arial" w:ascii="Times New Roman" w:hAnsi="Times New Roman"/>
          <w:b w:val="false"/>
          <w:bCs w:val="false"/>
          <w:color w:val="auto"/>
          <w:kern w:val="2"/>
          <w:sz w:val="24"/>
          <w:szCs w:val="24"/>
          <w:lang w:val="pt-BR" w:eastAsia="zh-CN" w:bidi="hi-IN"/>
        </w:rPr>
        <w:t>&gt; Acesso em 23 abr.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t>GAIGER, L. I. A economia solidária e o projeto de outra mundialização. Dados: Revista de Ciências Sociais, Rio de Janeiro, v. 47, n. 4, p. 799–834, 2004. Disponível em: https://www.scielo.br/j/dados/a/PWKtdRHpNMx3XcLMQRGFcgh/. Acesso em: 6 maio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t>LITMAN, T. Evaluating Active Transport Benefits and Costs. Guide to Valuing Walking and Cycling Improvements and Encouragement Programs. Victoria Transport Policy Institute: 2025. Dispon</w:t>
      </w:r>
      <w:r>
        <w:rPr>
          <w:rFonts w:eastAsia="NSimSun" w:cs="Arial" w:ascii="Times New Roman" w:hAnsi="Times New Roman"/>
          <w:color w:val="auto"/>
          <w:kern w:val="2"/>
          <w:sz w:val="24"/>
          <w:szCs w:val="24"/>
          <w:lang w:val="pt-BR" w:eastAsia="zh-CN" w:bidi="hi-IN"/>
        </w:rPr>
        <w:t>ível em &lt;</w:t>
      </w:r>
      <w:hyperlink r:id="rId3">
        <w:r>
          <w:rPr>
            <w:rStyle w:val="LinkdaInternet"/>
            <w:rFonts w:eastAsia="NSimSun" w:cs="Arial" w:ascii="Times New Roman" w:hAnsi="Times New Roman"/>
            <w:color w:val="auto"/>
            <w:kern w:val="2"/>
            <w:sz w:val="24"/>
            <w:szCs w:val="24"/>
            <w:lang w:val="pt-BR" w:eastAsia="zh-CN" w:bidi="hi-IN"/>
          </w:rPr>
          <w:t>https://www.vtpi.org/nmt-tdm.pdf</w:t>
        </w:r>
      </w:hyperlink>
      <w:r>
        <w:rPr>
          <w:rFonts w:eastAsia="NSimSun" w:cs="Arial" w:ascii="Times New Roman" w:hAnsi="Times New Roman"/>
          <w:color w:val="auto"/>
          <w:kern w:val="2"/>
          <w:sz w:val="24"/>
          <w:szCs w:val="24"/>
          <w:lang w:val="pt-BR" w:eastAsia="zh-CN" w:bidi="hi-IN"/>
        </w:rPr>
        <w:t>&gt;. Acesso em 23 abr. 2025</w:t>
      </w:r>
    </w:p>
    <w:p>
      <w:pPr>
        <w:pStyle w:val="Normal"/>
        <w:bidi w:val="0"/>
        <w:spacing w:lineRule="auto" w:line="24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240"/>
        <w:jc w:val="both"/>
        <w:rPr>
          <w:rFonts w:ascii="Times New Roman" w:hAnsi="Times New Roman"/>
          <w:sz w:val="24"/>
          <w:szCs w:val="24"/>
        </w:rPr>
      </w:pPr>
      <w:r>
        <w:rPr>
          <w:rFonts w:ascii="Times New Roman" w:hAnsi="Times New Roman"/>
          <w:sz w:val="24"/>
          <w:szCs w:val="24"/>
        </w:rPr>
        <w:t>WRI BRASIL. Comércio lucra com menos carros na rua. 2018. Dispon</w:t>
      </w:r>
      <w:r>
        <w:rPr>
          <w:rFonts w:eastAsia="NSimSun" w:cs="Arial" w:ascii="Times New Roman" w:hAnsi="Times New Roman"/>
          <w:color w:val="auto"/>
          <w:kern w:val="2"/>
          <w:sz w:val="24"/>
          <w:szCs w:val="24"/>
          <w:lang w:val="pt-BR" w:eastAsia="zh-CN" w:bidi="hi-IN"/>
        </w:rPr>
        <w:t>ível em &lt;https://www.wribrasil.org.br/noticias/comercio-lucra-com-menos-carros-na-rua&gt; Acesso em 23 abr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t xml:space="preserve">PAULI, J.; BENDER, N.; ZANELLA, W. </w:t>
      </w:r>
      <w:r>
        <w:rPr>
          <w:rFonts w:ascii="Times New Roman" w:hAnsi="Times New Roman"/>
          <w:sz w:val="24"/>
          <w:szCs w:val="24"/>
        </w:rPr>
        <w:t xml:space="preserve">Perfil </w:t>
      </w:r>
      <w:r>
        <w:rPr>
          <w:rFonts w:ascii="Times New Roman" w:hAnsi="Times New Roman"/>
          <w:sz w:val="24"/>
          <w:szCs w:val="24"/>
        </w:rPr>
        <w:t>d</w:t>
      </w:r>
      <w:r>
        <w:rPr>
          <w:rFonts w:ascii="Times New Roman" w:hAnsi="Times New Roman"/>
          <w:sz w:val="24"/>
          <w:szCs w:val="24"/>
        </w:rPr>
        <w:t xml:space="preserve">e Liderança </w:t>
      </w:r>
      <w:r>
        <w:rPr>
          <w:rFonts w:ascii="Times New Roman" w:hAnsi="Times New Roman"/>
          <w:sz w:val="24"/>
          <w:szCs w:val="24"/>
        </w:rPr>
        <w:t>e</w:t>
      </w:r>
      <w:r>
        <w:rPr>
          <w:rFonts w:ascii="Times New Roman" w:hAnsi="Times New Roman"/>
          <w:sz w:val="24"/>
          <w:szCs w:val="24"/>
        </w:rPr>
        <w:t xml:space="preserve">m Empreendimentos </w:t>
      </w:r>
      <w:r>
        <w:rPr>
          <w:rFonts w:ascii="Times New Roman" w:hAnsi="Times New Roman"/>
          <w:sz w:val="24"/>
          <w:szCs w:val="24"/>
        </w:rPr>
        <w:t>d</w:t>
      </w:r>
      <w:r>
        <w:rPr>
          <w:rFonts w:ascii="Times New Roman" w:hAnsi="Times New Roman"/>
          <w:sz w:val="24"/>
          <w:szCs w:val="24"/>
        </w:rPr>
        <w:t xml:space="preserve">e Economia Solidária. PERSPECTIVA, Erechim. v.37, n.138, p.93-104, junho/2013. </w:t>
      </w:r>
      <w:r>
        <w:rPr>
          <w:rFonts w:ascii="Times New Roman" w:hAnsi="Times New Roman"/>
          <w:sz w:val="24"/>
          <w:szCs w:val="24"/>
        </w:rPr>
        <w:t>Dispon</w:t>
      </w:r>
      <w:r>
        <w:rPr>
          <w:rFonts w:eastAsia="NSimSun" w:cs="Arial" w:ascii="Times New Roman" w:hAnsi="Times New Roman"/>
          <w:color w:val="auto"/>
          <w:kern w:val="2"/>
          <w:sz w:val="24"/>
          <w:szCs w:val="24"/>
          <w:lang w:val="pt-BR" w:eastAsia="zh-CN" w:bidi="hi-IN"/>
        </w:rPr>
        <w:t>ível em  &lt;https://www.uricer.edu.br/site/pdfs/perspectiva/138_350.pdf&gt; Acesso em 23 abr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t>RANGEL, D. L. - Economia solidária: Desenvolvimento social e sustentável do município de Niterói/RJ. Disponível em &lt;</w:t>
      </w:r>
      <w:hyperlink r:id="rId4">
        <w:r>
          <w:rPr>
            <w:rStyle w:val="LinkdaInternet"/>
            <w:rFonts w:ascii="Times New Roman" w:hAnsi="Times New Roman"/>
            <w:sz w:val="24"/>
            <w:szCs w:val="24"/>
          </w:rPr>
          <w:t>https://repositorio.ipsantarem.pt/bitstream/10400.15/4768/1/DanieleLemosRangel_Mestrado_GOES.PDF</w:t>
        </w:r>
      </w:hyperlink>
      <w:r>
        <w:rPr>
          <w:rFonts w:ascii="Times New Roman" w:hAnsi="Times New Roman"/>
          <w:sz w:val="24"/>
          <w:szCs w:val="24"/>
        </w:rPr>
        <w:t>&gt; Acesso em 23 abr.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ascii="Times New Roman" w:hAnsi="Times New Roman"/>
          <w:sz w:val="24"/>
          <w:szCs w:val="24"/>
        </w:rPr>
        <w:t>SILVA, S. P. Economia Solidária E Finanças De Proximidade: Realidade Social E Principais Características Dos Empreendimentos De Finanças Solidárias No Brasil. Texto para discussão / Instituto de Pesquisa Econômica Aplicada.- Brasília,  1990. Dispon</w:t>
      </w:r>
      <w:r>
        <w:rPr>
          <w:rFonts w:eastAsia="NSimSun" w:cs="Arial" w:ascii="Times New Roman" w:hAnsi="Times New Roman"/>
          <w:color w:val="auto"/>
          <w:kern w:val="2"/>
          <w:sz w:val="24"/>
          <w:szCs w:val="24"/>
          <w:lang w:val="pt-BR" w:eastAsia="zh-CN" w:bidi="hi-IN"/>
        </w:rPr>
        <w:t>ível em &lt;</w:t>
      </w:r>
      <w:hyperlink r:id="rId5">
        <w:r>
          <w:rPr>
            <w:rStyle w:val="LinkdaInternet"/>
            <w:rFonts w:eastAsia="NSimSun" w:cs="Arial" w:ascii="Times New Roman" w:hAnsi="Times New Roman"/>
            <w:color w:val="auto"/>
            <w:kern w:val="2"/>
            <w:sz w:val="24"/>
            <w:szCs w:val="24"/>
            <w:lang w:val="pt-BR" w:eastAsia="zh-CN" w:bidi="hi-IN"/>
          </w:rPr>
          <w:t>https://repositorio.ipea.gov.br/bitstream/11058/7423/1/td_2270.PDF</w:t>
        </w:r>
      </w:hyperlink>
      <w:r>
        <w:rPr>
          <w:rFonts w:eastAsia="NSimSun" w:cs="Arial" w:ascii="Times New Roman" w:hAnsi="Times New Roman"/>
          <w:color w:val="auto"/>
          <w:kern w:val="2"/>
          <w:sz w:val="24"/>
          <w:szCs w:val="24"/>
          <w:lang w:val="pt-BR" w:eastAsia="zh-CN" w:bidi="hi-IN"/>
        </w:rPr>
        <w:t>&gt; Acesso em 23 abr.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___________. A política de economia solidária no ciclo orçamentário nacional (2004-2018): inserção, expansão e crise de paradigma. Brasília: Instituto de Pesquisa Econômica Aplicada (Ipea), nov. 2018. (Texto para Discussão, n. 2434). Disponível em: https://repositorio.ipea.gov.br/handle/11058/8929. Acesso em: 6 maio 2025.</w:t>
      </w:r>
    </w:p>
    <w:p>
      <w:pPr>
        <w:pStyle w:val="Normal"/>
        <w:bidi w:val="0"/>
        <w:spacing w:lineRule="auto" w:line="240"/>
        <w:jc w:val="both"/>
        <w:rPr>
          <w:rFonts w:ascii="Times New Roman" w:hAnsi="Times New Roman"/>
          <w:sz w:val="24"/>
          <w:szCs w:val="24"/>
        </w:rPr>
      </w:pPr>
      <w:r>
        <w:rPr/>
      </w:r>
    </w:p>
    <w:p>
      <w:pPr>
        <w:pStyle w:val="Normal"/>
        <w:bidi w:val="0"/>
        <w:spacing w:lineRule="auto" w:line="24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MEIRELES, T. M. R.; NETO, B de S.; MENDONÇA, F. M. ; SIQUEIRA, P. H. de L. INDICADORES PARA A ECONOMIA SOLIDÁRIA: UM ESTUDO DE CASO NO MUNICÍPIO DE SANTA CRUZ DE MINAS/MG. Revista Foco, v.17.n.2, p.01-31. Curitiba,|2024. Disponível em &lt;https://ojs.focopublicacoes.com.br/foco/article/view/4482&gt; Acesso em: 6 maio 2025.</w:t>
      </w:r>
    </w:p>
    <w:p>
      <w:pPr>
        <w:pStyle w:val="Normal"/>
        <w:bidi w:val="0"/>
        <w:spacing w:lineRule="auto" w:line="240"/>
        <w:jc w:val="both"/>
        <w:rPr>
          <w:rFonts w:ascii="Times New Roman" w:hAnsi="Times New Roman"/>
          <w:sz w:val="24"/>
          <w:szCs w:val="24"/>
        </w:rPr>
      </w:pPr>
      <w:r>
        <w:rPr/>
      </w:r>
    </w:p>
    <w:p>
      <w:pPr>
        <w:pStyle w:val="Normal"/>
        <w:bidi w:val="0"/>
        <w:spacing w:lineRule="auto" w:line="24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VARANDA</w:t>
      </w:r>
      <w:r>
        <w:rPr>
          <w:rFonts w:eastAsia="NSimSun" w:cs="Arial" w:ascii="Times New Roman" w:hAnsi="Times New Roman"/>
          <w:color w:val="auto"/>
          <w:kern w:val="2"/>
          <w:sz w:val="24"/>
          <w:szCs w:val="24"/>
          <w:lang w:val="pt-BR" w:eastAsia="zh-CN" w:bidi="hi-IN"/>
        </w:rPr>
        <w:t xml:space="preserve">, A. P. de M. e BOCAYUVA, P. C. C. Tecnologia Social, Autogestão e Economia Solidária. Rio de Janeiro : FASE | Ippur | Lastro | UFRJ, 2009. </w:t>
      </w:r>
      <w:r>
        <w:rPr>
          <w:rFonts w:eastAsia="NSimSun" w:cs="Arial" w:ascii="Times New Roman" w:hAnsi="Times New Roman"/>
          <w:color w:val="auto"/>
          <w:kern w:val="2"/>
          <w:sz w:val="24"/>
          <w:szCs w:val="24"/>
          <w:lang w:val="pt-BR" w:eastAsia="zh-CN" w:bidi="hi-IN"/>
        </w:rPr>
        <w:t>Disponível em &lt;http://www.ctamt.org.br/storage/publicacao/publicacao/tecnologia-social.pdf&gt; Acesso em: 6 maio 2025.</w:t>
      </w:r>
    </w:p>
    <w:p>
      <w:pPr>
        <w:pStyle w:val="Normal"/>
        <w:bidi w:val="0"/>
        <w:spacing w:lineRule="auto" w:line="240"/>
        <w:jc w:val="both"/>
        <w:rPr>
          <w:rFonts w:ascii="Times New Roman" w:hAnsi="Times New Roman"/>
          <w:sz w:val="24"/>
          <w:szCs w:val="24"/>
        </w:rPr>
      </w:pPr>
      <w:r>
        <w:rPr>
          <w:rFonts w:ascii="Times New Roman" w:hAnsi="Times New Roman"/>
          <w:sz w:val="24"/>
          <w:szCs w:val="24"/>
        </w:rPr>
      </w:r>
    </w:p>
    <w:p>
      <w:pPr>
        <w:pStyle w:val="Normal"/>
        <w:bidi w:val="0"/>
        <w:spacing w:lineRule="auto" w:line="24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CARNEIRO, L. PANHOCA, L. SAMPAIO, C. A. C. PACHECO, V. Práticas de controle em empreendimentos solidários: estudo de caso a partir da perspectiva institucional. Revista Brasileira de Gestão e Desenvolvimento Regional. v. 10, n. 4, p. 3-25, set-dez/2014, Taubaté, SP, Brasil. Disponível em &lt;</w:t>
      </w:r>
      <w:hyperlink r:id="rId6">
        <w:r>
          <w:rPr>
            <w:rStyle w:val="LinkdaInternet"/>
            <w:rFonts w:eastAsia="NSimSun" w:cs="Arial" w:ascii="Times New Roman" w:hAnsi="Times New Roman"/>
            <w:color w:val="auto"/>
            <w:kern w:val="2"/>
            <w:sz w:val="24"/>
            <w:szCs w:val="24"/>
            <w:lang w:val="pt-BR" w:eastAsia="zh-CN" w:bidi="hi-IN"/>
          </w:rPr>
          <w:t>https://www.rbgdr.net/revista/index.php/rbgdr/article/download/1526/408/0</w:t>
        </w:r>
      </w:hyperlink>
      <w:r>
        <w:rPr>
          <w:rFonts w:eastAsia="NSimSun" w:cs="Arial" w:ascii="Times New Roman" w:hAnsi="Times New Roman"/>
          <w:color w:val="auto"/>
          <w:kern w:val="2"/>
          <w:sz w:val="24"/>
          <w:szCs w:val="24"/>
          <w:lang w:val="pt-BR" w:eastAsia="zh-CN" w:bidi="hi-IN"/>
        </w:rPr>
        <w:t>&gt; Acesso em 23 abr 2025</w:t>
      </w:r>
    </w:p>
    <w:p>
      <w:pPr>
        <w:pStyle w:val="Normal"/>
        <w:bidi w:val="0"/>
        <w:spacing w:lineRule="auto" w:line="240"/>
        <w:jc w:val="both"/>
        <w:rPr>
          <w:rFonts w:ascii="Times New Roman" w:hAnsi="Times New Roman"/>
          <w:sz w:val="24"/>
          <w:szCs w:val="24"/>
        </w:rPr>
      </w:pPr>
      <w:r>
        <w:rPr/>
      </w:r>
    </w:p>
    <w:p>
      <w:pPr>
        <w:pStyle w:val="Normal"/>
        <w:bidi w:val="0"/>
        <w:spacing w:lineRule="auto" w:line="24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 xml:space="preserve">United Nations </w:t>
      </w:r>
      <w:r>
        <w:rPr>
          <w:rFonts w:eastAsia="NSimSun" w:cs="Arial" w:ascii="Times New Roman" w:hAnsi="Times New Roman"/>
          <w:color w:val="auto"/>
          <w:kern w:val="2"/>
          <w:sz w:val="24"/>
          <w:szCs w:val="24"/>
          <w:lang w:val="pt-BR" w:eastAsia="zh-CN" w:bidi="hi-IN"/>
        </w:rPr>
        <w:t xml:space="preserve">(UN) - </w:t>
      </w:r>
      <w:r>
        <w:rPr>
          <w:rFonts w:eastAsia="NSimSun" w:cs="Arial" w:ascii="Times New Roman" w:hAnsi="Times New Roman"/>
          <w:color w:val="auto"/>
          <w:kern w:val="2"/>
          <w:sz w:val="24"/>
          <w:szCs w:val="24"/>
          <w:lang w:val="pt-BR" w:eastAsia="zh-CN" w:bidi="hi-IN"/>
        </w:rPr>
        <w:t xml:space="preserve">Promoting the social and solidarity economy for sustainable development : note / by the Secretary-General. </w:t>
      </w:r>
      <w:r>
        <w:rPr>
          <w:rFonts w:eastAsia="NSimSun" w:cs="Arial" w:ascii="Times New Roman" w:hAnsi="Times New Roman"/>
          <w:color w:val="auto"/>
          <w:kern w:val="2"/>
          <w:sz w:val="24"/>
          <w:szCs w:val="24"/>
          <w:lang w:val="pt-BR" w:eastAsia="zh-CN" w:bidi="hi-IN"/>
        </w:rPr>
        <w:t>2024. Disponível em &lt;https://digitallibrary.un.org/record/4063386?v=pdf&gt; Acesso em 23 abr 2025</w:t>
      </w:r>
    </w:p>
    <w:p>
      <w:pPr>
        <w:pStyle w:val="Normal"/>
        <w:bidi w:val="0"/>
        <w:spacing w:lineRule="auto" w:line="240"/>
        <w:jc w:val="both"/>
        <w:rPr>
          <w:rFonts w:eastAsia="NSimSun" w:cs="Arial"/>
          <w:color w:val="auto"/>
          <w:kern w:val="2"/>
          <w:lang w:val="pt-BR" w:eastAsia="zh-CN" w:bidi="hi-IN"/>
        </w:rPr>
      </w:pPr>
      <w:r>
        <w:rPr>
          <w:rFonts w:eastAsia="NSimSun" w:cs="Arial"/>
          <w:color w:val="auto"/>
          <w:kern w:val="2"/>
          <w:lang w:val="pt-BR" w:eastAsia="zh-CN" w:bidi="hi-IN"/>
        </w:rPr>
      </w:r>
    </w:p>
    <w:p>
      <w:pPr>
        <w:pStyle w:val="Normal"/>
        <w:bidi w:val="0"/>
        <w:spacing w:lineRule="auto" w:line="240"/>
        <w:jc w:val="both"/>
        <w:rPr>
          <w:rFonts w:ascii="Times New Roman" w:hAnsi="Times New Roman"/>
          <w:sz w:val="24"/>
          <w:szCs w:val="24"/>
        </w:rPr>
      </w:pPr>
      <w:r>
        <w:rPr>
          <w:rFonts w:eastAsia="NSimSun" w:cs="Arial" w:ascii="Times New Roman" w:hAnsi="Times New Roman"/>
          <w:color w:val="auto"/>
          <w:kern w:val="2"/>
          <w:sz w:val="24"/>
          <w:szCs w:val="24"/>
          <w:lang w:val="pt-BR" w:eastAsia="zh-CN" w:bidi="hi-IN"/>
        </w:rPr>
        <w:t xml:space="preserve">DIEESE. Referencial brasileiro para análise de empreendimentos de economia solidária (EES). / </w:t>
        <w:tab/>
        <w:tab/>
        <w:t xml:space="preserve"> Departamento Intersindical de Estatística e Estudos Socioeconômicos. – São Paulo: DIEESE, 2014. Disponível em &lt;</w:t>
      </w:r>
      <w:hyperlink r:id="rId7">
        <w:r>
          <w:rPr>
            <w:rStyle w:val="LinkdaInternet"/>
            <w:rFonts w:eastAsia="NSimSun" w:cs="Arial" w:ascii="Times New Roman" w:hAnsi="Times New Roman"/>
            <w:color w:val="auto"/>
            <w:kern w:val="2"/>
            <w:sz w:val="24"/>
            <w:szCs w:val="24"/>
            <w:lang w:val="pt-BR" w:eastAsia="zh-CN" w:bidi="hi-IN"/>
          </w:rPr>
          <w:t>https://www.dieese.org.br/metodologia/2014/referencialAnaliseEES.pdf</w:t>
        </w:r>
      </w:hyperlink>
      <w:r>
        <w:rPr>
          <w:rFonts w:eastAsia="NSimSun" w:cs="Arial" w:ascii="Times New Roman" w:hAnsi="Times New Roman"/>
          <w:color w:val="auto"/>
          <w:kern w:val="2"/>
          <w:sz w:val="24"/>
          <w:szCs w:val="24"/>
          <w:lang w:val="pt-BR" w:eastAsia="zh-CN" w:bidi="hi-IN"/>
        </w:rPr>
        <w:t>&gt;. Acesso em 23 abr 2025</w:t>
      </w:r>
    </w:p>
    <w:p>
      <w:pPr>
        <w:pStyle w:val="Normal"/>
        <w:bidi w:val="0"/>
        <w:spacing w:lineRule="auto" w:line="240"/>
        <w:jc w:val="both"/>
        <w:rPr>
          <w:rFonts w:eastAsia="NSimSun" w:cs="Arial"/>
          <w:color w:val="auto"/>
          <w:kern w:val="2"/>
          <w:lang w:val="pt-BR" w:eastAsia="zh-CN" w:bidi="hi-IN"/>
        </w:rPr>
      </w:pPr>
      <w:r>
        <w:rPr/>
      </w:r>
    </w:p>
    <w:sectPr>
      <w:footnotePr>
        <w:numFmt w:val="decimal"/>
      </w:footnotePr>
      <w:type w:val="nextPage"/>
      <w:pgSz w:w="11906" w:h="16838"/>
      <w:pgMar w:left="1701" w:right="1134" w:gutter="0" w:header="0" w:top="1701"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pranq eco sans">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aderodap"/>
        <w:rPr>
          <w:rFonts w:ascii="Times New Roman" w:hAnsi="Times New Roman"/>
        </w:rPr>
      </w:pPr>
      <w:r>
        <w:rPr>
          <w:rStyle w:val="Caracteresdenotaderodap"/>
        </w:rPr>
        <w:footnoteRef/>
      </w:r>
      <w:r>
        <w:rPr>
          <w:rFonts w:ascii="Times New Roman" w:hAnsi="Times New Roman"/>
        </w:rPr>
        <w:tab/>
        <w:t>Empregado do Serviço Federal de Processamento de Dados (SERPRO), Bacharel em Ci</w:t>
      </w:r>
      <w:r>
        <w:rPr>
          <w:rFonts w:eastAsia="NSimSun" w:cs="Arial" w:ascii="Times New Roman" w:hAnsi="Times New Roman"/>
          <w:color w:val="auto"/>
          <w:kern w:val="2"/>
          <w:sz w:val="20"/>
          <w:szCs w:val="20"/>
          <w:lang w:val="pt-BR" w:eastAsia="zh-CN" w:bidi="hi-IN"/>
        </w:rPr>
        <w:t>ências da Computação, Especialista em Comércio Exterior e Gestão Pública, graduando em ciências contábeis e ciências econômicas</w:t>
      </w:r>
    </w:p>
  </w:footnote>
</w:footnotes>
</file>

<file path=word/settings.xml><?xml version="1.0" encoding="utf-8"?>
<w:settings xmlns:w="http://schemas.openxmlformats.org/wordprocessingml/2006/main">
  <w:zoom w:percent="130"/>
  <w:defaultTabStop w:val="408"/>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pranq eco sans" w:hAnsi="Spranq eco sans" w:eastAsia="NSimSun" w:cs="Arial"/>
        <w:kern w:val="2"/>
        <w:szCs w:val="24"/>
        <w:lang w:val="pt-B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Spranq eco sans" w:hAnsi="Spranq eco sans" w:eastAsia="NSimSun" w:cs="Arial"/>
      <w:color w:val="auto"/>
      <w:kern w:val="2"/>
      <w:sz w:val="24"/>
      <w:szCs w:val="24"/>
      <w:lang w:val="pt-BR" w:eastAsia="zh-CN" w:bidi="hi-IN"/>
    </w:rPr>
  </w:style>
  <w:style w:type="paragraph" w:styleId="Ttulo1">
    <w:name w:val="Heading 1"/>
    <w:basedOn w:val="Ttulo"/>
    <w:next w:val="Corpodotexto"/>
    <w:qFormat/>
    <w:pPr>
      <w:spacing w:before="240" w:after="120"/>
      <w:outlineLvl w:val="0"/>
    </w:pPr>
    <w:rPr>
      <w:rFonts w:ascii="Liberation Serif" w:hAnsi="Liberation Serif" w:eastAsia="Noto Serif CJK SC" w:cs="Lohit Devanagari"/>
      <w:b/>
      <w:bCs/>
      <w:sz w:val="48"/>
      <w:szCs w:val="48"/>
    </w:rPr>
  </w:style>
  <w:style w:type="character" w:styleId="LinkdaInternet">
    <w:name w:val="Link da Internet"/>
    <w:qFormat/>
    <w:rPr>
      <w:color w:val="000080"/>
      <w:u w:val="single"/>
      <w:lang w:val="zxx" w:eastAsia="zxx" w:bidi="zxx"/>
    </w:rPr>
  </w:style>
  <w:style w:type="character" w:styleId="Linkdainternetvisitado">
    <w:name w:val="Link da internet visitado"/>
    <w:qFormat/>
    <w:rPr>
      <w:color w:val="800000"/>
      <w:u w:val="single"/>
      <w:lang w:val="zxx" w:eastAsia="zxx" w:bidi="zxx"/>
    </w:rPr>
  </w:style>
  <w:style w:type="character" w:styleId="Nfaseforte">
    <w:name w:val="Ênfase forte"/>
    <w:qFormat/>
    <w:rPr>
      <w:b/>
      <w:bCs/>
    </w:rPr>
  </w:style>
  <w:style w:type="character" w:styleId="Bullets">
    <w:name w:val="Bullets"/>
    <w:qFormat/>
    <w:rPr>
      <w:rFonts w:ascii="OpenSymbol" w:hAnsi="OpenSymbol" w:eastAsia="OpenSymbol" w:cs="OpenSymbol"/>
    </w:rPr>
  </w:style>
  <w:style w:type="character" w:styleId="Marcas">
    <w:name w:val="Marcas"/>
    <w:qFormat/>
    <w:rPr>
      <w:rFonts w:ascii="OpenSymbol" w:hAnsi="OpenSymbol" w:eastAsia="OpenSymbol" w:cs="OpenSymbol"/>
    </w:rPr>
  </w:style>
  <w:style w:type="character" w:styleId="Marcadores">
    <w:name w:val="Marcadores"/>
    <w:qFormat/>
    <w:rPr>
      <w:rFonts w:ascii="OpenSymbol" w:hAnsi="OpenSymbol" w:eastAsia="OpenSymbol" w:cs="OpenSymbol"/>
    </w:rPr>
  </w:style>
  <w:style w:type="character" w:styleId="Caracteresdenotaderodap">
    <w:name w:val="Caracteres de nota de rodapé"/>
    <w:qFormat/>
    <w:rPr/>
  </w:style>
  <w:style w:type="character" w:styleId="Ncoradanotaderodap">
    <w:name w:val="Âncora da nota de rodapé"/>
    <w:rPr>
      <w:vertAlign w:val="superscript"/>
    </w:rPr>
  </w:style>
  <w:style w:type="character" w:styleId="Ncoradanotadefim">
    <w:name w:val="Âncora da nota de fim"/>
    <w:rPr>
      <w:vertAlign w:val="superscript"/>
    </w:rPr>
  </w:style>
  <w:style w:type="character" w:styleId="Caracteresdenotadefim">
    <w:name w:val="Caracteres de nota de fim"/>
    <w:qFormat/>
    <w:rPr/>
  </w:style>
  <w:style w:type="paragraph" w:styleId="Ttulo">
    <w:name w:val="Título"/>
    <w:basedOn w:val="Normal"/>
    <w:next w:val="Corpodotexto"/>
    <w:qFormat/>
    <w:pPr>
      <w:keepNext w:val="true"/>
      <w:spacing w:before="240" w:after="120"/>
    </w:pPr>
    <w:rPr>
      <w:rFonts w:ascii="Spranq eco sans" w:hAnsi="Spranq eco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ontedodatabela">
    <w:name w:val="Conteúdo da tabela"/>
    <w:basedOn w:val="Normal"/>
    <w:qFormat/>
    <w:pPr>
      <w:suppressLineNumbers/>
    </w:pPr>
    <w:rPr/>
  </w:style>
  <w:style w:type="paragraph" w:styleId="CabealhoeRodap">
    <w:name w:val="Cabeçalho e Rodapé"/>
    <w:basedOn w:val="Normal"/>
    <w:qFormat/>
    <w:pPr/>
    <w:rPr/>
  </w:style>
  <w:style w:type="paragraph" w:styleId="Rodap">
    <w:name w:val="Footer"/>
    <w:basedOn w:val="Normal"/>
    <w:pPr>
      <w:tabs>
        <w:tab w:val="clear" w:pos="408"/>
        <w:tab w:val="center" w:pos="4252" w:leader="none"/>
        <w:tab w:val="right" w:pos="8504" w:leader="none"/>
      </w:tabs>
      <w:spacing w:lineRule="auto" w:line="240" w:before="0" w:after="0"/>
    </w:pPr>
    <w:rPr/>
  </w:style>
  <w:style w:type="paragraph" w:styleId="Ttulodetabela">
    <w:name w:val="Título de tabela"/>
    <w:basedOn w:val="Contedodatabela"/>
    <w:qFormat/>
    <w:pPr>
      <w:suppressLineNumbers/>
      <w:jc w:val="center"/>
    </w:pPr>
    <w:rPr>
      <w:b/>
      <w:bCs/>
    </w:rPr>
  </w:style>
  <w:style w:type="paragraph" w:styleId="Notaderodap">
    <w:name w:val="Footnote Text"/>
    <w:basedOn w:val="Normal"/>
    <w:pPr>
      <w:suppressLineNumbers/>
      <w:ind w:left="34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80/01441647.2021.1912849" TargetMode="External"/><Relationship Id="rId3" Type="http://schemas.openxmlformats.org/officeDocument/2006/relationships/hyperlink" Target="https://www.vtpi.org/nmt-tdm.pdf" TargetMode="External"/><Relationship Id="rId4" Type="http://schemas.openxmlformats.org/officeDocument/2006/relationships/hyperlink" Target="https://repositorio.ipsantarem.pt/bitstream/10400.15/4768/1/DanieleLemosRangel_Mestrado_GOES.PDF" TargetMode="External"/><Relationship Id="rId5" Type="http://schemas.openxmlformats.org/officeDocument/2006/relationships/hyperlink" Target="https://repositorio.ipea.gov.br/bitstream/11058/7423/1/td_2270.PDF" TargetMode="External"/><Relationship Id="rId6" Type="http://schemas.openxmlformats.org/officeDocument/2006/relationships/hyperlink" Target="https://www.rbgdr.net/revista/index.php/rbgdr/article/download/1526/408/0" TargetMode="External"/><Relationship Id="rId7" Type="http://schemas.openxmlformats.org/officeDocument/2006/relationships/hyperlink" Target="https://www.dieese.org.br/metodologia/2014/referencialAnaliseEES.pdf" TargetMode="Externa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4824</TotalTime>
  <Application>LibreOffice/7.3.7.2$Linux_X86_64 LibreOffice_project/30$Build-2</Application>
  <AppVersion>15.0000</AppVersion>
  <Pages>22</Pages>
  <Words>6776</Words>
  <Characters>40915</Characters>
  <CharactersWithSpaces>47658</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2021-11-15T17:39:32Z</dcterms:created>
  <dc:creator/>
  <dc:description/>
  <dc:language>pt-BR</dc:language>
  <cp:lastModifiedBy/>
  <dcterms:modified xsi:type="dcterms:W3CDTF">2025-05-06T21:49:21Z</dcterms:modified>
  <cp:revision>167</cp:revision>
  <dc:subject/>
  <dc:title/>
</cp:coreProperties>
</file>

<file path=docProps/custom.xml><?xml version="1.0" encoding="utf-8"?>
<Properties xmlns="http://schemas.openxmlformats.org/officeDocument/2006/custom-properties" xmlns:vt="http://schemas.openxmlformats.org/officeDocument/2006/docPropsVTypes"/>
</file>