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E9D21" w14:textId="1F61BE2F" w:rsidR="004405BB" w:rsidRPr="00627EF8" w:rsidRDefault="004405BB" w:rsidP="004405BB">
      <w:pPr>
        <w:pStyle w:val="Title"/>
        <w:rPr>
          <w:rFonts w:ascii="Lexend" w:hAnsi="Lexend"/>
        </w:rPr>
      </w:pPr>
      <w:r w:rsidRPr="00627EF8">
        <w:rPr>
          <w:rFonts w:ascii="Lexend" w:hAnsi="Lexend"/>
        </w:rPr>
        <w:t>Core Value Drivers Guide</w:t>
      </w:r>
    </w:p>
    <w:p w14:paraId="5DBEB0F9" w14:textId="57FD42F5" w:rsidR="00ED3ADD" w:rsidRPr="00627EF8" w:rsidRDefault="00ED3ADD" w:rsidP="00ED3ADD">
      <w:pPr>
        <w:rPr>
          <w:rFonts w:ascii="Lexend" w:hAnsi="Lexend"/>
        </w:rPr>
      </w:pPr>
      <w:r w:rsidRPr="00627EF8">
        <w:rPr>
          <w:rFonts w:ascii="Lexend" w:hAnsi="Lexend"/>
        </w:rPr>
        <w:t xml:space="preserve">These files are intended to help you report on and monitor your groups’ Core Value Drivers metrics. They are structured so that you will have monthly and YTD results. </w:t>
      </w:r>
    </w:p>
    <w:p w14:paraId="79D7A90A" w14:textId="03C9E2C0" w:rsidR="00ED3ADD" w:rsidRPr="00627EF8" w:rsidRDefault="004405BB" w:rsidP="00ED3ADD">
      <w:pPr>
        <w:rPr>
          <w:rFonts w:ascii="Lexend" w:hAnsi="Lexend"/>
        </w:rPr>
      </w:pPr>
      <w:r w:rsidRPr="00627EF8">
        <w:rPr>
          <w:rFonts w:ascii="Lexend" w:hAnsi="Lexend"/>
        </w:rPr>
        <w:t>On each sheet, there will be a row for each group, for each month in the period, along with a YTD row. The YTD row is the rate for the year so far. For example, on the “Segment” sheet there will be an AMC row for each month in the period and an AMC YTD row.</w:t>
      </w:r>
    </w:p>
    <w:p w14:paraId="0EF67C68" w14:textId="61657CBD" w:rsidR="00ED3ADD" w:rsidRPr="00627EF8" w:rsidRDefault="004405BB" w:rsidP="00ED3ADD">
      <w:pPr>
        <w:rPr>
          <w:rFonts w:ascii="Lexend" w:hAnsi="Lexend"/>
        </w:rPr>
      </w:pPr>
      <w:r w:rsidRPr="00627EF8">
        <w:rPr>
          <w:rFonts w:ascii="Lexend" w:hAnsi="Lexend"/>
        </w:rPr>
        <w:t>Individual Data</w:t>
      </w:r>
      <w:r w:rsidR="00ED3ADD" w:rsidRPr="00627EF8">
        <w:rPr>
          <w:rFonts w:ascii="Lexend" w:hAnsi="Lexend"/>
        </w:rPr>
        <w:t>:</w:t>
      </w:r>
    </w:p>
    <w:p w14:paraId="209AE8CA" w14:textId="02460077" w:rsidR="00ED3ADD" w:rsidRPr="00627EF8" w:rsidRDefault="00ED3ADD" w:rsidP="00ED3ADD">
      <w:pPr>
        <w:pStyle w:val="ListParagraph"/>
        <w:numPr>
          <w:ilvl w:val="0"/>
          <w:numId w:val="2"/>
        </w:numPr>
        <w:rPr>
          <w:rFonts w:ascii="Lexend" w:hAnsi="Lexend"/>
        </w:rPr>
      </w:pPr>
      <w:r w:rsidRPr="00627EF8">
        <w:rPr>
          <w:rFonts w:ascii="Lexend" w:hAnsi="Lexend"/>
        </w:rPr>
        <w:t>Internal Fill:</w:t>
      </w:r>
    </w:p>
    <w:p w14:paraId="74BB958C" w14:textId="2A46DA76" w:rsidR="00ED3ADD" w:rsidRPr="00627EF8" w:rsidRDefault="00ED3ADD" w:rsidP="00ED3ADD">
      <w:pPr>
        <w:pStyle w:val="ListParagraph"/>
        <w:numPr>
          <w:ilvl w:val="1"/>
          <w:numId w:val="2"/>
        </w:numPr>
        <w:rPr>
          <w:rFonts w:ascii="Lexend" w:hAnsi="Lexend"/>
        </w:rPr>
      </w:pPr>
      <w:r w:rsidRPr="00627EF8">
        <w:rPr>
          <w:rFonts w:ascii="Lexend" w:hAnsi="Lexend"/>
        </w:rPr>
        <w:t xml:space="preserve">Data Details: This includes </w:t>
      </w:r>
      <w:proofErr w:type="gramStart"/>
      <w:r w:rsidRPr="00627EF8">
        <w:rPr>
          <w:rFonts w:ascii="Lexend" w:hAnsi="Lexend"/>
        </w:rPr>
        <w:t>all of</w:t>
      </w:r>
      <w:proofErr w:type="gramEnd"/>
      <w:r w:rsidRPr="00627EF8">
        <w:rPr>
          <w:rFonts w:ascii="Lexend" w:hAnsi="Lexend"/>
        </w:rPr>
        <w:t xml:space="preserve"> the moves that are included in the Internal Fill Rate. If they had a corresponding change on the Worker Data Hires and Job Changes report on the same day as their time in position start date, that data is also included, starting in column K </w:t>
      </w:r>
      <w:proofErr w:type="spellStart"/>
      <w:r w:rsidRPr="00627EF8">
        <w:rPr>
          <w:rFonts w:ascii="Lexend" w:hAnsi="Lexend"/>
        </w:rPr>
        <w:t>effective_date</w:t>
      </w:r>
      <w:proofErr w:type="spellEnd"/>
      <w:r w:rsidRPr="00627EF8">
        <w:rPr>
          <w:rFonts w:ascii="Lexend" w:hAnsi="Lexend"/>
        </w:rPr>
        <w:t>.</w:t>
      </w:r>
    </w:p>
    <w:p w14:paraId="7F3913C5" w14:textId="0A527692" w:rsidR="004405BB" w:rsidRPr="00627EF8" w:rsidRDefault="004405BB" w:rsidP="004405BB">
      <w:pPr>
        <w:pStyle w:val="ListParagraph"/>
        <w:numPr>
          <w:ilvl w:val="0"/>
          <w:numId w:val="2"/>
        </w:numPr>
        <w:rPr>
          <w:rFonts w:ascii="Lexend" w:hAnsi="Lexend"/>
        </w:rPr>
      </w:pPr>
      <w:r w:rsidRPr="00627EF8">
        <w:rPr>
          <w:rFonts w:ascii="Lexend" w:hAnsi="Lexend"/>
        </w:rPr>
        <w:t>Voluntary Turnover:</w:t>
      </w:r>
    </w:p>
    <w:p w14:paraId="216AA243" w14:textId="1CA21570" w:rsidR="004405BB" w:rsidRPr="00627EF8" w:rsidRDefault="004405BB" w:rsidP="004405BB">
      <w:pPr>
        <w:pStyle w:val="ListParagraph"/>
        <w:numPr>
          <w:ilvl w:val="1"/>
          <w:numId w:val="2"/>
        </w:numPr>
        <w:rPr>
          <w:rFonts w:ascii="Lexend" w:hAnsi="Lexend"/>
        </w:rPr>
      </w:pPr>
      <w:r w:rsidRPr="00627EF8">
        <w:rPr>
          <w:rFonts w:ascii="Lexend" w:hAnsi="Lexend"/>
        </w:rPr>
        <w:t>Monthly sheets: There is a sheet for each month in the period that includes all employees that are included in that month’s headcount (e.g., Sheet “Jan” has all employees included in January’s headcount).</w:t>
      </w:r>
    </w:p>
    <w:p w14:paraId="27BAA5FD" w14:textId="213762F5" w:rsidR="004405BB" w:rsidRPr="00627EF8" w:rsidRDefault="004405BB" w:rsidP="004405BB">
      <w:pPr>
        <w:pStyle w:val="ListParagraph"/>
        <w:numPr>
          <w:ilvl w:val="1"/>
          <w:numId w:val="2"/>
        </w:numPr>
        <w:rPr>
          <w:rFonts w:ascii="Lexend" w:hAnsi="Lexend"/>
        </w:rPr>
      </w:pPr>
      <w:r w:rsidRPr="00627EF8">
        <w:rPr>
          <w:rFonts w:ascii="Lexend" w:hAnsi="Lexend"/>
        </w:rPr>
        <w:t>Voluntary Terms: This sheet includes all voluntary terminations that occurred during the period.</w:t>
      </w:r>
    </w:p>
    <w:p w14:paraId="4532A56C" w14:textId="73E61BA0" w:rsidR="002053DA" w:rsidRPr="00627EF8" w:rsidRDefault="002053DA" w:rsidP="001017D2">
      <w:pPr>
        <w:pStyle w:val="Heading2"/>
        <w:rPr>
          <w:rFonts w:ascii="Lexend" w:hAnsi="Lexend"/>
        </w:rPr>
      </w:pPr>
      <w:r w:rsidRPr="00627EF8">
        <w:rPr>
          <w:rFonts w:ascii="Lexend" w:hAnsi="Lexend"/>
        </w:rPr>
        <w:t>Internal Fill Rate</w:t>
      </w:r>
    </w:p>
    <w:p w14:paraId="4CFA7FE3" w14:textId="1B1DDA50" w:rsidR="002053DA" w:rsidRPr="00627EF8" w:rsidRDefault="002053DA">
      <w:pPr>
        <w:rPr>
          <w:rFonts w:ascii="Lexend" w:hAnsi="Lexend"/>
          <w:sz w:val="20"/>
          <w:szCs w:val="20"/>
        </w:rPr>
      </w:pPr>
      <m:oMathPara>
        <m:oMath>
          <m:r>
            <w:rPr>
              <w:rFonts w:ascii="Cambria Math" w:eastAsiaTheme="minorEastAsia" w:hAnsi="Cambria Math"/>
              <w:color w:val="000000" w:themeColor="text1"/>
              <w:kern w:val="24"/>
            </w:rPr>
            <m:t>Internal Fill Rate= </m:t>
          </m:r>
          <m:f>
            <m:fPr>
              <m:ctrlPr>
                <w:rPr>
                  <w:rFonts w:ascii="Cambria Math" w:eastAsiaTheme="minorEastAsia" w:hAnsi="Cambria Math"/>
                  <w:i/>
                  <w:iCs/>
                  <w:color w:val="000000" w:themeColor="text1"/>
                  <w:kern w:val="24"/>
                </w:rPr>
              </m:ctrlPr>
            </m:fPr>
            <m:num>
              <m:r>
                <w:rPr>
                  <w:rFonts w:ascii="Cambria Math" w:eastAsiaTheme="minorEastAsia" w:hAnsi="Cambria Math"/>
                  <w:color w:val="000000" w:themeColor="text1"/>
                  <w:kern w:val="24"/>
                </w:rPr>
                <m:t># Filled Internally</m:t>
              </m:r>
            </m:num>
            <m:den>
              <m:r>
                <w:rPr>
                  <w:rFonts w:ascii="Cambria Math" w:eastAsiaTheme="minorEastAsia" w:hAnsi="Cambria Math"/>
                  <w:color w:val="000000" w:themeColor="text1"/>
                  <w:kern w:val="24"/>
                </w:rPr>
                <m:t>(# Filled Internally+# Filled Externally)</m:t>
              </m:r>
            </m:den>
          </m:f>
        </m:oMath>
      </m:oMathPara>
    </w:p>
    <w:p w14:paraId="7AC0574B" w14:textId="53F34CDE" w:rsidR="002053DA" w:rsidRPr="00627EF8" w:rsidRDefault="002053DA">
      <w:pPr>
        <w:rPr>
          <w:rFonts w:ascii="Lexend" w:hAnsi="Lexend"/>
        </w:rPr>
      </w:pPr>
    </w:p>
    <w:tbl>
      <w:tblPr>
        <w:tblW w:w="10087" w:type="dxa"/>
        <w:tblCellMar>
          <w:left w:w="0" w:type="dxa"/>
          <w:right w:w="0" w:type="dxa"/>
        </w:tblCellMar>
        <w:tblLook w:val="0600" w:firstRow="0" w:lastRow="0" w:firstColumn="0" w:lastColumn="0" w:noHBand="1" w:noVBand="1"/>
      </w:tblPr>
      <w:tblGrid>
        <w:gridCol w:w="1627"/>
        <w:gridCol w:w="2310"/>
        <w:gridCol w:w="6150"/>
      </w:tblGrid>
      <w:tr w:rsidR="002053DA" w:rsidRPr="00627EF8" w14:paraId="58D69EB4" w14:textId="77777777" w:rsidTr="001017D2">
        <w:trPr>
          <w:trHeight w:val="414"/>
        </w:trPr>
        <w:tc>
          <w:tcPr>
            <w:tcW w:w="1627" w:type="dxa"/>
            <w:vMerge w:val="restart"/>
            <w:tcBorders>
              <w:top w:val="single" w:sz="18" w:space="0" w:color="71B840"/>
              <w:left w:val="single" w:sz="18" w:space="0" w:color="71B840"/>
              <w:bottom w:val="single" w:sz="18" w:space="0" w:color="002F6C"/>
              <w:right w:val="single" w:sz="8" w:space="0" w:color="FFFFFF"/>
            </w:tcBorders>
            <w:shd w:val="clear" w:color="auto" w:fill="71B840"/>
            <w:tcMar>
              <w:top w:w="72" w:type="dxa"/>
              <w:left w:w="144" w:type="dxa"/>
              <w:bottom w:w="72" w:type="dxa"/>
              <w:right w:w="144" w:type="dxa"/>
            </w:tcMar>
            <w:vAlign w:val="center"/>
            <w:hideMark/>
          </w:tcPr>
          <w:p w14:paraId="1B5563CE" w14:textId="77777777" w:rsidR="002053DA" w:rsidRPr="00627EF8" w:rsidRDefault="002053DA" w:rsidP="002053DA">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Scope</w:t>
            </w:r>
          </w:p>
        </w:tc>
        <w:tc>
          <w:tcPr>
            <w:tcW w:w="2310" w:type="dxa"/>
            <w:tcBorders>
              <w:top w:val="single" w:sz="1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35E28EC8"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Source</w:t>
            </w:r>
          </w:p>
        </w:tc>
        <w:tc>
          <w:tcPr>
            <w:tcW w:w="6150" w:type="dxa"/>
            <w:tcBorders>
              <w:top w:val="single" w:sz="1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4F8C6A4B"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PA - Active &amp; Terminated</w:t>
            </w:r>
            <w:r w:rsidRPr="00627EF8">
              <w:rPr>
                <w:rFonts w:ascii="Lexend" w:eastAsia="Times New Roman" w:hAnsi="Lexend" w:cs="Arial"/>
                <w:color w:val="000000" w:themeColor="dark1"/>
                <w:kern w:val="24"/>
                <w14:ligatures w14:val="none"/>
              </w:rPr>
              <w:br/>
              <w:t>RRX – Worker Data – Hires and Job Changes</w:t>
            </w:r>
          </w:p>
        </w:tc>
      </w:tr>
      <w:tr w:rsidR="002053DA" w:rsidRPr="00627EF8" w14:paraId="2DFE3C69" w14:textId="77777777" w:rsidTr="002053DA">
        <w:trPr>
          <w:trHeight w:val="61"/>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3C9348F7"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796302F2"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Within period</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674E83C"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Position start date within period</w:t>
            </w:r>
          </w:p>
        </w:tc>
      </w:tr>
      <w:tr w:rsidR="002053DA" w:rsidRPr="00627EF8" w14:paraId="162AAA59" w14:textId="77777777" w:rsidTr="002053DA">
        <w:trPr>
          <w:trHeight w:val="57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0D60503B"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42F290DE"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Target population</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EAC7FA5" w14:textId="59615A6A"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Supervisor+ (by career level)</w:t>
            </w:r>
          </w:p>
          <w:p w14:paraId="6AA9C577"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Employees only (no contingent)</w:t>
            </w:r>
          </w:p>
          <w:p w14:paraId="0E094F0F"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HR is removed</w:t>
            </w:r>
          </w:p>
        </w:tc>
      </w:tr>
      <w:tr w:rsidR="002053DA" w:rsidRPr="00627EF8" w14:paraId="5519C2F5" w14:textId="77777777" w:rsidTr="002053DA">
        <w:trPr>
          <w:trHeight w:val="11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7DD5DF23"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10DE3482"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Size</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37911D31"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Guideline: 20+</w:t>
            </w:r>
          </w:p>
        </w:tc>
      </w:tr>
      <w:tr w:rsidR="002053DA" w:rsidRPr="00627EF8" w14:paraId="5AAB0C8C" w14:textId="77777777" w:rsidTr="002053DA">
        <w:trPr>
          <w:trHeight w:val="2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585908E5"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18" w:space="0" w:color="002F6C"/>
              <w:right w:val="single" w:sz="8" w:space="0" w:color="FFFFFF"/>
            </w:tcBorders>
            <w:shd w:val="clear" w:color="auto" w:fill="auto"/>
            <w:tcMar>
              <w:top w:w="72" w:type="dxa"/>
              <w:left w:w="144" w:type="dxa"/>
              <w:bottom w:w="72" w:type="dxa"/>
              <w:right w:w="144" w:type="dxa"/>
            </w:tcMar>
            <w:vAlign w:val="center"/>
            <w:hideMark/>
          </w:tcPr>
          <w:p w14:paraId="6AB71580"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Audience</w:t>
            </w:r>
          </w:p>
        </w:tc>
        <w:tc>
          <w:tcPr>
            <w:tcW w:w="6150" w:type="dxa"/>
            <w:tcBorders>
              <w:top w:val="single" w:sz="8" w:space="0" w:color="71B840"/>
              <w:left w:val="single" w:sz="8" w:space="0" w:color="FFFFFF"/>
              <w:bottom w:val="single" w:sz="18" w:space="0" w:color="002F6C"/>
              <w:right w:val="single" w:sz="18" w:space="0" w:color="71B840"/>
            </w:tcBorders>
            <w:shd w:val="clear" w:color="auto" w:fill="auto"/>
            <w:tcMar>
              <w:top w:w="72" w:type="dxa"/>
              <w:left w:w="144" w:type="dxa"/>
              <w:bottom w:w="72" w:type="dxa"/>
              <w:right w:w="144" w:type="dxa"/>
            </w:tcMar>
            <w:vAlign w:val="center"/>
            <w:hideMark/>
          </w:tcPr>
          <w:p w14:paraId="0CC0C750"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All HRBPs</w:t>
            </w:r>
          </w:p>
        </w:tc>
      </w:tr>
      <w:tr w:rsidR="002053DA" w:rsidRPr="00627EF8" w14:paraId="77FF291F" w14:textId="77777777" w:rsidTr="002053DA">
        <w:trPr>
          <w:trHeight w:val="20"/>
        </w:trPr>
        <w:tc>
          <w:tcPr>
            <w:tcW w:w="1627" w:type="dxa"/>
            <w:vMerge w:val="restart"/>
            <w:tcBorders>
              <w:top w:val="single" w:sz="18" w:space="0" w:color="002F6C"/>
              <w:left w:val="single" w:sz="18" w:space="0" w:color="002F6C"/>
              <w:bottom w:val="single" w:sz="18" w:space="0" w:color="000000"/>
              <w:right w:val="single" w:sz="8" w:space="0" w:color="002F6C"/>
            </w:tcBorders>
            <w:shd w:val="clear" w:color="auto" w:fill="002F6C"/>
            <w:tcMar>
              <w:top w:w="72" w:type="dxa"/>
              <w:left w:w="144" w:type="dxa"/>
              <w:bottom w:w="72" w:type="dxa"/>
              <w:right w:w="144" w:type="dxa"/>
            </w:tcMar>
            <w:vAlign w:val="center"/>
            <w:hideMark/>
          </w:tcPr>
          <w:p w14:paraId="6F0D3172" w14:textId="77777777" w:rsidR="002053DA" w:rsidRPr="00627EF8" w:rsidRDefault="002053DA" w:rsidP="002053DA">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Definitions</w:t>
            </w:r>
          </w:p>
        </w:tc>
        <w:tc>
          <w:tcPr>
            <w:tcW w:w="2310" w:type="dxa"/>
            <w:tcBorders>
              <w:top w:val="single" w:sz="18" w:space="0" w:color="002F6C"/>
              <w:left w:val="single" w:sz="8" w:space="0" w:color="002F6C"/>
              <w:bottom w:val="single" w:sz="8" w:space="0" w:color="002F6C"/>
              <w:right w:val="single" w:sz="8" w:space="0" w:color="FFFFFF"/>
            </w:tcBorders>
            <w:shd w:val="clear" w:color="auto" w:fill="auto"/>
            <w:tcMar>
              <w:top w:w="72" w:type="dxa"/>
              <w:left w:w="144" w:type="dxa"/>
              <w:bottom w:w="72" w:type="dxa"/>
              <w:right w:w="144" w:type="dxa"/>
            </w:tcMar>
            <w:vAlign w:val="center"/>
            <w:hideMark/>
          </w:tcPr>
          <w:p w14:paraId="682ED367"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Internally Filled</w:t>
            </w:r>
          </w:p>
        </w:tc>
        <w:tc>
          <w:tcPr>
            <w:tcW w:w="6150" w:type="dxa"/>
            <w:tcBorders>
              <w:top w:val="single" w:sz="18" w:space="0" w:color="002F6C"/>
              <w:left w:val="single" w:sz="8" w:space="0" w:color="FFFFFF"/>
              <w:bottom w:val="single" w:sz="8" w:space="0" w:color="002F6C"/>
              <w:right w:val="single" w:sz="18" w:space="0" w:color="002F6C"/>
            </w:tcBorders>
            <w:shd w:val="clear" w:color="auto" w:fill="auto"/>
            <w:tcMar>
              <w:top w:w="72" w:type="dxa"/>
              <w:left w:w="144" w:type="dxa"/>
              <w:bottom w:w="72" w:type="dxa"/>
              <w:right w:w="144" w:type="dxa"/>
            </w:tcMar>
            <w:vAlign w:val="center"/>
            <w:hideMark/>
          </w:tcPr>
          <w:p w14:paraId="67711352" w14:textId="6D6AC5F2"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If hire date is before position start date</w:t>
            </w:r>
          </w:p>
        </w:tc>
      </w:tr>
      <w:tr w:rsidR="002053DA" w:rsidRPr="00627EF8" w14:paraId="696F9435" w14:textId="77777777" w:rsidTr="002053DA">
        <w:trPr>
          <w:trHeight w:val="20"/>
        </w:trPr>
        <w:tc>
          <w:tcPr>
            <w:tcW w:w="1627" w:type="dxa"/>
            <w:vMerge/>
            <w:tcBorders>
              <w:top w:val="single" w:sz="18" w:space="0" w:color="002F6C"/>
              <w:left w:val="single" w:sz="18" w:space="0" w:color="002F6C"/>
              <w:bottom w:val="single" w:sz="18" w:space="0" w:color="000000"/>
              <w:right w:val="single" w:sz="8" w:space="0" w:color="002F6C"/>
            </w:tcBorders>
            <w:vAlign w:val="center"/>
            <w:hideMark/>
          </w:tcPr>
          <w:p w14:paraId="12D97F87"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002F6C"/>
              <w:left w:val="single" w:sz="8" w:space="0" w:color="002F6C"/>
              <w:bottom w:val="single" w:sz="18" w:space="0" w:color="000000"/>
              <w:right w:val="single" w:sz="8" w:space="0" w:color="FFFFFF"/>
            </w:tcBorders>
            <w:shd w:val="clear" w:color="auto" w:fill="auto"/>
            <w:tcMar>
              <w:top w:w="72" w:type="dxa"/>
              <w:left w:w="144" w:type="dxa"/>
              <w:bottom w:w="72" w:type="dxa"/>
              <w:right w:w="144" w:type="dxa"/>
            </w:tcMar>
            <w:vAlign w:val="center"/>
            <w:hideMark/>
          </w:tcPr>
          <w:p w14:paraId="3CFE1BDC"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Externally Filled</w:t>
            </w:r>
          </w:p>
        </w:tc>
        <w:tc>
          <w:tcPr>
            <w:tcW w:w="6150" w:type="dxa"/>
            <w:tcBorders>
              <w:top w:val="single" w:sz="8" w:space="0" w:color="002F6C"/>
              <w:left w:val="single" w:sz="8" w:space="0" w:color="FFFFFF"/>
              <w:bottom w:val="single" w:sz="18" w:space="0" w:color="000000"/>
              <w:right w:val="single" w:sz="18" w:space="0" w:color="002F6C"/>
            </w:tcBorders>
            <w:shd w:val="clear" w:color="auto" w:fill="auto"/>
            <w:tcMar>
              <w:top w:w="72" w:type="dxa"/>
              <w:left w:w="144" w:type="dxa"/>
              <w:bottom w:w="72" w:type="dxa"/>
              <w:right w:w="144" w:type="dxa"/>
            </w:tcMar>
            <w:vAlign w:val="center"/>
            <w:hideMark/>
          </w:tcPr>
          <w:p w14:paraId="7B7F9B23" w14:textId="03603122"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If hire date is equal to position start date</w:t>
            </w:r>
          </w:p>
        </w:tc>
      </w:tr>
    </w:tbl>
    <w:p w14:paraId="204DA507" w14:textId="77777777" w:rsidR="002053DA" w:rsidRPr="00627EF8" w:rsidRDefault="002053DA">
      <w:pPr>
        <w:rPr>
          <w:rFonts w:ascii="Lexend" w:hAnsi="Lexend"/>
        </w:rPr>
      </w:pPr>
    </w:p>
    <w:p w14:paraId="27EAA10C" w14:textId="2CC179B1" w:rsidR="005E42B7" w:rsidRPr="00627EF8" w:rsidRDefault="005E42B7" w:rsidP="001017D2">
      <w:pPr>
        <w:pStyle w:val="Heading2"/>
        <w:rPr>
          <w:rFonts w:ascii="Lexend" w:hAnsi="Lexend"/>
        </w:rPr>
      </w:pPr>
      <w:r w:rsidRPr="00627EF8">
        <w:rPr>
          <w:rFonts w:ascii="Lexend" w:hAnsi="Lexend"/>
        </w:rPr>
        <w:t>Voluntary Professional+ Turnover</w:t>
      </w:r>
    </w:p>
    <w:p w14:paraId="153E2321" w14:textId="77777777" w:rsidR="005E42B7" w:rsidRPr="00627EF8" w:rsidRDefault="005E42B7" w:rsidP="005E42B7">
      <w:pPr>
        <w:pStyle w:val="NormalWeb"/>
        <w:spacing w:before="0" w:beforeAutospacing="0" w:after="0" w:afterAutospacing="0" w:line="216" w:lineRule="auto"/>
        <w:jc w:val="center"/>
        <w:rPr>
          <w:rFonts w:ascii="Lexend" w:hAnsi="Lexend"/>
          <w:sz w:val="18"/>
          <w:szCs w:val="18"/>
        </w:rPr>
      </w:pPr>
      <m:oMath>
        <m:r>
          <w:rPr>
            <w:rFonts w:ascii="Cambria Math" w:eastAsiaTheme="minorEastAsia" w:hAnsi="Cambria Math" w:cstheme="minorBidi"/>
            <w:color w:val="000000" w:themeColor="text1"/>
            <w:kern w:val="24"/>
          </w:rPr>
          <m:t>Annualized Voluntary Turnover Rate=(</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Total Voluntary Terminations</m:t>
            </m:r>
          </m:num>
          <m:den>
            <m:r>
              <w:rPr>
                <w:rFonts w:ascii="Cambria Math" w:eastAsia="Cambria Math" w:hAnsi="Cambria Math" w:cstheme="minorBidi"/>
                <w:color w:val="000000" w:themeColor="text1"/>
                <w:kern w:val="24"/>
              </w:rPr>
              <m:t>Average Monthly Headcount</m:t>
            </m:r>
          </m:den>
        </m:f>
        <m:r>
          <w:rPr>
            <w:rFonts w:ascii="Cambria Math" w:eastAsia="Cambria Math" w:hAnsi="Cambria Math" w:cstheme="minorBidi"/>
            <w:color w:val="000000" w:themeColor="text1"/>
            <w:kern w:val="24"/>
          </w:rPr>
          <m:t>) ×(</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12</m:t>
            </m:r>
          </m:num>
          <m:den>
            <m:r>
              <w:rPr>
                <w:rFonts w:ascii="Cambria Math" w:eastAsia="Cambria Math" w:hAnsi="Cambria Math" w:cstheme="minorBidi"/>
                <w:color w:val="000000" w:themeColor="text1"/>
                <w:kern w:val="24"/>
              </w:rPr>
              <m:t>Current Month #</m:t>
            </m:r>
          </m:den>
        </m:f>
        <m:r>
          <w:rPr>
            <w:rFonts w:ascii="Cambria Math" w:eastAsia="Cambria Math" w:hAnsi="Cambria Math" w:cstheme="minorBidi"/>
            <w:color w:val="000000" w:themeColor="text1"/>
            <w:kern w:val="24"/>
          </w:rPr>
          <m:t>)</m:t>
        </m:r>
      </m:oMath>
      <w:r w:rsidRPr="00627EF8">
        <w:rPr>
          <w:rFonts w:ascii="Lexend" w:eastAsia="Cambria Math" w:hAnsi="Lexend" w:cstheme="minorBidi"/>
          <w:color w:val="000000" w:themeColor="text1"/>
          <w:kern w:val="24"/>
        </w:rPr>
        <w:t xml:space="preserve">   </w:t>
      </w:r>
    </w:p>
    <w:p w14:paraId="77795DE8" w14:textId="77777777" w:rsidR="005E42B7" w:rsidRPr="00627EF8" w:rsidRDefault="005E42B7" w:rsidP="005E42B7">
      <w:pPr>
        <w:rPr>
          <w:rFonts w:ascii="Lexend" w:hAnsi="Lexend"/>
        </w:rPr>
      </w:pPr>
    </w:p>
    <w:tbl>
      <w:tblPr>
        <w:tblW w:w="10109" w:type="dxa"/>
        <w:tblCellMar>
          <w:left w:w="0" w:type="dxa"/>
          <w:right w:w="0" w:type="dxa"/>
        </w:tblCellMar>
        <w:tblLook w:val="0600" w:firstRow="0" w:lastRow="0" w:firstColumn="0" w:lastColumn="0" w:noHBand="1" w:noVBand="1"/>
      </w:tblPr>
      <w:tblGrid>
        <w:gridCol w:w="1627"/>
        <w:gridCol w:w="1615"/>
        <w:gridCol w:w="6867"/>
      </w:tblGrid>
      <w:tr w:rsidR="005E42B7" w:rsidRPr="00627EF8" w14:paraId="338AE416" w14:textId="77777777" w:rsidTr="001017D2">
        <w:trPr>
          <w:trHeight w:val="186"/>
        </w:trPr>
        <w:tc>
          <w:tcPr>
            <w:tcW w:w="1627" w:type="dxa"/>
            <w:vMerge w:val="restart"/>
            <w:tcBorders>
              <w:top w:val="single" w:sz="18" w:space="0" w:color="71B840"/>
              <w:left w:val="single" w:sz="18" w:space="0" w:color="71B840"/>
              <w:bottom w:val="single" w:sz="18" w:space="0" w:color="002F6C"/>
              <w:right w:val="single" w:sz="8" w:space="0" w:color="FFFFFF"/>
            </w:tcBorders>
            <w:shd w:val="clear" w:color="auto" w:fill="71B840"/>
            <w:tcMar>
              <w:top w:w="72" w:type="dxa"/>
              <w:left w:w="144" w:type="dxa"/>
              <w:bottom w:w="72" w:type="dxa"/>
              <w:right w:w="144" w:type="dxa"/>
            </w:tcMar>
            <w:vAlign w:val="center"/>
            <w:hideMark/>
          </w:tcPr>
          <w:p w14:paraId="23B36932" w14:textId="77777777" w:rsidR="005E42B7" w:rsidRPr="00627EF8" w:rsidRDefault="005E42B7" w:rsidP="005E42B7">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Scope</w:t>
            </w:r>
          </w:p>
        </w:tc>
        <w:tc>
          <w:tcPr>
            <w:tcW w:w="1615" w:type="dxa"/>
            <w:tcBorders>
              <w:top w:val="single" w:sz="1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34D76986"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Source</w:t>
            </w:r>
          </w:p>
        </w:tc>
        <w:tc>
          <w:tcPr>
            <w:tcW w:w="6867" w:type="dxa"/>
            <w:tcBorders>
              <w:top w:val="single" w:sz="1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46F802A9" w14:textId="4882A7FC" w:rsidR="005E42B7" w:rsidRPr="00627EF8" w:rsidRDefault="001017D2"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 xml:space="preserve">PA - </w:t>
            </w:r>
            <w:r w:rsidR="005E42B7" w:rsidRPr="00627EF8">
              <w:rPr>
                <w:rFonts w:ascii="Lexend" w:eastAsia="Times New Roman" w:hAnsi="Lexend" w:cs="Arial"/>
                <w:color w:val="000000" w:themeColor="dark1"/>
                <w:kern w:val="24"/>
                <w14:ligatures w14:val="none"/>
              </w:rPr>
              <w:t>Active &amp; Terminated</w:t>
            </w:r>
          </w:p>
        </w:tc>
      </w:tr>
      <w:tr w:rsidR="005E42B7" w:rsidRPr="00627EF8" w14:paraId="26E3C522" w14:textId="77777777" w:rsidTr="001017D2">
        <w:trPr>
          <w:trHeight w:val="604"/>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725CFFE6" w14:textId="77777777" w:rsidR="005E42B7" w:rsidRPr="00627EF8" w:rsidRDefault="005E42B7" w:rsidP="005E42B7">
            <w:pPr>
              <w:spacing w:after="0" w:line="240" w:lineRule="auto"/>
              <w:rPr>
                <w:rFonts w:ascii="Lexend" w:eastAsia="Times New Roman" w:hAnsi="Lexend" w:cs="Arial"/>
                <w:kern w:val="0"/>
                <w14:ligatures w14:val="none"/>
              </w:rPr>
            </w:pPr>
          </w:p>
        </w:tc>
        <w:tc>
          <w:tcPr>
            <w:tcW w:w="1615"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74D20793"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Within period</w:t>
            </w:r>
          </w:p>
        </w:tc>
        <w:tc>
          <w:tcPr>
            <w:tcW w:w="6867"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38797755"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01/01/YY – last day of full month</w:t>
            </w:r>
          </w:p>
        </w:tc>
      </w:tr>
      <w:tr w:rsidR="005E42B7" w:rsidRPr="00627EF8" w14:paraId="6171E944" w14:textId="77777777" w:rsidTr="001017D2">
        <w:trPr>
          <w:trHeight w:val="604"/>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0B0E673F" w14:textId="77777777" w:rsidR="005E42B7" w:rsidRPr="00627EF8" w:rsidRDefault="005E42B7" w:rsidP="005E42B7">
            <w:pPr>
              <w:spacing w:after="0" w:line="240" w:lineRule="auto"/>
              <w:rPr>
                <w:rFonts w:ascii="Lexend" w:eastAsia="Times New Roman" w:hAnsi="Lexend" w:cs="Arial"/>
                <w:kern w:val="0"/>
                <w14:ligatures w14:val="none"/>
              </w:rPr>
            </w:pPr>
          </w:p>
        </w:tc>
        <w:tc>
          <w:tcPr>
            <w:tcW w:w="1615"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429B90B6"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Target population</w:t>
            </w:r>
          </w:p>
        </w:tc>
        <w:tc>
          <w:tcPr>
            <w:tcW w:w="6867"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50B7221" w14:textId="6FF2F69F"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 xml:space="preserve">All </w:t>
            </w:r>
            <w:r w:rsidR="001017D2" w:rsidRPr="00627EF8">
              <w:rPr>
                <w:rFonts w:ascii="Lexend" w:eastAsia="Times New Roman" w:hAnsi="Lexend" w:cs="Arial"/>
                <w:color w:val="000000" w:themeColor="dark1"/>
                <w:kern w:val="24"/>
                <w14:ligatures w14:val="none"/>
              </w:rPr>
              <w:t>career levels, excluding DL/IDL</w:t>
            </w:r>
          </w:p>
          <w:p w14:paraId="032637EE"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Employees only (no contingent)</w:t>
            </w:r>
          </w:p>
          <w:p w14:paraId="6C3C5410"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HR is removed</w:t>
            </w:r>
          </w:p>
        </w:tc>
      </w:tr>
      <w:tr w:rsidR="005E42B7" w:rsidRPr="00627EF8" w14:paraId="5837BC86" w14:textId="77777777" w:rsidTr="001017D2">
        <w:trPr>
          <w:trHeight w:val="229"/>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6A0EC56B" w14:textId="77777777" w:rsidR="005E42B7" w:rsidRPr="00627EF8" w:rsidRDefault="005E42B7" w:rsidP="005E42B7">
            <w:pPr>
              <w:spacing w:after="0" w:line="240" w:lineRule="auto"/>
              <w:rPr>
                <w:rFonts w:ascii="Lexend" w:eastAsia="Times New Roman" w:hAnsi="Lexend" w:cs="Arial"/>
                <w:kern w:val="0"/>
                <w14:ligatures w14:val="none"/>
              </w:rPr>
            </w:pPr>
          </w:p>
        </w:tc>
        <w:tc>
          <w:tcPr>
            <w:tcW w:w="1615"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53B89367"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Size</w:t>
            </w:r>
          </w:p>
        </w:tc>
        <w:tc>
          <w:tcPr>
            <w:tcW w:w="6867"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AFBC815"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Guideline: 20+</w:t>
            </w:r>
          </w:p>
        </w:tc>
      </w:tr>
      <w:tr w:rsidR="005E42B7" w:rsidRPr="00627EF8" w14:paraId="3BB77619" w14:textId="77777777" w:rsidTr="001017D2">
        <w:trPr>
          <w:trHeight w:val="220"/>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6D4833EC" w14:textId="77777777" w:rsidR="005E42B7" w:rsidRPr="00627EF8" w:rsidRDefault="005E42B7" w:rsidP="005E42B7">
            <w:pPr>
              <w:spacing w:after="0" w:line="240" w:lineRule="auto"/>
              <w:rPr>
                <w:rFonts w:ascii="Lexend" w:eastAsia="Times New Roman" w:hAnsi="Lexend" w:cs="Arial"/>
                <w:kern w:val="0"/>
                <w14:ligatures w14:val="none"/>
              </w:rPr>
            </w:pPr>
          </w:p>
        </w:tc>
        <w:tc>
          <w:tcPr>
            <w:tcW w:w="1615" w:type="dxa"/>
            <w:tcBorders>
              <w:top w:val="single" w:sz="8" w:space="0" w:color="71B840"/>
              <w:left w:val="single" w:sz="8" w:space="0" w:color="FFFFFF"/>
              <w:bottom w:val="single" w:sz="18" w:space="0" w:color="002F6C"/>
              <w:right w:val="single" w:sz="8" w:space="0" w:color="71B840"/>
            </w:tcBorders>
            <w:shd w:val="clear" w:color="auto" w:fill="auto"/>
            <w:tcMar>
              <w:top w:w="72" w:type="dxa"/>
              <w:left w:w="144" w:type="dxa"/>
              <w:bottom w:w="72" w:type="dxa"/>
              <w:right w:w="144" w:type="dxa"/>
            </w:tcMar>
            <w:vAlign w:val="center"/>
            <w:hideMark/>
          </w:tcPr>
          <w:p w14:paraId="05FCDD5F"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Audience</w:t>
            </w:r>
          </w:p>
        </w:tc>
        <w:tc>
          <w:tcPr>
            <w:tcW w:w="6867" w:type="dxa"/>
            <w:tcBorders>
              <w:top w:val="single" w:sz="8" w:space="0" w:color="71B840"/>
              <w:left w:val="single" w:sz="8" w:space="0" w:color="71B840"/>
              <w:bottom w:val="single" w:sz="18" w:space="0" w:color="002F6C"/>
              <w:right w:val="single" w:sz="18" w:space="0" w:color="71B840"/>
            </w:tcBorders>
            <w:shd w:val="clear" w:color="auto" w:fill="auto"/>
            <w:tcMar>
              <w:top w:w="72" w:type="dxa"/>
              <w:left w:w="144" w:type="dxa"/>
              <w:bottom w:w="72" w:type="dxa"/>
              <w:right w:w="144" w:type="dxa"/>
            </w:tcMar>
            <w:vAlign w:val="center"/>
            <w:hideMark/>
          </w:tcPr>
          <w:p w14:paraId="50C54A12"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All HRBP</w:t>
            </w:r>
          </w:p>
        </w:tc>
      </w:tr>
      <w:tr w:rsidR="005E42B7" w:rsidRPr="00627EF8" w14:paraId="6DD519E5" w14:textId="77777777" w:rsidTr="001017D2">
        <w:trPr>
          <w:trHeight w:val="446"/>
        </w:trPr>
        <w:tc>
          <w:tcPr>
            <w:tcW w:w="1627" w:type="dxa"/>
            <w:vMerge w:val="restart"/>
            <w:tcBorders>
              <w:top w:val="single" w:sz="18" w:space="0" w:color="002F6C"/>
              <w:left w:val="single" w:sz="18" w:space="0" w:color="002F6C"/>
              <w:bottom w:val="single" w:sz="18" w:space="0" w:color="002F6C"/>
              <w:right w:val="single" w:sz="8" w:space="0" w:color="002F6C"/>
            </w:tcBorders>
            <w:shd w:val="clear" w:color="auto" w:fill="002F6C"/>
            <w:tcMar>
              <w:top w:w="72" w:type="dxa"/>
              <w:left w:w="144" w:type="dxa"/>
              <w:bottom w:w="72" w:type="dxa"/>
              <w:right w:w="144" w:type="dxa"/>
            </w:tcMar>
            <w:vAlign w:val="center"/>
            <w:hideMark/>
          </w:tcPr>
          <w:p w14:paraId="083A6398" w14:textId="77777777" w:rsidR="005E42B7" w:rsidRPr="00627EF8" w:rsidRDefault="005E42B7" w:rsidP="005E42B7">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Definitions</w:t>
            </w:r>
          </w:p>
        </w:tc>
        <w:tc>
          <w:tcPr>
            <w:tcW w:w="1615" w:type="dxa"/>
            <w:tcBorders>
              <w:top w:val="single" w:sz="18" w:space="0" w:color="002F6C"/>
              <w:left w:val="single" w:sz="8" w:space="0" w:color="002F6C"/>
              <w:bottom w:val="single" w:sz="8" w:space="0" w:color="002F6C"/>
              <w:right w:val="single" w:sz="8" w:space="0" w:color="002F6C"/>
            </w:tcBorders>
            <w:shd w:val="clear" w:color="auto" w:fill="auto"/>
            <w:tcMar>
              <w:top w:w="72" w:type="dxa"/>
              <w:left w:w="144" w:type="dxa"/>
              <w:bottom w:w="72" w:type="dxa"/>
              <w:right w:w="144" w:type="dxa"/>
            </w:tcMar>
            <w:vAlign w:val="center"/>
            <w:hideMark/>
          </w:tcPr>
          <w:p w14:paraId="430B6EC6"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Voluntary Termination</w:t>
            </w:r>
          </w:p>
        </w:tc>
        <w:tc>
          <w:tcPr>
            <w:tcW w:w="6867" w:type="dxa"/>
            <w:tcBorders>
              <w:top w:val="single" w:sz="18" w:space="0" w:color="002F6C"/>
              <w:left w:val="single" w:sz="8" w:space="0" w:color="002F6C"/>
              <w:bottom w:val="single" w:sz="8" w:space="0" w:color="002F6C"/>
              <w:right w:val="single" w:sz="18" w:space="0" w:color="002F6C"/>
            </w:tcBorders>
            <w:shd w:val="clear" w:color="auto" w:fill="auto"/>
            <w:tcMar>
              <w:top w:w="72" w:type="dxa"/>
              <w:left w:w="144" w:type="dxa"/>
              <w:bottom w:w="72" w:type="dxa"/>
              <w:right w:w="144" w:type="dxa"/>
            </w:tcMar>
            <w:vAlign w:val="center"/>
            <w:hideMark/>
          </w:tcPr>
          <w:p w14:paraId="28A57062"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 termination with any voluntary termination reason</w:t>
            </w:r>
          </w:p>
        </w:tc>
      </w:tr>
      <w:tr w:rsidR="005E42B7" w:rsidRPr="00627EF8" w14:paraId="1BE8E67F" w14:textId="77777777" w:rsidTr="001017D2">
        <w:trPr>
          <w:trHeight w:val="695"/>
        </w:trPr>
        <w:tc>
          <w:tcPr>
            <w:tcW w:w="1627" w:type="dxa"/>
            <w:vMerge/>
            <w:tcBorders>
              <w:top w:val="single" w:sz="18" w:space="0" w:color="002F6C"/>
              <w:left w:val="single" w:sz="18" w:space="0" w:color="002F6C"/>
              <w:bottom w:val="single" w:sz="18" w:space="0" w:color="002F6C"/>
              <w:right w:val="single" w:sz="8" w:space="0" w:color="002F6C"/>
            </w:tcBorders>
            <w:vAlign w:val="center"/>
            <w:hideMark/>
          </w:tcPr>
          <w:p w14:paraId="234F4C2C" w14:textId="77777777" w:rsidR="005E42B7" w:rsidRPr="00627EF8" w:rsidRDefault="005E42B7" w:rsidP="005E42B7">
            <w:pPr>
              <w:spacing w:after="0" w:line="240" w:lineRule="auto"/>
              <w:rPr>
                <w:rFonts w:ascii="Lexend" w:eastAsia="Times New Roman" w:hAnsi="Lexend" w:cs="Arial"/>
                <w:kern w:val="0"/>
                <w14:ligatures w14:val="none"/>
              </w:rPr>
            </w:pPr>
          </w:p>
        </w:tc>
        <w:tc>
          <w:tcPr>
            <w:tcW w:w="1615" w:type="dxa"/>
            <w:tcBorders>
              <w:top w:val="single" w:sz="8" w:space="0" w:color="002F6C"/>
              <w:left w:val="single" w:sz="8" w:space="0" w:color="002F6C"/>
              <w:bottom w:val="single" w:sz="18" w:space="0" w:color="000000"/>
              <w:right w:val="single" w:sz="8" w:space="0" w:color="002F6C"/>
            </w:tcBorders>
            <w:shd w:val="clear" w:color="auto" w:fill="auto"/>
            <w:tcMar>
              <w:top w:w="72" w:type="dxa"/>
              <w:left w:w="144" w:type="dxa"/>
              <w:bottom w:w="72" w:type="dxa"/>
              <w:right w:w="144" w:type="dxa"/>
            </w:tcMar>
            <w:vAlign w:val="center"/>
            <w:hideMark/>
          </w:tcPr>
          <w:p w14:paraId="3429EFB4"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Average Monthly Headcount</w:t>
            </w:r>
          </w:p>
        </w:tc>
        <w:tc>
          <w:tcPr>
            <w:tcW w:w="6867" w:type="dxa"/>
            <w:tcBorders>
              <w:top w:val="single" w:sz="8" w:space="0" w:color="002F6C"/>
              <w:left w:val="single" w:sz="8" w:space="0" w:color="002F6C"/>
              <w:bottom w:val="single" w:sz="18" w:space="0" w:color="000000"/>
              <w:right w:val="single" w:sz="18" w:space="0" w:color="002F6C"/>
            </w:tcBorders>
            <w:shd w:val="clear" w:color="auto" w:fill="auto"/>
            <w:tcMar>
              <w:top w:w="72" w:type="dxa"/>
              <w:left w:w="144" w:type="dxa"/>
              <w:bottom w:w="72" w:type="dxa"/>
              <w:right w:w="144" w:type="dxa"/>
            </w:tcMar>
            <w:vAlign w:val="center"/>
            <w:hideMark/>
          </w:tcPr>
          <w:p w14:paraId="47DD9D50"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The total headcount on the last day of each month divided by the total number of months in the period.</w:t>
            </w:r>
          </w:p>
        </w:tc>
      </w:tr>
    </w:tbl>
    <w:p w14:paraId="4BD38583" w14:textId="77777777" w:rsidR="001017D2" w:rsidRPr="00627EF8" w:rsidRDefault="001017D2" w:rsidP="001017D2">
      <w:pPr>
        <w:rPr>
          <w:rFonts w:ascii="Lexend" w:hAnsi="Lexend"/>
        </w:rPr>
      </w:pPr>
    </w:p>
    <w:p w14:paraId="398A090D" w14:textId="590910BA" w:rsidR="001017D2" w:rsidRPr="00627EF8" w:rsidRDefault="001017D2" w:rsidP="001017D2">
      <w:pPr>
        <w:pStyle w:val="Heading2"/>
        <w:rPr>
          <w:rFonts w:ascii="Lexend" w:hAnsi="Lexend"/>
        </w:rPr>
      </w:pPr>
      <w:r w:rsidRPr="00627EF8">
        <w:rPr>
          <w:rFonts w:ascii="Lexend" w:hAnsi="Lexend"/>
        </w:rPr>
        <w:t>FAQ</w:t>
      </w:r>
    </w:p>
    <w:p w14:paraId="7F89F935" w14:textId="77777777" w:rsidR="001017D2" w:rsidRPr="00627EF8" w:rsidRDefault="001017D2" w:rsidP="001017D2">
      <w:pPr>
        <w:rPr>
          <w:rFonts w:ascii="Lexend" w:hAnsi="Lexend"/>
          <w:i/>
          <w:iCs/>
          <w:color w:val="002060"/>
        </w:rPr>
      </w:pPr>
      <w:r w:rsidRPr="00627EF8">
        <w:rPr>
          <w:rFonts w:ascii="Lexend" w:hAnsi="Lexend"/>
          <w:i/>
          <w:iCs/>
          <w:color w:val="002060"/>
        </w:rPr>
        <w:t>Why is my data different than last month’s update?</w:t>
      </w:r>
    </w:p>
    <w:p w14:paraId="6B2A5D03" w14:textId="77777777" w:rsidR="001017D2" w:rsidRPr="00627EF8" w:rsidRDefault="001017D2" w:rsidP="001017D2">
      <w:pPr>
        <w:rPr>
          <w:rFonts w:ascii="Lexend" w:hAnsi="Lexend"/>
        </w:rPr>
      </w:pPr>
      <w:r w:rsidRPr="00627EF8">
        <w:rPr>
          <w:rFonts w:ascii="Lexend" w:hAnsi="Lexend"/>
        </w:rPr>
        <w:t>Potential scenarios:</w:t>
      </w:r>
    </w:p>
    <w:p w14:paraId="533F388B" w14:textId="77777777" w:rsidR="001017D2" w:rsidRPr="00627EF8" w:rsidRDefault="001017D2" w:rsidP="001017D2">
      <w:pPr>
        <w:pStyle w:val="ListParagraph"/>
        <w:numPr>
          <w:ilvl w:val="0"/>
          <w:numId w:val="1"/>
        </w:numPr>
        <w:rPr>
          <w:rFonts w:ascii="Lexend" w:hAnsi="Lexend"/>
        </w:rPr>
      </w:pPr>
      <w:r w:rsidRPr="00627EF8">
        <w:rPr>
          <w:rFonts w:ascii="Lexend" w:hAnsi="Lexend"/>
        </w:rPr>
        <w:t>Retroactive entries: A move was entered after the data was previously pulled and backdated. For example, if a move was entered on 2/6 and backdated to be effective 1/1, it would not have been included in the January count in the February update, but it would be included in the in the January count in the March update.</w:t>
      </w:r>
    </w:p>
    <w:p w14:paraId="3B692176" w14:textId="77777777" w:rsidR="001017D2" w:rsidRPr="00627EF8" w:rsidRDefault="001017D2" w:rsidP="001017D2">
      <w:pPr>
        <w:pStyle w:val="ListParagraph"/>
        <w:numPr>
          <w:ilvl w:val="0"/>
          <w:numId w:val="1"/>
        </w:numPr>
        <w:rPr>
          <w:rFonts w:ascii="Lexend" w:hAnsi="Lexend"/>
        </w:rPr>
      </w:pPr>
      <w:r w:rsidRPr="00627EF8">
        <w:rPr>
          <w:rFonts w:ascii="Lexend" w:hAnsi="Lexend"/>
        </w:rPr>
        <w:lastRenderedPageBreak/>
        <w:t>Data change: This metric is based on what the data is today and will reflect what the data is currently. For example, if a team is under IPS and then moves to AMC, they will show as always being in AMC.</w:t>
      </w:r>
    </w:p>
    <w:p w14:paraId="10D1C3C8" w14:textId="44F37208" w:rsidR="005E42B7" w:rsidRPr="00627EF8" w:rsidRDefault="001017D2" w:rsidP="005E42B7">
      <w:pPr>
        <w:rPr>
          <w:rFonts w:ascii="Lexend" w:hAnsi="Lexend"/>
          <w:i/>
          <w:iCs/>
          <w:color w:val="002060"/>
        </w:rPr>
      </w:pPr>
      <w:r w:rsidRPr="00627EF8">
        <w:rPr>
          <w:rFonts w:ascii="Lexend" w:hAnsi="Lexend"/>
          <w:i/>
          <w:iCs/>
          <w:color w:val="002060"/>
        </w:rPr>
        <w:t>Who is included in the Manufacturing vs. the Professional+ turnover data?</w:t>
      </w:r>
    </w:p>
    <w:p w14:paraId="70EFF3D7" w14:textId="1E74924C" w:rsidR="001017D2" w:rsidRPr="00627EF8" w:rsidRDefault="001017D2" w:rsidP="005E42B7">
      <w:pPr>
        <w:rPr>
          <w:rFonts w:ascii="Lexend" w:hAnsi="Lexend"/>
        </w:rPr>
      </w:pPr>
      <w:r w:rsidRPr="00627EF8">
        <w:rPr>
          <w:rFonts w:ascii="Lexend" w:hAnsi="Lexend"/>
        </w:rPr>
        <w:t>The Professional+ file contains all those with a career level, this includes those at AT1-E5 levels. The Manufacturing file includes all employees who do not have a career level. These are our DL/IDL employees.</w:t>
      </w:r>
    </w:p>
    <w:p w14:paraId="586B9087" w14:textId="77777777" w:rsidR="004405BB" w:rsidRPr="00627EF8" w:rsidRDefault="00ED3ADD" w:rsidP="005E42B7">
      <w:pPr>
        <w:rPr>
          <w:rFonts w:ascii="Lexend" w:hAnsi="Lexend"/>
          <w:i/>
          <w:iCs/>
          <w:color w:val="002060"/>
        </w:rPr>
      </w:pPr>
      <w:r w:rsidRPr="00627EF8">
        <w:rPr>
          <w:rFonts w:ascii="Lexend" w:hAnsi="Lexend"/>
          <w:i/>
          <w:iCs/>
          <w:color w:val="002060"/>
        </w:rPr>
        <w:t xml:space="preserve">Why is there not additional information on the Data Details page </w:t>
      </w:r>
      <w:r w:rsidR="004405BB" w:rsidRPr="00627EF8">
        <w:rPr>
          <w:rFonts w:ascii="Lexend" w:hAnsi="Lexend"/>
          <w:i/>
          <w:iCs/>
          <w:color w:val="002060"/>
        </w:rPr>
        <w:t xml:space="preserve">for the person I am looking at? </w:t>
      </w:r>
    </w:p>
    <w:p w14:paraId="0655271D" w14:textId="5629A9EA" w:rsidR="00ED3ADD" w:rsidRPr="00627EF8" w:rsidRDefault="004405BB" w:rsidP="005E42B7">
      <w:pPr>
        <w:rPr>
          <w:rFonts w:ascii="Lexend" w:hAnsi="Lexend"/>
        </w:rPr>
      </w:pPr>
      <w:r w:rsidRPr="00627EF8">
        <w:rPr>
          <w:rFonts w:ascii="Lexend" w:hAnsi="Lexend"/>
        </w:rPr>
        <w:t xml:space="preserve">This could be due to an error in how the transaction was processed. For example, if someone received a promotion but it was entered as a lateral move, or if they only had a data change but a new job profile was created in error. You can investigate this further in Workday under Worker History or by reaching out to </w:t>
      </w:r>
      <w:proofErr w:type="spellStart"/>
      <w:r w:rsidRPr="00627EF8">
        <w:rPr>
          <w:rFonts w:ascii="Lexend" w:hAnsi="Lexend"/>
        </w:rPr>
        <w:t>myHR</w:t>
      </w:r>
      <w:proofErr w:type="spellEnd"/>
      <w:r w:rsidRPr="00627EF8">
        <w:rPr>
          <w:rFonts w:ascii="Lexend" w:hAnsi="Lexend"/>
        </w:rPr>
        <w:t>.</w:t>
      </w:r>
    </w:p>
    <w:sectPr w:rsidR="00ED3ADD" w:rsidRPr="0062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3389A"/>
    <w:multiLevelType w:val="hybridMultilevel"/>
    <w:tmpl w:val="1B2E3DAE"/>
    <w:lvl w:ilvl="0" w:tplc="33A470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C4F29"/>
    <w:multiLevelType w:val="hybridMultilevel"/>
    <w:tmpl w:val="F836F794"/>
    <w:lvl w:ilvl="0" w:tplc="B29CABE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864426">
    <w:abstractNumId w:val="0"/>
  </w:num>
  <w:num w:numId="2" w16cid:durableId="37705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DA"/>
    <w:rsid w:val="001017D2"/>
    <w:rsid w:val="002053DA"/>
    <w:rsid w:val="004405BB"/>
    <w:rsid w:val="005E42B7"/>
    <w:rsid w:val="00627EF8"/>
    <w:rsid w:val="00AD6499"/>
    <w:rsid w:val="00ED3ADD"/>
    <w:rsid w:val="00F3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B3CD"/>
  <w15:chartTrackingRefBased/>
  <w15:docId w15:val="{3B87BCF1-0D99-463D-AD52-09F24159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3DA"/>
    <w:rPr>
      <w:rFonts w:eastAsiaTheme="majorEastAsia" w:cstheme="majorBidi"/>
      <w:color w:val="272727" w:themeColor="text1" w:themeTint="D8"/>
    </w:rPr>
  </w:style>
  <w:style w:type="paragraph" w:styleId="Title">
    <w:name w:val="Title"/>
    <w:basedOn w:val="Normal"/>
    <w:next w:val="Normal"/>
    <w:link w:val="TitleChar"/>
    <w:uiPriority w:val="10"/>
    <w:qFormat/>
    <w:rsid w:val="0020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3DA"/>
    <w:pPr>
      <w:spacing w:before="160"/>
      <w:jc w:val="center"/>
    </w:pPr>
    <w:rPr>
      <w:i/>
      <w:iCs/>
      <w:color w:val="404040" w:themeColor="text1" w:themeTint="BF"/>
    </w:rPr>
  </w:style>
  <w:style w:type="character" w:customStyle="1" w:styleId="QuoteChar">
    <w:name w:val="Quote Char"/>
    <w:basedOn w:val="DefaultParagraphFont"/>
    <w:link w:val="Quote"/>
    <w:uiPriority w:val="29"/>
    <w:rsid w:val="002053DA"/>
    <w:rPr>
      <w:i/>
      <w:iCs/>
      <w:color w:val="404040" w:themeColor="text1" w:themeTint="BF"/>
    </w:rPr>
  </w:style>
  <w:style w:type="paragraph" w:styleId="ListParagraph">
    <w:name w:val="List Paragraph"/>
    <w:basedOn w:val="Normal"/>
    <w:uiPriority w:val="34"/>
    <w:qFormat/>
    <w:rsid w:val="002053DA"/>
    <w:pPr>
      <w:ind w:left="720"/>
      <w:contextualSpacing/>
    </w:pPr>
  </w:style>
  <w:style w:type="character" w:styleId="IntenseEmphasis">
    <w:name w:val="Intense Emphasis"/>
    <w:basedOn w:val="DefaultParagraphFont"/>
    <w:uiPriority w:val="21"/>
    <w:qFormat/>
    <w:rsid w:val="002053DA"/>
    <w:rPr>
      <w:i/>
      <w:iCs/>
      <w:color w:val="0F4761" w:themeColor="accent1" w:themeShade="BF"/>
    </w:rPr>
  </w:style>
  <w:style w:type="paragraph" w:styleId="IntenseQuote">
    <w:name w:val="Intense Quote"/>
    <w:basedOn w:val="Normal"/>
    <w:next w:val="Normal"/>
    <w:link w:val="IntenseQuoteChar"/>
    <w:uiPriority w:val="30"/>
    <w:qFormat/>
    <w:rsid w:val="0020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3DA"/>
    <w:rPr>
      <w:i/>
      <w:iCs/>
      <w:color w:val="0F4761" w:themeColor="accent1" w:themeShade="BF"/>
    </w:rPr>
  </w:style>
  <w:style w:type="character" w:styleId="IntenseReference">
    <w:name w:val="Intense Reference"/>
    <w:basedOn w:val="DefaultParagraphFont"/>
    <w:uiPriority w:val="32"/>
    <w:qFormat/>
    <w:rsid w:val="002053DA"/>
    <w:rPr>
      <w:b/>
      <w:bCs/>
      <w:smallCaps/>
      <w:color w:val="0F4761" w:themeColor="accent1" w:themeShade="BF"/>
      <w:spacing w:val="5"/>
    </w:rPr>
  </w:style>
  <w:style w:type="paragraph" w:styleId="NormalWeb">
    <w:name w:val="Normal (Web)"/>
    <w:basedOn w:val="Normal"/>
    <w:uiPriority w:val="99"/>
    <w:semiHidden/>
    <w:unhideWhenUsed/>
    <w:rsid w:val="002053D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676904">
      <w:bodyDiv w:val="1"/>
      <w:marLeft w:val="0"/>
      <w:marRight w:val="0"/>
      <w:marTop w:val="0"/>
      <w:marBottom w:val="0"/>
      <w:divBdr>
        <w:top w:val="none" w:sz="0" w:space="0" w:color="auto"/>
        <w:left w:val="none" w:sz="0" w:space="0" w:color="auto"/>
        <w:bottom w:val="none" w:sz="0" w:space="0" w:color="auto"/>
        <w:right w:val="none" w:sz="0" w:space="0" w:color="auto"/>
      </w:divBdr>
    </w:div>
    <w:div w:id="912156053">
      <w:bodyDiv w:val="1"/>
      <w:marLeft w:val="0"/>
      <w:marRight w:val="0"/>
      <w:marTop w:val="0"/>
      <w:marBottom w:val="0"/>
      <w:divBdr>
        <w:top w:val="none" w:sz="0" w:space="0" w:color="auto"/>
        <w:left w:val="none" w:sz="0" w:space="0" w:color="auto"/>
        <w:bottom w:val="none" w:sz="0" w:space="0" w:color="auto"/>
        <w:right w:val="none" w:sz="0" w:space="0" w:color="auto"/>
      </w:divBdr>
    </w:div>
    <w:div w:id="1099331523">
      <w:bodyDiv w:val="1"/>
      <w:marLeft w:val="0"/>
      <w:marRight w:val="0"/>
      <w:marTop w:val="0"/>
      <w:marBottom w:val="0"/>
      <w:divBdr>
        <w:top w:val="none" w:sz="0" w:space="0" w:color="auto"/>
        <w:left w:val="none" w:sz="0" w:space="0" w:color="auto"/>
        <w:bottom w:val="none" w:sz="0" w:space="0" w:color="auto"/>
        <w:right w:val="none" w:sz="0" w:space="0" w:color="auto"/>
      </w:divBdr>
    </w:div>
    <w:div w:id="1316491461">
      <w:bodyDiv w:val="1"/>
      <w:marLeft w:val="0"/>
      <w:marRight w:val="0"/>
      <w:marTop w:val="0"/>
      <w:marBottom w:val="0"/>
      <w:divBdr>
        <w:top w:val="none" w:sz="0" w:space="0" w:color="auto"/>
        <w:left w:val="none" w:sz="0" w:space="0" w:color="auto"/>
        <w:bottom w:val="none" w:sz="0" w:space="0" w:color="auto"/>
        <w:right w:val="none" w:sz="0" w:space="0" w:color="auto"/>
      </w:divBdr>
    </w:div>
    <w:div w:id="14287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Eagleson, Jenna</dc:creator>
  <cp:keywords/>
  <dc:description/>
  <cp:lastModifiedBy>Eagleson, Jenna</cp:lastModifiedBy>
  <cp:revision>2</cp:revision>
  <dcterms:created xsi:type="dcterms:W3CDTF">2025-03-05T21:22:00Z</dcterms:created>
  <dcterms:modified xsi:type="dcterms:W3CDTF">2025-03-06T15:06:00Z</dcterms:modified>
</cp:coreProperties>
</file>