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F6" w:rsidRPr="00F515A0" w:rsidRDefault="00F515A0">
      <w:pPr>
        <w:rPr>
          <w:b/>
          <w:bCs/>
          <w:sz w:val="32"/>
          <w:szCs w:val="32"/>
        </w:rPr>
      </w:pPr>
      <w:r w:rsidRPr="00F515A0">
        <w:rPr>
          <w:rFonts w:hint="eastAsia"/>
          <w:b/>
          <w:bCs/>
          <w:sz w:val="32"/>
          <w:szCs w:val="32"/>
        </w:rPr>
        <w:t>T</w:t>
      </w:r>
      <w:r w:rsidRPr="00F515A0">
        <w:rPr>
          <w:b/>
          <w:bCs/>
          <w:sz w:val="32"/>
          <w:szCs w:val="32"/>
        </w:rPr>
        <w:t xml:space="preserve">1DMS </w:t>
      </w:r>
      <w:r w:rsidRPr="00F515A0">
        <w:rPr>
          <w:rFonts w:hint="eastAsia"/>
          <w:b/>
          <w:bCs/>
          <w:sz w:val="32"/>
          <w:szCs w:val="32"/>
        </w:rPr>
        <w:t>사이트 설명</w:t>
      </w:r>
    </w:p>
    <w:p w:rsidR="00F515A0" w:rsidRDefault="00F515A0">
      <w:pPr>
        <w:rPr>
          <w:szCs w:val="20"/>
        </w:rPr>
      </w:pPr>
    </w:p>
    <w:p w:rsidR="00D03C6A" w:rsidRPr="00D03C6A" w:rsidRDefault="00D03C6A">
      <w:pPr>
        <w:rPr>
          <w:rFonts w:hint="eastAsia"/>
          <w:b/>
          <w:bCs/>
          <w:sz w:val="24"/>
          <w:szCs w:val="24"/>
        </w:rPr>
      </w:pPr>
      <w:r w:rsidRPr="00D03C6A">
        <w:rPr>
          <w:rFonts w:hint="eastAsia"/>
          <w:b/>
          <w:bCs/>
          <w:sz w:val="24"/>
          <w:szCs w:val="24"/>
        </w:rPr>
        <w:t>T</w:t>
      </w:r>
      <w:r w:rsidRPr="00D03C6A">
        <w:rPr>
          <w:b/>
          <w:bCs/>
          <w:sz w:val="24"/>
          <w:szCs w:val="24"/>
        </w:rPr>
        <w:t>1DMS</w:t>
      </w:r>
    </w:p>
    <w:p w:rsidR="00F515A0" w:rsidRP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1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개발의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획기적인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도구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FDA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유형별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새로운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전략에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동물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실험의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대체물로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채택한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첫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번째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현재에만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해당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:rsid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Pr="00D03C6A" w:rsidRDefault="00D03C6A">
      <w:pPr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</w:pP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&lt;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개요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&gt;</w:t>
      </w:r>
    </w:p>
    <w:p w:rsidR="00F515A0" w:rsidRP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-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시스템의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역학을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컴퓨터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시뮬레이터로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것이다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그것은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많은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인구를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주제의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자료와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함께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-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대사에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정량적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지식으로부터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발전된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운동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바탕으로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2008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, 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1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멜리토스의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특정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통제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전략에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테스트에서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동물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실험의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대체물로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의해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받아들여진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최초의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컴퓨터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도구가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되었다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 Simulink/MATLAB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구현된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폐쇄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루프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시나리오의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테스트를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정의된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인터페이스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세트를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TEG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이용한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관련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기기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프로토콜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최적화를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서비스를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개체군에서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인정하는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연계하여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TEG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T1DMS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서비스는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 IDE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제출을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빠른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트랙이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또한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TEG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시뮬레이터의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분산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버전을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배포하고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지원한다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환자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모집단의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"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샘플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"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작음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분산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버전은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보다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광범위한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커뮤니티의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구성원들에게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독립적인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교육을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T1DMS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시스템을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F515A0" w:rsidRP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F515A0" w:rsidRPr="00D03C6A" w:rsidRDefault="00D03C6A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</w:pP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&lt;T</w:t>
      </w:r>
      <w:r w:rsidRPr="00D03C6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1DMS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의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차이점</w:t>
      </w:r>
      <w:r w:rsidRPr="00D03C6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&gt;</w:t>
      </w:r>
    </w:p>
    <w:p w:rsidR="00F515A0" w:rsidRP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대부분의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무작위적으로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통제된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임상시험의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모집단에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근거한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다양한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전략에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평균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그룹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수준의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반응만을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반대로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, 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사용하여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프로토콜에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대응하여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인간에서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보이는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차이에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통찰력을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주체의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수준에서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시험과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실험을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수행한다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lastRenderedPageBreak/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주요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장점은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다음과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같다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개별화된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개인별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결과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차이는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변동의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스펙트럼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전체에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걸쳐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드러난다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우리가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아는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바로는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소아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청소년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인구가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유일한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모델이며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모델에는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성인만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설계는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제안된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동일할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*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-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글루코오스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변동을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시각적으로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이해하기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실시간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트레이스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*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모집단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결과는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임상시험에서와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같이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결과로부터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계산된다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* FDA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산업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식품의약국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직원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지침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초안에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따라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–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저당류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중단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(LGS)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장치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시스템에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조사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장치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면제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(IDE)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PMA(Premarket Approvement)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내용</w:t>
      </w:r>
    </w:p>
    <w:p w:rsidR="00F515A0" w:rsidRP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F515A0" w:rsidRPr="00D03C6A" w:rsidRDefault="00D03C6A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</w:pP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&lt;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적용과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얻는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것</w:t>
      </w:r>
      <w:r w:rsidRPr="00D03C6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&gt;</w:t>
      </w:r>
    </w:p>
    <w:p w:rsidR="00F515A0" w:rsidRP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능력은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환자에게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새로운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프로토콜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기기를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가져다주는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임무에서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새로운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가능성을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열어주었다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 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연구자들에게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시간과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비용을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절약하면서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전략과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통제를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평가할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정의되고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검증된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도구를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구체적인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연구개발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혜택은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다음과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같다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IDE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승인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과정을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2.5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년에서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미만으로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단축하는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것으로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나타났다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동물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대체할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새로운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장치와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치료제를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시장에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출시하는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수백만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달러를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절약할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동물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가능하지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않은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윤리적인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주제에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엄격한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장치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프로토콜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테스트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시나리오를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가능하게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일반적인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T1DMS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다음을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포함한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"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"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시나리오를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조사한다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투여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알고리즘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테스트</w:t>
      </w:r>
      <w:r w:rsidRPr="00F515A0">
        <w:rPr>
          <w:rFonts w:ascii="Helvetica" w:hAnsi="Helvetica" w:cs="Helvetica"/>
          <w:color w:val="000000"/>
          <w:szCs w:val="20"/>
        </w:rPr>
        <w:br/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환자별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기초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볼러스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투여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펌프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연속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모니터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탄수화물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따른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식사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패턴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양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일시적인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저항성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운동성분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수동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보정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볼루즈를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SMBG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테스트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탄수화물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루프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사용자를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모델링하기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다양한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옵션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적용된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예제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시나리오를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보려면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여기를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클릭하십시오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…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데이터를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이해하기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다양한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분석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도구와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측정지표를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이러한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lastRenderedPageBreak/>
        <w:t>분석에는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다음이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포함된다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혈당유출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분석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관리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변동성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그리드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분석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오류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그리드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–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연속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분석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낮은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높은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증상을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경험하는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환자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주체당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반응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모집단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반응의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범위</w:t>
      </w:r>
    </w:p>
    <w:p w:rsidR="00F515A0" w:rsidRP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F515A0" w:rsidRPr="00D03C6A" w:rsidRDefault="00D03C6A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</w:pPr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&lt;</w:t>
      </w:r>
      <w:proofErr w:type="spellStart"/>
      <w:r w:rsidRPr="00D03C6A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전체글</w:t>
      </w:r>
      <w:proofErr w:type="spellEnd"/>
      <w:r w:rsidRPr="00D03C6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&gt;</w:t>
      </w:r>
    </w:p>
    <w:p w:rsidR="00F515A0" w:rsidRDefault="00F515A0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T1DMS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시스템은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Padova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Virginia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대학의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노력을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개발되었다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구체적으로는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-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신진대사에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정량적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지식을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이용하여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운동적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만들고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다듬었다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운동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매개변수는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표준화된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식사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프로토콜에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따라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많은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피험자를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삼중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추적자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NMR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PET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실험을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결정되었다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그러한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주요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유동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외관의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식사율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내생성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생산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이용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분비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준모델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독립적인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추정치를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T1DMS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시스템은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기관지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예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생산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근육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이용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신장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추출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식사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신진대사와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의한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조절을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시뮬레이션하기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이러한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매개변수를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Simulink/MATLAB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구현된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규정된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식사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프로파일이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Simulink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컨트롤러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블록에서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폐쇄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루프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시나리오의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테스트를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정의된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인터페이스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세트를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또한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펌프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주입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매개변수와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여러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장치에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정확한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센서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소음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프로필이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시뮬레이터에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통합되어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모집단에서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승인한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것과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결합할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경우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, T1DMS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전략과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프로토콜의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단계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초기에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제안된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폐쇄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루프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시스템의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결과를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평가하기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정의되고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검증된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도구를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구성한다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이와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같이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다양한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조절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시나리오에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동물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대체하는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것으로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받아들여져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왔다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Epsilon Group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광범위하고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엄격한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테스트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하에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당신의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독점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알고리즘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장치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화합물의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검사를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지원하기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서비스를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그러한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1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당뇨병에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걸린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사람의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가변성을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포괄하는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많은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인구를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채택한다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시나리오는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자체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관리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생활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패턴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또는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프로토콜을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모델링하도록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설계될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또한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환경에서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잠재적으로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위험하거나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비윤리적일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시나리오를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시뮬레이션하여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기기의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가능한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한계나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중인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개입을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조사할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lastRenderedPageBreak/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구체적인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세부사항은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다음과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같다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인구에서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피사체에서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300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뚜렷한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세트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반복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테스트에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2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IDE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승인을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위해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제출할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최종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사용되는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"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골드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스탠더드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"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세트다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그러한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각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모집단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집합은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다음과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같이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구성된다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성인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100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명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청소년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100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명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(13~18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어린이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100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명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(2~12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기본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입력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연구의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특정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요구사항에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따라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조정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가능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식사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프로파일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식사량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지속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시간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: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기초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볼러스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투여량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시기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규정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낮과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밤의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시간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알고리즘의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제어법</w:t>
      </w:r>
      <w:proofErr w:type="spellEnd"/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정의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*</w:t>
      </w:r>
      <w:r w:rsidRPr="00F515A0">
        <w:rPr>
          <w:rFonts w:ascii="Helvetica" w:hAnsi="Helvetica" w:cs="Helvetica"/>
          <w:color w:val="000000"/>
          <w:szCs w:val="20"/>
        </w:rPr>
        <w:br/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*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표준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컨트롤러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블록이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여러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개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F515A0">
        <w:rPr>
          <w:rFonts w:ascii="Helvetica" w:hAnsi="Helvetica" w:cs="Helvetica"/>
          <w:color w:val="000000"/>
          <w:szCs w:val="20"/>
          <w:shd w:val="clear" w:color="auto" w:fill="FDFDFD"/>
        </w:rPr>
        <w:t>제공됨</w:t>
      </w: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57027F" w:rsidRDefault="0057027F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</w:pPr>
    </w:p>
    <w:p w:rsidR="0057027F" w:rsidRDefault="0057027F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</w:pPr>
    </w:p>
    <w:p w:rsidR="00D03C6A" w:rsidRPr="00D03C6A" w:rsidRDefault="00D03C6A">
      <w:pPr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lastRenderedPageBreak/>
        <w:t>제</w:t>
      </w: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1</w:t>
      </w: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형</w:t>
      </w: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당뇨병의</w:t>
      </w: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치료</w:t>
      </w: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>시뮬레이션</w:t>
      </w:r>
      <w:r w:rsidRPr="00D03C6A">
        <w:rPr>
          <w:rFonts w:ascii="Helvetica" w:hAnsi="Helvetica" w:cs="Helvetica"/>
          <w:color w:val="000000"/>
          <w:szCs w:val="20"/>
        </w:rPr>
        <w:br/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UVA/Padova T1DMS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형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멜리토스를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가진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피험자의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치료법을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설계하고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테스트할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소프트웨어다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 T1DMS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실험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파라미터를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제어하고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튜닝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주기를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단축함으로써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연구와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제품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전략을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개선한다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D03C6A">
        <w:rPr>
          <w:noProof/>
          <w:sz w:val="14"/>
          <w:szCs w:val="16"/>
        </w:rPr>
        <w:drawing>
          <wp:inline distT="0" distB="0" distL="0" distR="0" wp14:anchorId="102ABBC2" wp14:editId="477B8911">
            <wp:extent cx="4438650" cy="2581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6A" w:rsidRPr="00D03C6A" w:rsidRDefault="00D03C6A">
      <w:pPr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기본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애플리케이션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제안된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연구와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동일한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프로토콜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테스트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관리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치료에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미치는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영향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측정</w:t>
      </w:r>
      <w:r w:rsidRPr="00D03C6A">
        <w:rPr>
          <w:rFonts w:ascii="Helvetica" w:hAnsi="Helvetica" w:cs="Helvetica"/>
          <w:color w:val="000000"/>
          <w:szCs w:val="20"/>
        </w:rPr>
        <w:br/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UVA/Padova T1DMS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이용한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사전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실험은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피험자의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수준에서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수행되어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인간에게서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보이는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차이와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대인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관계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차이에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통찰력을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제공한다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실제상황은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다양한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식사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크기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타이밍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가변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투여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타이밍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고혈당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저혈당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등이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검출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측정되도록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모델링된다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D03C6A" w:rsidRPr="00D03C6A" w:rsidRDefault="00D03C6A">
      <w:pPr>
        <w:rPr>
          <w:rFonts w:ascii="Helvetica" w:hAnsi="Helvetica" w:cs="Helvetica" w:hint="eastAsia"/>
          <w:color w:val="000000"/>
          <w:sz w:val="14"/>
          <w:szCs w:val="14"/>
          <w:shd w:val="clear" w:color="auto" w:fill="FDFDFD"/>
        </w:rPr>
      </w:pP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UVA/Padova T1DMS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40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이상의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학술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그룹과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국제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당뇨병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관리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분야에서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활동하고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있는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15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이상의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저명한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상업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연구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제약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그룹에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의해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사용되어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왔다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소프트웨어는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JDRF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인공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췌장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컨소시엄에서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사용한다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산업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및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학술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연구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및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개발을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위한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이점</w:t>
      </w:r>
      <w:r w:rsidRPr="00D03C6A">
        <w:rPr>
          <w:rFonts w:ascii="Helvetica" w:hAnsi="Helvetica" w:cs="Helvetica"/>
          <w:color w:val="000000"/>
          <w:szCs w:val="20"/>
        </w:rPr>
        <w:br/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UVA/Padova T1DMS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사용자가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투여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전략에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대한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알고리즘을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검사하고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튜닝하는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실험을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설계할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있고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임상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연구를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프로토콜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설계의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강조를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지도하고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집중시킬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Pr="00696379" w:rsidRDefault="00D03C6A">
      <w:pPr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proofErr w:type="spellStart"/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실리코</w:t>
      </w:r>
      <w:proofErr w:type="spellEnd"/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인구에서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-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실리코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인구에서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수용되는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생물생리학적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매개변수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구체화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성인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10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명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청소년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10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명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어린이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10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명</w:t>
      </w:r>
    </w:p>
    <w:p w:rsidR="00D03C6A" w:rsidRPr="00D03C6A" w:rsidRDefault="00D03C6A">
      <w:pPr>
        <w:rPr>
          <w:rFonts w:ascii="Helvetica" w:hAnsi="Helvetica" w:cs="Helvetica"/>
          <w:color w:val="000000"/>
          <w:sz w:val="14"/>
          <w:szCs w:val="14"/>
          <w:shd w:val="clear" w:color="auto" w:fill="FDFDFD"/>
        </w:rPr>
      </w:pPr>
    </w:p>
    <w:p w:rsidR="00D03C6A" w:rsidRPr="00D03C6A" w:rsidRDefault="00D03C6A">
      <w:pPr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lastRenderedPageBreak/>
        <w:t>기본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사용자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정의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시뮬레이션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입력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식단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프로필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식사의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양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기간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기초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볼러스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투여량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규정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길이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하루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중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하드웨어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펌프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&amp;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센서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알고리즘의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제어법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정의</w:t>
      </w:r>
    </w:p>
    <w:p w:rsidR="00D03C6A" w:rsidRPr="00D03C6A" w:rsidRDefault="00D03C6A">
      <w:pPr>
        <w:rPr>
          <w:sz w:val="14"/>
          <w:szCs w:val="14"/>
        </w:rPr>
      </w:pPr>
      <w:r w:rsidRPr="00D03C6A">
        <w:rPr>
          <w:noProof/>
          <w:sz w:val="14"/>
          <w:szCs w:val="16"/>
        </w:rPr>
        <w:drawing>
          <wp:inline distT="0" distB="0" distL="0" distR="0" wp14:anchorId="208193A9" wp14:editId="19004A72">
            <wp:extent cx="2809875" cy="2152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76" w:rsidRDefault="00EF5B76">
      <w:pPr>
        <w:rPr>
          <w:rFonts w:ascii="Helvetica" w:hAnsi="Helvetica" w:cs="Helvetica" w:hint="eastAsia"/>
          <w:color w:val="000000"/>
          <w:sz w:val="45"/>
          <w:szCs w:val="45"/>
          <w:shd w:val="clear" w:color="auto" w:fill="FDFDFD"/>
        </w:rPr>
      </w:pPr>
      <w:r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 xml:space="preserve">BG(blood glucose, </w:t>
      </w:r>
      <w:proofErr w:type="spellStart"/>
      <w:r>
        <w:rPr>
          <w:rFonts w:ascii="Helvetica" w:hAnsi="Helvetica" w:cs="Helvetica" w:hint="eastAsia"/>
          <w:color w:val="000000"/>
          <w:sz w:val="45"/>
          <w:szCs w:val="45"/>
          <w:shd w:val="clear" w:color="auto" w:fill="FDFDFD"/>
        </w:rPr>
        <w:t>혈액중</w:t>
      </w:r>
      <w:proofErr w:type="spellEnd"/>
      <w:r>
        <w:rPr>
          <w:rFonts w:ascii="Helvetica" w:hAnsi="Helvetica" w:cs="Helvetica" w:hint="eastAsia"/>
          <w:color w:val="000000"/>
          <w:sz w:val="45"/>
          <w:szCs w:val="45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45"/>
          <w:szCs w:val="45"/>
          <w:shd w:val="clear" w:color="auto" w:fill="FDFDFD"/>
        </w:rPr>
        <w:t>포도당</w:t>
      </w:r>
      <w:r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)</w:t>
      </w:r>
      <w:r w:rsidR="005C155C"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 xml:space="preserve"> -&gt; </w:t>
      </w:r>
      <w:r w:rsidR="005C155C">
        <w:rPr>
          <w:rFonts w:ascii="Helvetica" w:hAnsi="Helvetica" w:cs="Helvetica" w:hint="eastAsia"/>
          <w:color w:val="000000"/>
          <w:sz w:val="45"/>
          <w:szCs w:val="45"/>
          <w:shd w:val="clear" w:color="auto" w:fill="FDFDFD"/>
        </w:rPr>
        <w:t>혈당</w:t>
      </w:r>
    </w:p>
    <w:p w:rsidR="00D03C6A" w:rsidRPr="00D03C6A" w:rsidRDefault="00EF5B76">
      <w:pPr>
        <w:rPr>
          <w:rFonts w:hint="eastAsia"/>
          <w:sz w:val="14"/>
          <w:szCs w:val="14"/>
        </w:rPr>
      </w:pPr>
      <w:r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하루의</w:t>
      </w:r>
      <w:r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시간</w:t>
      </w:r>
    </w:p>
    <w:p w:rsidR="00D03C6A" w:rsidRPr="00D03C6A" w:rsidRDefault="00D03C6A">
      <w:pPr>
        <w:rPr>
          <w:sz w:val="14"/>
          <w:szCs w:val="14"/>
        </w:rPr>
      </w:pP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시술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세부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조정을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위한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proofErr w:type="spellStart"/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환자별</w:t>
      </w:r>
      <w:proofErr w:type="spellEnd"/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데이터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개별화된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개인별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결과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개인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차이는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변동의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스펙트럼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전체에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걸쳐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드러난다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모집단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결과는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임상시험에서와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같이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결과로부터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계산된다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연령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체질량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(kg),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환자별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최적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기초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비율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(u/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hr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),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탄수화물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비율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(CR, g/U),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총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일일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민감도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단위당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mg/dl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최대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감소량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[MD])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대사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결과는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피험자에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대해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시뮬레이션하여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치료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계획에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반영할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시뮬레이션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서비스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300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명의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실험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대상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수용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인구를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이용한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서비스는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The Epsilon Group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통해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이용할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있다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지금까지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FDA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는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T1DMS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사용한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연구에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근거하여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6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개의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IDE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승인했다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lastRenderedPageBreak/>
        <w:t>시뮬레이션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결과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데이터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(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주체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및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모집단별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)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혈당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(BG)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값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및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시뮬레이션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센서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수치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분당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mg/dl)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기저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볼러스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주사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pmol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/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컨트롤러의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사용자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지정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데이터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시스템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상태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탄수화물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섭취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등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…</w:t>
      </w: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03C6A" w:rsidRPr="00D03C6A" w:rsidRDefault="00D03C6A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시뮬레이션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결과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696379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분석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인슐린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-</w:t>
      </w:r>
      <w:proofErr w:type="spellStart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글루코오스</w:t>
      </w:r>
      <w:proofErr w:type="spellEnd"/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변동을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시각적으로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이해하기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위한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실시간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포도당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추적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혈당유출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분석</w:t>
      </w:r>
      <w:r w:rsidRPr="00D03C6A">
        <w:rPr>
          <w:rFonts w:ascii="Helvetica" w:hAnsi="Helvetica" w:cs="Helvetica"/>
          <w:color w:val="000000"/>
          <w:szCs w:val="20"/>
        </w:rPr>
        <w:br/>
      </w:r>
      <w:r w:rsidR="00696379">
        <w:rPr>
          <w:rFonts w:ascii="Helvetica" w:hAnsi="Helvetica" w:cs="Helvetica" w:hint="eastAsia"/>
          <w:color w:val="000000"/>
          <w:szCs w:val="20"/>
          <w:shd w:val="clear" w:color="auto" w:fill="FDFDFD"/>
        </w:rPr>
        <w:t>-</w:t>
      </w:r>
      <w:r w:rsidR="00696379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변동성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격자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분석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D03C6A">
        <w:rPr>
          <w:rFonts w:ascii="Helvetica" w:hAnsi="Helvetica" w:cs="Helvetica"/>
          <w:color w:val="000000"/>
          <w:szCs w:val="20"/>
          <w:shd w:val="clear" w:color="auto" w:fill="FDFDFD"/>
        </w:rPr>
        <w:t>제어</w:t>
      </w:r>
    </w:p>
    <w:p w:rsidR="00D03C6A" w:rsidRDefault="00D03C6A">
      <w:pPr>
        <w:rPr>
          <w:szCs w:val="20"/>
        </w:rPr>
      </w:pPr>
      <w:r>
        <w:rPr>
          <w:noProof/>
        </w:rPr>
        <w:drawing>
          <wp:inline distT="0" distB="0" distL="0" distR="0" wp14:anchorId="0F2C2967" wp14:editId="562DDC54">
            <wp:extent cx="3028950" cy="2390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89" w:rsidRDefault="00171E89">
      <w:pP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95% 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신뢰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상한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[mg/dL]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   (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DFDFD"/>
        </w:rPr>
        <w:t>왼쪽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y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DFDFD"/>
        </w:rPr>
        <w:t>축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)</w:t>
      </w:r>
    </w:p>
    <w:p w:rsidR="00D03C6A" w:rsidRDefault="00171E89">
      <w:pPr>
        <w:rPr>
          <w:szCs w:val="20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95% 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신뢰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하한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[mg/dL]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   (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DFDFD"/>
        </w:rPr>
        <w:t>아래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DFDFD"/>
        </w:rPr>
        <w:t xml:space="preserve"> x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DFDFD"/>
        </w:rPr>
        <w:t>축</w:t>
      </w: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)</w:t>
      </w:r>
    </w:p>
    <w:p w:rsidR="00D03C6A" w:rsidRPr="00F515A0" w:rsidRDefault="00D03C6A">
      <w:pPr>
        <w:rPr>
          <w:rFonts w:hint="eastAsia"/>
          <w:szCs w:val="20"/>
        </w:rPr>
      </w:pPr>
    </w:p>
    <w:sectPr w:rsidR="00D03C6A" w:rsidRPr="00F515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A0"/>
    <w:rsid w:val="00171E89"/>
    <w:rsid w:val="0057027F"/>
    <w:rsid w:val="005C155C"/>
    <w:rsid w:val="00696379"/>
    <w:rsid w:val="007223F6"/>
    <w:rsid w:val="00970F4B"/>
    <w:rsid w:val="00D03C6A"/>
    <w:rsid w:val="00EF5B76"/>
    <w:rsid w:val="00F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9D4D"/>
  <w15:chartTrackingRefBased/>
  <w15:docId w15:val="{AB6A84FA-372B-4D9F-8CB5-010A7C7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</dc:creator>
  <cp:keywords/>
  <dc:description/>
  <cp:lastModifiedBy>CSLAB</cp:lastModifiedBy>
  <cp:revision>6</cp:revision>
  <dcterms:created xsi:type="dcterms:W3CDTF">2020-04-15T11:57:00Z</dcterms:created>
  <dcterms:modified xsi:type="dcterms:W3CDTF">2020-04-15T15:00:00Z</dcterms:modified>
</cp:coreProperties>
</file>