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4"/>
        </w:rPr>
        <w:t>Wayfair Product &amp; Sales Performance Report</w:t>
      </w:r>
    </w:p>
    <w:p>
      <w:r>
        <w:rPr>
          <w:color w:val="C9973E"/>
          <w:sz w:val="26"/>
        </w:rPr>
        <w:t>E-Commerce Analytics Project — Annual Review (Jun 2025 – May 2026)</w:t>
      </w:r>
    </w:p>
    <w:p>
      <w:pPr>
        <w:pStyle w:val="Heading2"/>
      </w:pPr>
      <w:r>
        <w:rPr>
          <w:color w:val="1F3864"/>
        </w:rPr>
        <w:t>About This Report</w:t>
      </w:r>
    </w:p>
    <w:p>
      <w:pPr>
        <w:spacing w:after="160"/>
      </w:pPr>
      <w:r>
        <w:rPr>
          <w:b w:val="0"/>
          <w:color w:val="444444"/>
          <w:sz w:val="21"/>
        </w:rPr>
        <w:t>Product catalog data (names and prices) was scraped directly from live Wayfair product listing pages. Customer identities and the full transaction history (invoices, dates, and quantities) are synthetically generated, since Wayfair's actual sales and customer data is proprietary and not accessible for this analysis. All customer names appearing in this report are computer-generated and do not refer to real individuals. Findings on product-level performance reflect real catalog data; findings on revenue totals, trends, and customer behavior reflect the simulated transaction layer built on top of it.</w:t>
      </w:r>
    </w:p>
    <w:p>
      <w:pPr>
        <w:pStyle w:val="Heading1"/>
      </w:pPr>
      <w:r>
        <w:rPr>
          <w:color w:val="1F3864"/>
        </w:rPr>
        <w:t>Executive Summary</w:t>
      </w:r>
    </w:p>
    <w:p>
      <w:pPr>
        <w:spacing w:after="160"/>
      </w:pPr>
      <w:r>
        <w:rPr>
          <w:b w:val="0"/>
          <w:color w:val="444444"/>
          <w:sz w:val="21"/>
        </w:rPr>
        <w:t>Over the trailing twelve-month period, the simulated transaction history recorded 2,169 orders across 1,500 customers and 49 catalog products, totaling $708,998.19 in revenue. The analysis below breaks this down by time, product, and customer to surface where revenue concentrates and how purchasing behavior is distributed.</w:t>
      </w:r>
    </w:p>
    <w:tbl>
      <w:tblPr>
        <w:tblW w:type="auto" w:w="0"/>
        <w:jc w:val="center"/>
        <w:tblLook w:firstColumn="1" w:firstRow="1" w:lastColumn="0" w:lastRow="0" w:noHBand="0" w:noVBand="1" w:val="04A0"/>
      </w:tblPr>
      <w:tblGrid>
        <w:gridCol w:w="5040"/>
        <w:gridCol w:w="5040"/>
      </w:tblGrid>
      <w:tr>
        <w:tc>
          <w:tcPr>
            <w:tcW w:type="dxa" w:w="4896"/>
            <w:shd w:val="clear" w:fill="1F3864"/>
          </w:tcPr>
          <w:p>
            <w:r/>
            <w:r>
              <w:rPr>
                <w:b/>
                <w:color w:val="FFFFFF"/>
                <w:sz w:val="18"/>
              </w:rPr>
              <w:t>Metric</w:t>
            </w:r>
          </w:p>
        </w:tc>
        <w:tc>
          <w:tcPr>
            <w:tcW w:type="dxa" w:w="5184"/>
            <w:shd w:val="clear" w:fill="1F3864"/>
          </w:tcPr>
          <w:p>
            <w:pPr>
              <w:jc w:val="right"/>
            </w:pPr>
            <w:r/>
            <w:r>
              <w:rPr>
                <w:b/>
                <w:color w:val="FFFFFF"/>
                <w:sz w:val="18"/>
              </w:rPr>
              <w:t>Value</w:t>
            </w:r>
          </w:p>
        </w:tc>
      </w:tr>
      <w:tr>
        <w:tc>
          <w:tcPr>
            <w:tcW w:type="dxa" w:w="4896"/>
          </w:tcPr>
          <w:p>
            <w:r/>
            <w:r>
              <w:rPr>
                <w:b w:val="0"/>
                <w:color w:val="444444"/>
                <w:sz w:val="18"/>
              </w:rPr>
              <w:t>Total Revenue</w:t>
            </w:r>
          </w:p>
        </w:tc>
        <w:tc>
          <w:tcPr>
            <w:tcW w:type="dxa" w:w="5184"/>
          </w:tcPr>
          <w:p>
            <w:pPr>
              <w:jc w:val="right"/>
            </w:pPr>
            <w:r/>
            <w:r>
              <w:rPr>
                <w:b w:val="0"/>
                <w:color w:val="444444"/>
                <w:sz w:val="18"/>
              </w:rPr>
              <w:t>$708,998.19</w:t>
            </w:r>
          </w:p>
        </w:tc>
      </w:tr>
      <w:tr>
        <w:tc>
          <w:tcPr>
            <w:tcW w:type="dxa" w:w="4896"/>
            <w:shd w:val="clear" w:fill="EDF0F4"/>
          </w:tcPr>
          <w:p>
            <w:r/>
            <w:r>
              <w:rPr>
                <w:b w:val="0"/>
                <w:color w:val="444444"/>
                <w:sz w:val="18"/>
              </w:rPr>
              <w:t>Total Orders</w:t>
            </w:r>
          </w:p>
        </w:tc>
        <w:tc>
          <w:tcPr>
            <w:tcW w:type="dxa" w:w="5184"/>
            <w:shd w:val="clear" w:fill="EDF0F4"/>
          </w:tcPr>
          <w:p>
            <w:pPr>
              <w:jc w:val="right"/>
            </w:pPr>
            <w:r/>
            <w:r>
              <w:rPr>
                <w:b w:val="0"/>
                <w:color w:val="444444"/>
                <w:sz w:val="18"/>
              </w:rPr>
              <w:t>2,169</w:t>
            </w:r>
          </w:p>
        </w:tc>
      </w:tr>
      <w:tr>
        <w:tc>
          <w:tcPr>
            <w:tcW w:type="dxa" w:w="4896"/>
          </w:tcPr>
          <w:p>
            <w:r/>
            <w:r>
              <w:rPr>
                <w:b w:val="0"/>
                <w:color w:val="444444"/>
                <w:sz w:val="18"/>
              </w:rPr>
              <w:t>Total Units Sold</w:t>
            </w:r>
          </w:p>
        </w:tc>
        <w:tc>
          <w:tcPr>
            <w:tcW w:type="dxa" w:w="5184"/>
          </w:tcPr>
          <w:p>
            <w:pPr>
              <w:jc w:val="right"/>
            </w:pPr>
            <w:r/>
            <w:r>
              <w:rPr>
                <w:b w:val="0"/>
                <w:color w:val="444444"/>
                <w:sz w:val="18"/>
              </w:rPr>
              <w:t>2,874</w:t>
            </w:r>
          </w:p>
        </w:tc>
      </w:tr>
      <w:tr>
        <w:tc>
          <w:tcPr>
            <w:tcW w:type="dxa" w:w="4896"/>
            <w:shd w:val="clear" w:fill="EDF0F4"/>
          </w:tcPr>
          <w:p>
            <w:r/>
            <w:r>
              <w:rPr>
                <w:b w:val="0"/>
                <w:color w:val="444444"/>
                <w:sz w:val="18"/>
              </w:rPr>
              <w:t>Average Order Value</w:t>
            </w:r>
          </w:p>
        </w:tc>
        <w:tc>
          <w:tcPr>
            <w:tcW w:type="dxa" w:w="5184"/>
            <w:shd w:val="clear" w:fill="EDF0F4"/>
          </w:tcPr>
          <w:p>
            <w:pPr>
              <w:jc w:val="right"/>
            </w:pPr>
            <w:r/>
            <w:r>
              <w:rPr>
                <w:b w:val="0"/>
                <w:color w:val="444444"/>
                <w:sz w:val="18"/>
              </w:rPr>
              <w:t>$326.88</w:t>
            </w:r>
          </w:p>
        </w:tc>
      </w:tr>
      <w:tr>
        <w:tc>
          <w:tcPr>
            <w:tcW w:type="dxa" w:w="4896"/>
          </w:tcPr>
          <w:p>
            <w:r/>
            <w:r>
              <w:rPr>
                <w:b w:val="0"/>
                <w:color w:val="444444"/>
                <w:sz w:val="18"/>
              </w:rPr>
              <w:t>Unique Customers</w:t>
            </w:r>
          </w:p>
        </w:tc>
        <w:tc>
          <w:tcPr>
            <w:tcW w:type="dxa" w:w="5184"/>
          </w:tcPr>
          <w:p>
            <w:pPr>
              <w:jc w:val="right"/>
            </w:pPr>
            <w:r/>
            <w:r>
              <w:rPr>
                <w:b w:val="0"/>
                <w:color w:val="444444"/>
                <w:sz w:val="18"/>
              </w:rPr>
              <w:t>1,500</w:t>
            </w:r>
          </w:p>
        </w:tc>
      </w:tr>
      <w:tr>
        <w:tc>
          <w:tcPr>
            <w:tcW w:type="dxa" w:w="4896"/>
            <w:shd w:val="clear" w:fill="EDF0F4"/>
          </w:tcPr>
          <w:p>
            <w:r/>
            <w:r>
              <w:rPr>
                <w:b w:val="0"/>
                <w:color w:val="444444"/>
                <w:sz w:val="18"/>
              </w:rPr>
              <w:t>Products Sold</w:t>
            </w:r>
          </w:p>
        </w:tc>
        <w:tc>
          <w:tcPr>
            <w:tcW w:type="dxa" w:w="5184"/>
            <w:shd w:val="clear" w:fill="EDF0F4"/>
          </w:tcPr>
          <w:p>
            <w:pPr>
              <w:jc w:val="right"/>
            </w:pPr>
            <w:r/>
            <w:r>
              <w:rPr>
                <w:b w:val="0"/>
                <w:color w:val="444444"/>
                <w:sz w:val="18"/>
              </w:rPr>
              <w:t>49 of 49 catalog items</w:t>
            </w:r>
          </w:p>
        </w:tc>
      </w:tr>
      <w:tr>
        <w:tc>
          <w:tcPr>
            <w:tcW w:type="dxa" w:w="4896"/>
          </w:tcPr>
          <w:p>
            <w:r/>
            <w:r>
              <w:rPr>
                <w:b w:val="0"/>
                <w:color w:val="444444"/>
                <w:sz w:val="18"/>
              </w:rPr>
              <w:t>Repeat Customer Rate</w:t>
            </w:r>
          </w:p>
        </w:tc>
        <w:tc>
          <w:tcPr>
            <w:tcW w:type="dxa" w:w="5184"/>
          </w:tcPr>
          <w:p>
            <w:pPr>
              <w:jc w:val="right"/>
            </w:pPr>
            <w:r/>
            <w:r>
              <w:rPr>
                <w:b w:val="0"/>
                <w:color w:val="444444"/>
                <w:sz w:val="18"/>
              </w:rPr>
              <w:t>28.0%</w:t>
            </w:r>
          </w:p>
        </w:tc>
      </w:tr>
    </w:tbl>
    <w:p/>
    <w:p>
      <w:pPr>
        <w:spacing w:after="160"/>
      </w:pPr>
      <w:r>
        <w:rPr>
          <w:b/>
          <w:color w:val="444444"/>
          <w:sz w:val="21"/>
        </w:rPr>
        <w:t>Key observations:</w:t>
      </w:r>
    </w:p>
    <w:p>
      <w:pPr>
        <w:pStyle w:val="ListParagraph"/>
        <w:spacing w:after="80"/>
      </w:pPr>
      <w:r>
        <w:rPr>
          <w:color w:val="444444"/>
          <w:sz w:val="21"/>
        </w:rPr>
        <w:t>A single product — a $3,559.97 item — accounts for 33.1% of total revenue on its own, despite representing just 1 of 49 catalog items.</w:t>
      </w:r>
    </w:p>
    <w:p>
      <w:pPr>
        <w:pStyle w:val="ListParagraph"/>
        <w:spacing w:after="80"/>
      </w:pPr>
      <w:r>
        <w:rPr>
          <w:color w:val="444444"/>
          <w:sz w:val="21"/>
        </w:rPr>
        <w:t>The top 5 products by revenue account for 52.4% of all revenue; the remaining 44 products share the rest.</w:t>
      </w:r>
    </w:p>
    <w:p>
      <w:pPr>
        <w:pStyle w:val="ListParagraph"/>
        <w:spacing w:after="80"/>
      </w:pPr>
      <w:r>
        <w:rPr>
          <w:color w:val="444444"/>
          <w:sz w:val="21"/>
        </w:rPr>
        <w:t>28.0% of customers placed more than one order, a moderate repeat-purchase rate.</w:t>
      </w:r>
    </w:p>
    <w:p>
      <w:pPr>
        <w:pStyle w:val="ListParagraph"/>
        <w:spacing w:after="80"/>
      </w:pPr>
      <w:r>
        <w:rPr>
          <w:color w:val="444444"/>
          <w:sz w:val="21"/>
        </w:rPr>
        <w:t>Monthly revenue ranged from roughly $43K to $95K per month and trended upward across the 12 full months of data.</w:t>
      </w:r>
    </w:p>
    <w:p>
      <w:pPr>
        <w:pStyle w:val="Heading1"/>
      </w:pPr>
      <w:r>
        <w:rPr>
          <w:color w:val="1F3864"/>
        </w:rPr>
        <w:t>Sales &amp; Revenue Trends</w:t>
      </w:r>
    </w:p>
    <w:p>
      <w:pPr>
        <w:spacing w:after="160"/>
      </w:pPr>
      <w:r>
        <w:rPr>
          <w:b w:val="0"/>
          <w:color w:val="444444"/>
          <w:sz w:val="21"/>
        </w:rPr>
        <w:t>The chart below shows monthly revenue across the 12 full months in the dataset (June 2025 through May 2026).</w:t>
      </w:r>
    </w:p>
    <w:p>
      <w:pPr>
        <w:jc w:val="center"/>
      </w:pPr>
      <w:r>
        <w:drawing>
          <wp:inline xmlns:a="http://schemas.openxmlformats.org/drawingml/2006/main" xmlns:pic="http://schemas.openxmlformats.org/drawingml/2006/picture">
            <wp:extent cx="5522976" cy="3041286"/>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9"/>
                    <a:stretch>
                      <a:fillRect/>
                    </a:stretch>
                  </pic:blipFill>
                  <pic:spPr>
                    <a:xfrm>
                      <a:off x="0" y="0"/>
                      <a:ext cx="5522976" cy="3041286"/>
                    </a:xfrm>
                    <a:prstGeom prst="rect"/>
                  </pic:spPr>
                </pic:pic>
              </a:graphicData>
            </a:graphic>
          </wp:inline>
        </w:drawing>
      </w:r>
    </w:p>
    <w:p>
      <w:pPr>
        <w:spacing w:after="160"/>
      </w:pPr>
      <w:r>
        <w:rPr>
          <w:b w:val="0"/>
          <w:color w:val="444444"/>
          <w:sz w:val="21"/>
        </w:rPr>
        <w:t>Revenue peaked in March 2026 at $95,126, which does not coincide with the usual holiday peak for home goods, and dipped to its lowest full-month point in July 2025 at $43,149. Order counts follow a similar rhythm, ranging from 122 to 227 orders per month. Comparing the first 3 months with the last 3, average monthly revenue grew by 61%. In this simulated dataset, much of that growth reflects the active customer base building up over the year, since new customers are acquired every month while earlier ones keep buying.</w:t>
      </w:r>
    </w:p>
    <w:p>
      <w:pPr>
        <w:pStyle w:val="Heading1"/>
      </w:pPr>
      <w:r>
        <w:rPr>
          <w:color w:val="1F3864"/>
        </w:rPr>
        <w:t>Product Performance</w:t>
      </w:r>
    </w:p>
    <w:p>
      <w:pPr>
        <w:spacing w:after="160"/>
      </w:pPr>
      <w:r>
        <w:rPr>
          <w:b w:val="0"/>
          <w:color w:val="444444"/>
          <w:sz w:val="21"/>
        </w:rPr>
        <w:t>The chart below ranks the ten highest-revenue products. The top performer is highlighted.</w:t>
      </w:r>
    </w:p>
    <w:p>
      <w:pPr>
        <w:jc w:val="center"/>
      </w:pPr>
      <w:r>
        <w:drawing>
          <wp:inline xmlns:a="http://schemas.openxmlformats.org/drawingml/2006/main" xmlns:pic="http://schemas.openxmlformats.org/drawingml/2006/picture">
            <wp:extent cx="5522976" cy="2735572"/>
            <wp:docPr id="2" name="Picture 2"/>
            <wp:cNvGraphicFramePr>
              <a:graphicFrameLocks noChangeAspect="1"/>
            </wp:cNvGraphicFramePr>
            <a:graphic>
              <a:graphicData uri="http://schemas.openxmlformats.org/drawingml/2006/picture">
                <pic:pic>
                  <pic:nvPicPr>
                    <pic:cNvPr id="0" name="top_products.png"/>
                    <pic:cNvPicPr/>
                  </pic:nvPicPr>
                  <pic:blipFill>
                    <a:blip r:embed="rId10"/>
                    <a:stretch>
                      <a:fillRect/>
                    </a:stretch>
                  </pic:blipFill>
                  <pic:spPr>
                    <a:xfrm>
                      <a:off x="0" y="0"/>
                      <a:ext cx="5522976" cy="2735572"/>
                    </a:xfrm>
                    <a:prstGeom prst="rect"/>
                  </pic:spPr>
                </pic:pic>
              </a:graphicData>
            </a:graphic>
          </wp:inline>
        </w:drawing>
      </w:r>
    </w:p>
    <w:p>
      <w:pPr>
        <w:pStyle w:val="Heading2"/>
      </w:pPr>
      <w:r>
        <w:rPr>
          <w:color w:val="1F3864"/>
        </w:rPr>
        <w:t>Top 10 Products by Revenue</w:t>
      </w:r>
    </w:p>
    <w:tbl>
      <w:tblPr>
        <w:tblW w:type="auto" w:w="0"/>
        <w:jc w:val="center"/>
        <w:tblLook w:firstColumn="1" w:firstRow="1" w:lastColumn="0" w:lastRow="0" w:noHBand="0" w:noVBand="1" w:val="04A0"/>
      </w:tblPr>
      <w:tblGrid>
        <w:gridCol w:w="2520"/>
        <w:gridCol w:w="2520"/>
        <w:gridCol w:w="2520"/>
        <w:gridCol w:w="2520"/>
      </w:tblGrid>
      <w:tr>
        <w:tc>
          <w:tcPr>
            <w:tcW w:type="dxa" w:w="5040"/>
            <w:shd w:val="clear" w:fill="1F3864"/>
          </w:tcPr>
          <w:p>
            <w:r/>
            <w:r>
              <w:rPr>
                <w:b/>
                <w:color w:val="FFFFFF"/>
                <w:sz w:val="18"/>
              </w:rPr>
              <w:t>Product</w:t>
            </w:r>
          </w:p>
        </w:tc>
        <w:tc>
          <w:tcPr>
            <w:tcW w:type="dxa" w:w="1872"/>
            <w:shd w:val="clear" w:fill="1F3864"/>
          </w:tcPr>
          <w:p>
            <w:pPr>
              <w:jc w:val="right"/>
            </w:pPr>
            <w:r/>
            <w:r>
              <w:rPr>
                <w:b/>
                <w:color w:val="FFFFFF"/>
                <w:sz w:val="18"/>
              </w:rPr>
              <w:t>Revenue</w:t>
            </w:r>
          </w:p>
        </w:tc>
        <w:tc>
          <w:tcPr>
            <w:tcW w:type="dxa" w:w="1584"/>
            <w:shd w:val="clear" w:fill="1F3864"/>
          </w:tcPr>
          <w:p>
            <w:pPr>
              <w:jc w:val="right"/>
            </w:pPr>
            <w:r/>
            <w:r>
              <w:rPr>
                <w:b/>
                <w:color w:val="FFFFFF"/>
                <w:sz w:val="18"/>
              </w:rPr>
              <w:t>Units Sold</w:t>
            </w:r>
          </w:p>
        </w:tc>
        <w:tc>
          <w:tcPr>
            <w:tcW w:type="dxa" w:w="1296"/>
            <w:shd w:val="clear" w:fill="1F3864"/>
          </w:tcPr>
          <w:p>
            <w:pPr>
              <w:jc w:val="right"/>
            </w:pPr>
            <w:r/>
            <w:r>
              <w:rPr>
                <w:b/>
                <w:color w:val="FFFFFF"/>
                <w:sz w:val="18"/>
              </w:rPr>
              <w:t>Orders</w:t>
            </w:r>
          </w:p>
        </w:tc>
      </w:tr>
      <w:tr>
        <w:tc>
          <w:tcPr>
            <w:tcW w:type="dxa" w:w="5040"/>
          </w:tcPr>
          <w:p>
            <w:r/>
            <w:r>
              <w:rPr>
                <w:b w:val="0"/>
                <w:color w:val="444444"/>
                <w:sz w:val="18"/>
              </w:rPr>
              <w:t xml:space="preserve">Radiant Oriental Multicolor Hand Knotted Wool Blue, </w:t>
            </w:r>
          </w:p>
        </w:tc>
        <w:tc>
          <w:tcPr>
            <w:tcW w:type="dxa" w:w="1872"/>
          </w:tcPr>
          <w:p>
            <w:pPr>
              <w:jc w:val="right"/>
            </w:pPr>
            <w:r/>
            <w:r>
              <w:rPr>
                <w:b w:val="0"/>
                <w:color w:val="444444"/>
                <w:sz w:val="18"/>
              </w:rPr>
              <w:t>$234,702.80</w:t>
            </w:r>
          </w:p>
        </w:tc>
        <w:tc>
          <w:tcPr>
            <w:tcW w:type="dxa" w:w="1584"/>
          </w:tcPr>
          <w:p>
            <w:pPr>
              <w:jc w:val="right"/>
            </w:pPr>
            <w:r/>
            <w:r>
              <w:rPr>
                <w:b w:val="0"/>
                <w:color w:val="444444"/>
                <w:sz w:val="18"/>
              </w:rPr>
              <w:t>69</w:t>
            </w:r>
          </w:p>
        </w:tc>
        <w:tc>
          <w:tcPr>
            <w:tcW w:type="dxa" w:w="1296"/>
          </w:tcPr>
          <w:p>
            <w:pPr>
              <w:jc w:val="right"/>
            </w:pPr>
            <w:r/>
            <w:r>
              <w:rPr>
                <w:b w:val="0"/>
                <w:color w:val="444444"/>
                <w:sz w:val="18"/>
              </w:rPr>
              <w:t>54</w:t>
            </w:r>
          </w:p>
        </w:tc>
      </w:tr>
      <w:tr>
        <w:tc>
          <w:tcPr>
            <w:tcW w:type="dxa" w:w="5040"/>
            <w:shd w:val="clear" w:fill="EDF0F4"/>
          </w:tcPr>
          <w:p>
            <w:r/>
            <w:r>
              <w:rPr>
                <w:b w:val="0"/>
                <w:color w:val="444444"/>
                <w:sz w:val="18"/>
              </w:rPr>
              <w:t>Eldonmore 7'8" X 10' Area Rug</w:t>
            </w:r>
          </w:p>
        </w:tc>
        <w:tc>
          <w:tcPr>
            <w:tcW w:type="dxa" w:w="1872"/>
            <w:shd w:val="clear" w:fill="EDF0F4"/>
          </w:tcPr>
          <w:p>
            <w:pPr>
              <w:jc w:val="right"/>
            </w:pPr>
            <w:r/>
            <w:r>
              <w:rPr>
                <w:b w:val="0"/>
                <w:color w:val="444444"/>
                <w:sz w:val="18"/>
              </w:rPr>
              <w:t>$44,913.89</w:t>
            </w:r>
          </w:p>
        </w:tc>
        <w:tc>
          <w:tcPr>
            <w:tcW w:type="dxa" w:w="1584"/>
            <w:shd w:val="clear" w:fill="EDF0F4"/>
          </w:tcPr>
          <w:p>
            <w:pPr>
              <w:jc w:val="right"/>
            </w:pPr>
            <w:r/>
            <w:r>
              <w:rPr>
                <w:b w:val="0"/>
                <w:color w:val="444444"/>
                <w:sz w:val="18"/>
              </w:rPr>
              <w:t>64</w:t>
            </w:r>
          </w:p>
        </w:tc>
        <w:tc>
          <w:tcPr>
            <w:tcW w:type="dxa" w:w="1296"/>
            <w:shd w:val="clear" w:fill="EDF0F4"/>
          </w:tcPr>
          <w:p>
            <w:pPr>
              <w:jc w:val="right"/>
            </w:pPr>
            <w:r/>
            <w:r>
              <w:rPr>
                <w:b w:val="0"/>
                <w:color w:val="444444"/>
                <w:sz w:val="18"/>
              </w:rPr>
              <w:t>52</w:t>
            </w:r>
          </w:p>
        </w:tc>
      </w:tr>
      <w:tr>
        <w:tc>
          <w:tcPr>
            <w:tcW w:type="dxa" w:w="5040"/>
          </w:tcPr>
          <w:p>
            <w:r/>
            <w:r>
              <w:rPr>
                <w:b w:val="0"/>
                <w:color w:val="444444"/>
                <w:sz w:val="18"/>
              </w:rPr>
              <w:t>Lisgrove 7'8" X 10' Area Rug</w:t>
            </w:r>
          </w:p>
        </w:tc>
        <w:tc>
          <w:tcPr>
            <w:tcW w:type="dxa" w:w="1872"/>
          </w:tcPr>
          <w:p>
            <w:pPr>
              <w:jc w:val="right"/>
            </w:pPr>
            <w:r/>
            <w:r>
              <w:rPr>
                <w:b w:val="0"/>
                <w:color w:val="444444"/>
                <w:sz w:val="18"/>
              </w:rPr>
              <w:t>$37,032.37</w:t>
            </w:r>
          </w:p>
        </w:tc>
        <w:tc>
          <w:tcPr>
            <w:tcW w:type="dxa" w:w="1584"/>
          </w:tcPr>
          <w:p>
            <w:pPr>
              <w:jc w:val="right"/>
            </w:pPr>
            <w:r/>
            <w:r>
              <w:rPr>
                <w:b w:val="0"/>
                <w:color w:val="444444"/>
                <w:sz w:val="18"/>
              </w:rPr>
              <w:t>56</w:t>
            </w:r>
          </w:p>
        </w:tc>
        <w:tc>
          <w:tcPr>
            <w:tcW w:type="dxa" w:w="1296"/>
          </w:tcPr>
          <w:p>
            <w:pPr>
              <w:jc w:val="right"/>
            </w:pPr>
            <w:r/>
            <w:r>
              <w:rPr>
                <w:b w:val="0"/>
                <w:color w:val="444444"/>
                <w:sz w:val="18"/>
              </w:rPr>
              <w:t>36</w:t>
            </w:r>
          </w:p>
        </w:tc>
      </w:tr>
      <w:tr>
        <w:tc>
          <w:tcPr>
            <w:tcW w:type="dxa" w:w="5040"/>
            <w:shd w:val="clear" w:fill="EDF0F4"/>
          </w:tcPr>
          <w:p>
            <w:r/>
            <w:r>
              <w:rPr>
                <w:b w:val="0"/>
                <w:color w:val="444444"/>
                <w:sz w:val="18"/>
              </w:rPr>
              <w:t>Lahjar Speckled Wool Blend Area Rug</w:t>
            </w:r>
          </w:p>
        </w:tc>
        <w:tc>
          <w:tcPr>
            <w:tcW w:type="dxa" w:w="1872"/>
            <w:shd w:val="clear" w:fill="EDF0F4"/>
          </w:tcPr>
          <w:p>
            <w:pPr>
              <w:jc w:val="right"/>
            </w:pPr>
            <w:r/>
            <w:r>
              <w:rPr>
                <w:b w:val="0"/>
                <w:color w:val="444444"/>
                <w:sz w:val="18"/>
              </w:rPr>
              <w:t>$30,301.16</w:t>
            </w:r>
          </w:p>
        </w:tc>
        <w:tc>
          <w:tcPr>
            <w:tcW w:type="dxa" w:w="1584"/>
            <w:shd w:val="clear" w:fill="EDF0F4"/>
          </w:tcPr>
          <w:p>
            <w:pPr>
              <w:jc w:val="right"/>
            </w:pPr>
            <w:r/>
            <w:r>
              <w:rPr>
                <w:b w:val="0"/>
                <w:color w:val="444444"/>
                <w:sz w:val="18"/>
              </w:rPr>
              <w:t>59</w:t>
            </w:r>
          </w:p>
        </w:tc>
        <w:tc>
          <w:tcPr>
            <w:tcW w:type="dxa" w:w="1296"/>
            <w:shd w:val="clear" w:fill="EDF0F4"/>
          </w:tcPr>
          <w:p>
            <w:pPr>
              <w:jc w:val="right"/>
            </w:pPr>
            <w:r/>
            <w:r>
              <w:rPr>
                <w:b w:val="0"/>
                <w:color w:val="444444"/>
                <w:sz w:val="18"/>
              </w:rPr>
              <w:t>47</w:t>
            </w:r>
          </w:p>
        </w:tc>
      </w:tr>
      <w:tr>
        <w:tc>
          <w:tcPr>
            <w:tcW w:type="dxa" w:w="5040"/>
          </w:tcPr>
          <w:p>
            <w:r/>
            <w:r>
              <w:rPr>
                <w:b w:val="0"/>
                <w:color w:val="444444"/>
                <w:sz w:val="18"/>
              </w:rPr>
              <w:t>Dylanton 7'8" X 10' Area Rug</w:t>
            </w:r>
          </w:p>
        </w:tc>
        <w:tc>
          <w:tcPr>
            <w:tcW w:type="dxa" w:w="1872"/>
          </w:tcPr>
          <w:p>
            <w:pPr>
              <w:jc w:val="right"/>
            </w:pPr>
            <w:r/>
            <w:r>
              <w:rPr>
                <w:b w:val="0"/>
                <w:color w:val="444444"/>
                <w:sz w:val="18"/>
              </w:rPr>
              <w:t>$24,383.91</w:t>
            </w:r>
          </w:p>
        </w:tc>
        <w:tc>
          <w:tcPr>
            <w:tcW w:type="dxa" w:w="1584"/>
          </w:tcPr>
          <w:p>
            <w:pPr>
              <w:jc w:val="right"/>
            </w:pPr>
            <w:r/>
            <w:r>
              <w:rPr>
                <w:b w:val="0"/>
                <w:color w:val="444444"/>
                <w:sz w:val="18"/>
              </w:rPr>
              <w:t>52</w:t>
            </w:r>
          </w:p>
        </w:tc>
        <w:tc>
          <w:tcPr>
            <w:tcW w:type="dxa" w:w="1296"/>
          </w:tcPr>
          <w:p>
            <w:pPr>
              <w:jc w:val="right"/>
            </w:pPr>
            <w:r/>
            <w:r>
              <w:rPr>
                <w:b w:val="0"/>
                <w:color w:val="444444"/>
                <w:sz w:val="18"/>
              </w:rPr>
              <w:t>42</w:t>
            </w:r>
          </w:p>
        </w:tc>
      </w:tr>
      <w:tr>
        <w:tc>
          <w:tcPr>
            <w:tcW w:type="dxa" w:w="5040"/>
            <w:shd w:val="clear" w:fill="EDF0F4"/>
          </w:tcPr>
          <w:p>
            <w:r/>
            <w:r>
              <w:rPr>
                <w:b w:val="0"/>
                <w:color w:val="444444"/>
                <w:sz w:val="18"/>
              </w:rPr>
              <w:t>Azelhurst 7'8" X 10' Area Rug</w:t>
            </w:r>
          </w:p>
        </w:tc>
        <w:tc>
          <w:tcPr>
            <w:tcW w:type="dxa" w:w="1872"/>
            <w:shd w:val="clear" w:fill="EDF0F4"/>
          </w:tcPr>
          <w:p>
            <w:pPr>
              <w:jc w:val="right"/>
            </w:pPr>
            <w:r/>
            <w:r>
              <w:rPr>
                <w:b w:val="0"/>
                <w:color w:val="444444"/>
                <w:sz w:val="18"/>
              </w:rPr>
              <w:t>$23,973.13</w:t>
            </w:r>
          </w:p>
        </w:tc>
        <w:tc>
          <w:tcPr>
            <w:tcW w:type="dxa" w:w="1584"/>
            <w:shd w:val="clear" w:fill="EDF0F4"/>
          </w:tcPr>
          <w:p>
            <w:pPr>
              <w:jc w:val="right"/>
            </w:pPr>
            <w:r/>
            <w:r>
              <w:rPr>
                <w:b w:val="0"/>
                <w:color w:val="444444"/>
                <w:sz w:val="18"/>
              </w:rPr>
              <w:t>36</w:t>
            </w:r>
          </w:p>
        </w:tc>
        <w:tc>
          <w:tcPr>
            <w:tcW w:type="dxa" w:w="1296"/>
            <w:shd w:val="clear" w:fill="EDF0F4"/>
          </w:tcPr>
          <w:p>
            <w:pPr>
              <w:jc w:val="right"/>
            </w:pPr>
            <w:r/>
            <w:r>
              <w:rPr>
                <w:b w:val="0"/>
                <w:color w:val="444444"/>
                <w:sz w:val="18"/>
              </w:rPr>
              <w:t>32</w:t>
            </w:r>
          </w:p>
        </w:tc>
      </w:tr>
      <w:tr>
        <w:tc>
          <w:tcPr>
            <w:tcW w:type="dxa" w:w="5040"/>
          </w:tcPr>
          <w:p>
            <w:r/>
            <w:r>
              <w:rPr>
                <w:b w:val="0"/>
                <w:color w:val="444444"/>
                <w:sz w:val="18"/>
              </w:rPr>
              <w:t>Ankita Bordered Jute Area Rug</w:t>
            </w:r>
          </w:p>
        </w:tc>
        <w:tc>
          <w:tcPr>
            <w:tcW w:type="dxa" w:w="1872"/>
          </w:tcPr>
          <w:p>
            <w:pPr>
              <w:jc w:val="right"/>
            </w:pPr>
            <w:r/>
            <w:r>
              <w:rPr>
                <w:b w:val="0"/>
                <w:color w:val="444444"/>
                <w:sz w:val="18"/>
              </w:rPr>
              <w:t>$19,395.16</w:t>
            </w:r>
          </w:p>
        </w:tc>
        <w:tc>
          <w:tcPr>
            <w:tcW w:type="dxa" w:w="1584"/>
          </w:tcPr>
          <w:p>
            <w:pPr>
              <w:jc w:val="right"/>
            </w:pPr>
            <w:r/>
            <w:r>
              <w:rPr>
                <w:b w:val="0"/>
                <w:color w:val="444444"/>
                <w:sz w:val="18"/>
              </w:rPr>
              <w:t>59</w:t>
            </w:r>
          </w:p>
        </w:tc>
        <w:tc>
          <w:tcPr>
            <w:tcW w:type="dxa" w:w="1296"/>
          </w:tcPr>
          <w:p>
            <w:pPr>
              <w:jc w:val="right"/>
            </w:pPr>
            <w:r/>
            <w:r>
              <w:rPr>
                <w:b w:val="0"/>
                <w:color w:val="444444"/>
                <w:sz w:val="18"/>
              </w:rPr>
              <w:t>49</w:t>
            </w:r>
          </w:p>
        </w:tc>
      </w:tr>
      <w:tr>
        <w:tc>
          <w:tcPr>
            <w:tcW w:type="dxa" w:w="5040"/>
            <w:shd w:val="clear" w:fill="EDF0F4"/>
          </w:tcPr>
          <w:p>
            <w:r/>
            <w:r>
              <w:rPr>
                <w:b w:val="0"/>
                <w:color w:val="444444"/>
                <w:sz w:val="18"/>
              </w:rPr>
              <w:t>Ainswick Memory Foam Large Rug</w:t>
            </w:r>
          </w:p>
        </w:tc>
        <w:tc>
          <w:tcPr>
            <w:tcW w:type="dxa" w:w="1872"/>
            <w:shd w:val="clear" w:fill="EDF0F4"/>
          </w:tcPr>
          <w:p>
            <w:pPr>
              <w:jc w:val="right"/>
            </w:pPr>
            <w:r/>
            <w:r>
              <w:rPr>
                <w:b w:val="0"/>
                <w:color w:val="444444"/>
                <w:sz w:val="18"/>
              </w:rPr>
              <w:t>$18,807.00</w:t>
            </w:r>
          </w:p>
        </w:tc>
        <w:tc>
          <w:tcPr>
            <w:tcW w:type="dxa" w:w="1584"/>
            <w:shd w:val="clear" w:fill="EDF0F4"/>
          </w:tcPr>
          <w:p>
            <w:pPr>
              <w:jc w:val="right"/>
            </w:pPr>
            <w:r/>
            <w:r>
              <w:rPr>
                <w:b w:val="0"/>
                <w:color w:val="444444"/>
                <w:sz w:val="18"/>
              </w:rPr>
              <w:t>33</w:t>
            </w:r>
          </w:p>
        </w:tc>
        <w:tc>
          <w:tcPr>
            <w:tcW w:type="dxa" w:w="1296"/>
            <w:shd w:val="clear" w:fill="EDF0F4"/>
          </w:tcPr>
          <w:p>
            <w:pPr>
              <w:jc w:val="right"/>
            </w:pPr>
            <w:r/>
            <w:r>
              <w:rPr>
                <w:b w:val="0"/>
                <w:color w:val="444444"/>
                <w:sz w:val="18"/>
              </w:rPr>
              <w:t>31</w:t>
            </w:r>
          </w:p>
        </w:tc>
      </w:tr>
      <w:tr>
        <w:tc>
          <w:tcPr>
            <w:tcW w:type="dxa" w:w="5040"/>
          </w:tcPr>
          <w:p>
            <w:r/>
            <w:r>
              <w:rPr>
                <w:b w:val="0"/>
                <w:color w:val="444444"/>
                <w:sz w:val="18"/>
              </w:rPr>
              <w:t>Oriental Indoor Rug</w:t>
            </w:r>
          </w:p>
        </w:tc>
        <w:tc>
          <w:tcPr>
            <w:tcW w:type="dxa" w:w="1872"/>
          </w:tcPr>
          <w:p>
            <w:pPr>
              <w:jc w:val="right"/>
            </w:pPr>
            <w:r/>
            <w:r>
              <w:rPr>
                <w:b w:val="0"/>
                <w:color w:val="444444"/>
                <w:sz w:val="18"/>
              </w:rPr>
              <w:t>$14,109.86</w:t>
            </w:r>
          </w:p>
        </w:tc>
        <w:tc>
          <w:tcPr>
            <w:tcW w:type="dxa" w:w="1584"/>
          </w:tcPr>
          <w:p>
            <w:pPr>
              <w:jc w:val="right"/>
            </w:pPr>
            <w:r/>
            <w:r>
              <w:rPr>
                <w:b w:val="0"/>
                <w:color w:val="444444"/>
                <w:sz w:val="18"/>
              </w:rPr>
              <w:t>62</w:t>
            </w:r>
          </w:p>
        </w:tc>
        <w:tc>
          <w:tcPr>
            <w:tcW w:type="dxa" w:w="1296"/>
          </w:tcPr>
          <w:p>
            <w:pPr>
              <w:jc w:val="right"/>
            </w:pPr>
            <w:r/>
            <w:r>
              <w:rPr>
                <w:b w:val="0"/>
                <w:color w:val="444444"/>
                <w:sz w:val="18"/>
              </w:rPr>
              <w:t>46</w:t>
            </w:r>
          </w:p>
        </w:tc>
      </w:tr>
      <w:tr>
        <w:tc>
          <w:tcPr>
            <w:tcW w:type="dxa" w:w="5040"/>
            <w:shd w:val="clear" w:fill="EDF0F4"/>
          </w:tcPr>
          <w:p>
            <w:r/>
            <w:r>
              <w:rPr>
                <w:b w:val="0"/>
                <w:color w:val="444444"/>
                <w:sz w:val="18"/>
              </w:rPr>
              <w:t>Rinoa Indoor / Outdoor Rug</w:t>
            </w:r>
          </w:p>
        </w:tc>
        <w:tc>
          <w:tcPr>
            <w:tcW w:type="dxa" w:w="1872"/>
            <w:shd w:val="clear" w:fill="EDF0F4"/>
          </w:tcPr>
          <w:p>
            <w:pPr>
              <w:jc w:val="right"/>
            </w:pPr>
            <w:r/>
            <w:r>
              <w:rPr>
                <w:b w:val="0"/>
                <w:color w:val="444444"/>
                <w:sz w:val="18"/>
              </w:rPr>
              <w:t>$12,367.18</w:t>
            </w:r>
          </w:p>
        </w:tc>
        <w:tc>
          <w:tcPr>
            <w:tcW w:type="dxa" w:w="1584"/>
            <w:shd w:val="clear" w:fill="EDF0F4"/>
          </w:tcPr>
          <w:p>
            <w:pPr>
              <w:jc w:val="right"/>
            </w:pPr>
            <w:r/>
            <w:r>
              <w:rPr>
                <w:b w:val="0"/>
                <w:color w:val="444444"/>
                <w:sz w:val="18"/>
              </w:rPr>
              <w:t>61</w:t>
            </w:r>
          </w:p>
        </w:tc>
        <w:tc>
          <w:tcPr>
            <w:tcW w:type="dxa" w:w="1296"/>
            <w:shd w:val="clear" w:fill="EDF0F4"/>
          </w:tcPr>
          <w:p>
            <w:pPr>
              <w:jc w:val="right"/>
            </w:pPr>
            <w:r/>
            <w:r>
              <w:rPr>
                <w:b w:val="0"/>
                <w:color w:val="444444"/>
                <w:sz w:val="18"/>
              </w:rPr>
              <w:t>41</w:t>
            </w:r>
          </w:p>
        </w:tc>
      </w:tr>
    </w:tbl>
    <w:p/>
    <w:p>
      <w:pPr>
        <w:pStyle w:val="Heading2"/>
      </w:pPr>
      <w:r>
        <w:rPr>
          <w:color w:val="1F3864"/>
        </w:rPr>
        <w:t>Bottom 5 Products by Revenue</w:t>
      </w:r>
    </w:p>
    <w:tbl>
      <w:tblPr>
        <w:tblW w:type="auto" w:w="0"/>
        <w:jc w:val="center"/>
        <w:tblLook w:firstColumn="1" w:firstRow="1" w:lastColumn="0" w:lastRow="0" w:noHBand="0" w:noVBand="1" w:val="04A0"/>
      </w:tblPr>
      <w:tblGrid>
        <w:gridCol w:w="2520"/>
        <w:gridCol w:w="2520"/>
        <w:gridCol w:w="2520"/>
        <w:gridCol w:w="2520"/>
      </w:tblGrid>
      <w:tr>
        <w:tc>
          <w:tcPr>
            <w:tcW w:type="dxa" w:w="5040"/>
            <w:shd w:val="clear" w:fill="1F3864"/>
          </w:tcPr>
          <w:p>
            <w:r/>
            <w:r>
              <w:rPr>
                <w:b/>
                <w:color w:val="FFFFFF"/>
                <w:sz w:val="18"/>
              </w:rPr>
              <w:t>Product</w:t>
            </w:r>
          </w:p>
        </w:tc>
        <w:tc>
          <w:tcPr>
            <w:tcW w:type="dxa" w:w="1872"/>
            <w:shd w:val="clear" w:fill="1F3864"/>
          </w:tcPr>
          <w:p>
            <w:pPr>
              <w:jc w:val="right"/>
            </w:pPr>
            <w:r/>
            <w:r>
              <w:rPr>
                <w:b/>
                <w:color w:val="FFFFFF"/>
                <w:sz w:val="18"/>
              </w:rPr>
              <w:t>Revenue</w:t>
            </w:r>
          </w:p>
        </w:tc>
        <w:tc>
          <w:tcPr>
            <w:tcW w:type="dxa" w:w="1584"/>
            <w:shd w:val="clear" w:fill="1F3864"/>
          </w:tcPr>
          <w:p>
            <w:pPr>
              <w:jc w:val="right"/>
            </w:pPr>
            <w:r/>
            <w:r>
              <w:rPr>
                <w:b/>
                <w:color w:val="FFFFFF"/>
                <w:sz w:val="18"/>
              </w:rPr>
              <w:t>Units Sold</w:t>
            </w:r>
          </w:p>
        </w:tc>
        <w:tc>
          <w:tcPr>
            <w:tcW w:type="dxa" w:w="1296"/>
            <w:shd w:val="clear" w:fill="1F3864"/>
          </w:tcPr>
          <w:p>
            <w:pPr>
              <w:jc w:val="right"/>
            </w:pPr>
            <w:r/>
            <w:r>
              <w:rPr>
                <w:b/>
                <w:color w:val="FFFFFF"/>
                <w:sz w:val="18"/>
              </w:rPr>
              <w:t>Orders</w:t>
            </w:r>
          </w:p>
        </w:tc>
      </w:tr>
      <w:tr>
        <w:tc>
          <w:tcPr>
            <w:tcW w:type="dxa" w:w="5040"/>
          </w:tcPr>
          <w:p>
            <w:r/>
            <w:r>
              <w:rPr>
                <w:b w:val="0"/>
                <w:color w:val="444444"/>
                <w:sz w:val="18"/>
              </w:rPr>
              <w:t>Area Rug Machine Washable Rugs with Rubber Backing f</w:t>
            </w:r>
          </w:p>
        </w:tc>
        <w:tc>
          <w:tcPr>
            <w:tcW w:type="dxa" w:w="1872"/>
          </w:tcPr>
          <w:p>
            <w:pPr>
              <w:jc w:val="right"/>
            </w:pPr>
            <w:r/>
            <w:r>
              <w:rPr>
                <w:b w:val="0"/>
                <w:color w:val="444444"/>
                <w:sz w:val="18"/>
              </w:rPr>
              <w:t>$1,201.92</w:t>
            </w:r>
          </w:p>
        </w:tc>
        <w:tc>
          <w:tcPr>
            <w:tcW w:type="dxa" w:w="1584"/>
          </w:tcPr>
          <w:p>
            <w:pPr>
              <w:jc w:val="right"/>
            </w:pPr>
            <w:r/>
            <w:r>
              <w:rPr>
                <w:b w:val="0"/>
                <w:color w:val="444444"/>
                <w:sz w:val="18"/>
              </w:rPr>
              <w:t>60</w:t>
            </w:r>
          </w:p>
        </w:tc>
        <w:tc>
          <w:tcPr>
            <w:tcW w:type="dxa" w:w="1296"/>
          </w:tcPr>
          <w:p>
            <w:pPr>
              <w:jc w:val="right"/>
            </w:pPr>
            <w:r/>
            <w:r>
              <w:rPr>
                <w:b w:val="0"/>
                <w:color w:val="444444"/>
                <w:sz w:val="18"/>
              </w:rPr>
              <w:t>42</w:t>
            </w:r>
          </w:p>
        </w:tc>
      </w:tr>
      <w:tr>
        <w:tc>
          <w:tcPr>
            <w:tcW w:type="dxa" w:w="5040"/>
            <w:shd w:val="clear" w:fill="EDF0F4"/>
          </w:tcPr>
          <w:p>
            <w:r/>
            <w:r>
              <w:rPr>
                <w:b w:val="0"/>
                <w:color w:val="444444"/>
                <w:sz w:val="18"/>
              </w:rPr>
              <w:t>Machine Washable Area Rugs for Entryway 2x3 Non-Slip</w:t>
            </w:r>
          </w:p>
        </w:tc>
        <w:tc>
          <w:tcPr>
            <w:tcW w:type="dxa" w:w="1872"/>
            <w:shd w:val="clear" w:fill="EDF0F4"/>
          </w:tcPr>
          <w:p>
            <w:pPr>
              <w:jc w:val="right"/>
            </w:pPr>
            <w:r/>
            <w:r>
              <w:rPr>
                <w:b w:val="0"/>
                <w:color w:val="444444"/>
                <w:sz w:val="18"/>
              </w:rPr>
              <w:t>$1,322.32</w:t>
            </w:r>
          </w:p>
        </w:tc>
        <w:tc>
          <w:tcPr>
            <w:tcW w:type="dxa" w:w="1584"/>
            <w:shd w:val="clear" w:fill="EDF0F4"/>
          </w:tcPr>
          <w:p>
            <w:pPr>
              <w:jc w:val="right"/>
            </w:pPr>
            <w:r/>
            <w:r>
              <w:rPr>
                <w:b w:val="0"/>
                <w:color w:val="444444"/>
                <w:sz w:val="18"/>
              </w:rPr>
              <w:t>66</w:t>
            </w:r>
          </w:p>
        </w:tc>
        <w:tc>
          <w:tcPr>
            <w:tcW w:type="dxa" w:w="1296"/>
            <w:shd w:val="clear" w:fill="EDF0F4"/>
          </w:tcPr>
          <w:p>
            <w:pPr>
              <w:jc w:val="right"/>
            </w:pPr>
            <w:r/>
            <w:r>
              <w:rPr>
                <w:b w:val="0"/>
                <w:color w:val="444444"/>
                <w:sz w:val="18"/>
              </w:rPr>
              <w:t>48</w:t>
            </w:r>
          </w:p>
        </w:tc>
      </w:tr>
      <w:tr>
        <w:tc>
          <w:tcPr>
            <w:tcW w:type="dxa" w:w="5040"/>
          </w:tcPr>
          <w:p>
            <w:r/>
            <w:r>
              <w:rPr>
                <w:b w:val="0"/>
                <w:color w:val="444444"/>
                <w:sz w:val="18"/>
              </w:rPr>
              <w:t>Washable Oriental  Area Rugs Non slip Green Rugs</w:t>
            </w:r>
          </w:p>
        </w:tc>
        <w:tc>
          <w:tcPr>
            <w:tcW w:type="dxa" w:w="1872"/>
          </w:tcPr>
          <w:p>
            <w:pPr>
              <w:jc w:val="right"/>
            </w:pPr>
            <w:r/>
            <w:r>
              <w:rPr>
                <w:b w:val="0"/>
                <w:color w:val="444444"/>
                <w:sz w:val="18"/>
              </w:rPr>
              <w:t>$1,660.35</w:t>
            </w:r>
          </w:p>
        </w:tc>
        <w:tc>
          <w:tcPr>
            <w:tcW w:type="dxa" w:w="1584"/>
          </w:tcPr>
          <w:p>
            <w:pPr>
              <w:jc w:val="right"/>
            </w:pPr>
            <w:r/>
            <w:r>
              <w:rPr>
                <w:b w:val="0"/>
                <w:color w:val="444444"/>
                <w:sz w:val="18"/>
              </w:rPr>
              <w:t>83</w:t>
            </w:r>
          </w:p>
        </w:tc>
        <w:tc>
          <w:tcPr>
            <w:tcW w:type="dxa" w:w="1296"/>
          </w:tcPr>
          <w:p>
            <w:pPr>
              <w:jc w:val="right"/>
            </w:pPr>
            <w:r/>
            <w:r>
              <w:rPr>
                <w:b w:val="0"/>
                <w:color w:val="444444"/>
                <w:sz w:val="18"/>
              </w:rPr>
              <w:t>56</w:t>
            </w:r>
          </w:p>
        </w:tc>
      </w:tr>
      <w:tr>
        <w:tc>
          <w:tcPr>
            <w:tcW w:type="dxa" w:w="5040"/>
            <w:shd w:val="clear" w:fill="EDF0F4"/>
          </w:tcPr>
          <w:p>
            <w:r/>
            <w:r>
              <w:rPr>
                <w:b w:val="0"/>
                <w:color w:val="444444"/>
                <w:sz w:val="18"/>
              </w:rPr>
              <w:t>Loloi Botanical Ivory / Multi Area Rug</w:t>
            </w:r>
          </w:p>
        </w:tc>
        <w:tc>
          <w:tcPr>
            <w:tcW w:type="dxa" w:w="1872"/>
            <w:shd w:val="clear" w:fill="EDF0F4"/>
          </w:tcPr>
          <w:p>
            <w:pPr>
              <w:jc w:val="right"/>
            </w:pPr>
            <w:r/>
            <w:r>
              <w:rPr>
                <w:b w:val="0"/>
                <w:color w:val="444444"/>
                <w:sz w:val="18"/>
              </w:rPr>
              <w:t>$1,679.97</w:t>
            </w:r>
          </w:p>
        </w:tc>
        <w:tc>
          <w:tcPr>
            <w:tcW w:type="dxa" w:w="1584"/>
            <w:shd w:val="clear" w:fill="EDF0F4"/>
          </w:tcPr>
          <w:p>
            <w:pPr>
              <w:jc w:val="right"/>
            </w:pPr>
            <w:r/>
            <w:r>
              <w:rPr>
                <w:b w:val="0"/>
                <w:color w:val="444444"/>
                <w:sz w:val="18"/>
              </w:rPr>
              <w:t>51</w:t>
            </w:r>
          </w:p>
        </w:tc>
        <w:tc>
          <w:tcPr>
            <w:tcW w:type="dxa" w:w="1296"/>
            <w:shd w:val="clear" w:fill="EDF0F4"/>
          </w:tcPr>
          <w:p>
            <w:pPr>
              <w:jc w:val="right"/>
            </w:pPr>
            <w:r/>
            <w:r>
              <w:rPr>
                <w:b w:val="0"/>
                <w:color w:val="444444"/>
                <w:sz w:val="18"/>
              </w:rPr>
              <w:t>41</w:t>
            </w:r>
          </w:p>
        </w:tc>
      </w:tr>
      <w:tr>
        <w:tc>
          <w:tcPr>
            <w:tcW w:type="dxa" w:w="5040"/>
          </w:tcPr>
          <w:p>
            <w:r/>
            <w:r>
              <w:rPr>
                <w:b w:val="0"/>
                <w:color w:val="444444"/>
                <w:sz w:val="18"/>
              </w:rPr>
              <w:t>Jodhveer Area Rug Washable Rug Non-Slip Backing Indo</w:t>
            </w:r>
          </w:p>
        </w:tc>
        <w:tc>
          <w:tcPr>
            <w:tcW w:type="dxa" w:w="1872"/>
          </w:tcPr>
          <w:p>
            <w:pPr>
              <w:jc w:val="right"/>
            </w:pPr>
            <w:r/>
            <w:r>
              <w:rPr>
                <w:b w:val="0"/>
                <w:color w:val="444444"/>
                <w:sz w:val="18"/>
              </w:rPr>
              <w:t>$1,991.23</w:t>
            </w:r>
          </w:p>
        </w:tc>
        <w:tc>
          <w:tcPr>
            <w:tcW w:type="dxa" w:w="1584"/>
          </w:tcPr>
          <w:p>
            <w:pPr>
              <w:jc w:val="right"/>
            </w:pPr>
            <w:r/>
            <w:r>
              <w:rPr>
                <w:b w:val="0"/>
                <w:color w:val="444444"/>
                <w:sz w:val="18"/>
              </w:rPr>
              <w:t>51</w:t>
            </w:r>
          </w:p>
        </w:tc>
        <w:tc>
          <w:tcPr>
            <w:tcW w:type="dxa" w:w="1296"/>
          </w:tcPr>
          <w:p>
            <w:pPr>
              <w:jc w:val="right"/>
            </w:pPr>
            <w:r/>
            <w:r>
              <w:rPr>
                <w:b w:val="0"/>
                <w:color w:val="444444"/>
                <w:sz w:val="18"/>
              </w:rPr>
              <w:t>43</w:t>
            </w:r>
          </w:p>
        </w:tc>
      </w:tr>
    </w:tbl>
    <w:p/>
    <w:p>
      <w:pPr>
        <w:spacing w:after="160"/>
      </w:pPr>
      <w:r>
        <w:rPr>
          <w:b w:val="0"/>
          <w:color w:val="444444"/>
          <w:sz w:val="21"/>
        </w:rPr>
        <w:t>Notably, order counts for the lowest-revenue products (41–56 orders each) are comparable to those of the highest-revenue products — the gap is driven almost entirely by unit price, not by how often the product sells. Low-priced, frequently-selling items are moving consistent volume but contributing comparatively little revenue per transaction.</w:t>
      </w:r>
    </w:p>
    <w:p>
      <w:pPr>
        <w:pStyle w:val="Heading1"/>
      </w:pPr>
      <w:r>
        <w:rPr>
          <w:color w:val="1F3864"/>
        </w:rPr>
        <w:t>Revenue Concentration</w:t>
      </w:r>
    </w:p>
    <w:p>
      <w:pPr>
        <w:spacing w:after="160"/>
      </w:pPr>
      <w:r>
        <w:rPr>
          <w:b w:val="0"/>
          <w:color w:val="444444"/>
          <w:sz w:val="21"/>
        </w:rPr>
        <w:t>The chart below ranks all 49 products from highest to lowest revenue (bars, left axis) alongside the cumulative share of total revenue they represent (line, right axis). The dashed line marks the 80% cumulative revenue threshold.</w:t>
      </w:r>
    </w:p>
    <w:p>
      <w:pPr>
        <w:jc w:val="center"/>
      </w:pPr>
      <w:r>
        <w:drawing>
          <wp:inline xmlns:a="http://schemas.openxmlformats.org/drawingml/2006/main" xmlns:pic="http://schemas.openxmlformats.org/drawingml/2006/picture">
            <wp:extent cx="5522976" cy="2688775"/>
            <wp:docPr id="3" name="Picture 3"/>
            <wp:cNvGraphicFramePr>
              <a:graphicFrameLocks noChangeAspect="1"/>
            </wp:cNvGraphicFramePr>
            <a:graphic>
              <a:graphicData uri="http://schemas.openxmlformats.org/drawingml/2006/picture">
                <pic:pic>
                  <pic:nvPicPr>
                    <pic:cNvPr id="0" name="revenue_concentration.png"/>
                    <pic:cNvPicPr/>
                  </pic:nvPicPr>
                  <pic:blipFill>
                    <a:blip r:embed="rId11"/>
                    <a:stretch>
                      <a:fillRect/>
                    </a:stretch>
                  </pic:blipFill>
                  <pic:spPr>
                    <a:xfrm>
                      <a:off x="0" y="0"/>
                      <a:ext cx="5522976" cy="2688775"/>
                    </a:xfrm>
                    <a:prstGeom prst="rect"/>
                  </pic:spPr>
                </pic:pic>
              </a:graphicData>
            </a:graphic>
          </wp:inline>
        </w:drawing>
      </w:r>
    </w:p>
    <w:p>
      <w:pPr>
        <w:spacing w:after="160"/>
      </w:pPr>
      <w:r>
        <w:rPr>
          <w:b w:val="0"/>
          <w:color w:val="444444"/>
          <w:sz w:val="21"/>
        </w:rPr>
        <w:t>Revenue is meaningfully concentrated at the top of the catalog: it takes only 21 of 49 products (43% of the lineup) to reach 80% of total revenue, driven disproportionately by a small number of higher-priced rugs. This is a useful signal for inventory and marketing prioritization — the catalog's commercial performance is not evenly distributed across products.</w:t>
      </w:r>
    </w:p>
    <w:p>
      <w:pPr>
        <w:pStyle w:val="Heading1"/>
      </w:pPr>
      <w:r>
        <w:rPr>
          <w:color w:val="1F3864"/>
        </w:rPr>
        <w:t>Customer Behavior</w:t>
      </w:r>
    </w:p>
    <w:p>
      <w:pPr>
        <w:spacing w:after="160"/>
      </w:pPr>
      <w:r>
        <w:rPr>
          <w:b w:val="0"/>
          <w:color w:val="444444"/>
          <w:sz w:val="21"/>
        </w:rPr>
        <w:t>The distribution below shows how many orders each of the 1,500 customers placed over the twelve-month period. Most customers (72%) placed a single order.</w:t>
      </w:r>
    </w:p>
    <w:p>
      <w:pPr>
        <w:jc w:val="center"/>
      </w:pPr>
      <w:r>
        <w:drawing>
          <wp:inline xmlns:a="http://schemas.openxmlformats.org/drawingml/2006/main" xmlns:pic="http://schemas.openxmlformats.org/drawingml/2006/picture">
            <wp:extent cx="5522976" cy="2893327"/>
            <wp:docPr id="4" name="Picture 4"/>
            <wp:cNvGraphicFramePr>
              <a:graphicFrameLocks noChangeAspect="1"/>
            </wp:cNvGraphicFramePr>
            <a:graphic>
              <a:graphicData uri="http://schemas.openxmlformats.org/drawingml/2006/picture">
                <pic:pic>
                  <pic:nvPicPr>
                    <pic:cNvPr id="0" name="customer_distribution.png"/>
                    <pic:cNvPicPr/>
                  </pic:nvPicPr>
                  <pic:blipFill>
                    <a:blip r:embed="rId12"/>
                    <a:stretch>
                      <a:fillRect/>
                    </a:stretch>
                  </pic:blipFill>
                  <pic:spPr>
                    <a:xfrm>
                      <a:off x="0" y="0"/>
                      <a:ext cx="5522976" cy="2893327"/>
                    </a:xfrm>
                    <a:prstGeom prst="rect"/>
                  </pic:spPr>
                </pic:pic>
              </a:graphicData>
            </a:graphic>
          </wp:inline>
        </w:drawing>
      </w:r>
    </w:p>
    <w:p>
      <w:pPr>
        <w:spacing w:after="160"/>
      </w:pPr>
      <w:r>
        <w:rPr>
          <w:b w:val="0"/>
          <w:color w:val="444444"/>
          <w:sz w:val="21"/>
        </w:rPr>
        <w:t>1,080 of 1,500 customers (72.0%) placed a single order, while 28.0% placed two or more — a moderate repeat rate. That is a plausible level for big-ticket home goods such as area rugs, though it reflects the simulation's assumptions rather than observed Wayfair shopper behavior.</w:t>
      </w:r>
    </w:p>
    <w:p>
      <w:pPr>
        <w:pStyle w:val="Heading2"/>
      </w:pPr>
      <w:r>
        <w:rPr>
          <w:color w:val="1F3864"/>
        </w:rPr>
        <w:t>Top 10 Customers by Revenue</w:t>
      </w:r>
    </w:p>
    <w:p>
      <w:pPr>
        <w:spacing w:after="160"/>
      </w:pPr>
      <w:r>
        <w:rPr>
          <w:b w:val="0"/>
          <w:color w:val="444444"/>
          <w:sz w:val="21"/>
        </w:rPr>
        <w:t>Customer names below are computer-generated and do not represent real individuals.</w:t>
      </w:r>
    </w:p>
    <w:tbl>
      <w:tblPr>
        <w:tblW w:type="auto" w:w="0"/>
        <w:jc w:val="center"/>
        <w:tblLook w:firstColumn="1" w:firstRow="1" w:lastColumn="0" w:lastRow="0" w:noHBand="0" w:noVBand="1" w:val="04A0"/>
      </w:tblPr>
      <w:tblGrid>
        <w:gridCol w:w="3360"/>
        <w:gridCol w:w="3360"/>
        <w:gridCol w:w="3360"/>
      </w:tblGrid>
      <w:tr>
        <w:tc>
          <w:tcPr>
            <w:tcW w:type="dxa" w:w="5040"/>
            <w:shd w:val="clear" w:fill="1F3864"/>
          </w:tcPr>
          <w:p>
            <w:r/>
            <w:r>
              <w:rPr>
                <w:b/>
                <w:color w:val="FFFFFF"/>
                <w:sz w:val="18"/>
              </w:rPr>
              <w:t>Customer</w:t>
            </w:r>
          </w:p>
        </w:tc>
        <w:tc>
          <w:tcPr>
            <w:tcW w:type="dxa" w:w="2736"/>
            <w:shd w:val="clear" w:fill="1F3864"/>
          </w:tcPr>
          <w:p>
            <w:pPr>
              <w:jc w:val="right"/>
            </w:pPr>
            <w:r/>
            <w:r>
              <w:rPr>
                <w:b/>
                <w:color w:val="FFFFFF"/>
                <w:sz w:val="18"/>
              </w:rPr>
              <w:t>Total Revenue</w:t>
            </w:r>
          </w:p>
        </w:tc>
        <w:tc>
          <w:tcPr>
            <w:tcW w:type="dxa" w:w="2016"/>
            <w:shd w:val="clear" w:fill="1F3864"/>
          </w:tcPr>
          <w:p>
            <w:pPr>
              <w:jc w:val="right"/>
            </w:pPr>
            <w:r/>
            <w:r>
              <w:rPr>
                <w:b/>
                <w:color w:val="FFFFFF"/>
                <w:sz w:val="18"/>
              </w:rPr>
              <w:t>Orders</w:t>
            </w:r>
          </w:p>
        </w:tc>
      </w:tr>
      <w:tr>
        <w:tc>
          <w:tcPr>
            <w:tcW w:type="dxa" w:w="5040"/>
          </w:tcPr>
          <w:p>
            <w:r/>
            <w:r>
              <w:rPr>
                <w:b w:val="0"/>
                <w:color w:val="444444"/>
                <w:sz w:val="18"/>
              </w:rPr>
              <w:t>Lisa Morris</w:t>
            </w:r>
          </w:p>
        </w:tc>
        <w:tc>
          <w:tcPr>
            <w:tcW w:type="dxa" w:w="2736"/>
          </w:tcPr>
          <w:p>
            <w:pPr>
              <w:jc w:val="right"/>
            </w:pPr>
            <w:r/>
            <w:r>
              <w:rPr>
                <w:b w:val="0"/>
                <w:color w:val="444444"/>
                <w:sz w:val="18"/>
              </w:rPr>
              <w:t>$17,998.38</w:t>
            </w:r>
          </w:p>
        </w:tc>
        <w:tc>
          <w:tcPr>
            <w:tcW w:type="dxa" w:w="2016"/>
          </w:tcPr>
          <w:p>
            <w:pPr>
              <w:jc w:val="right"/>
            </w:pPr>
            <w:r/>
            <w:r>
              <w:rPr>
                <w:b w:val="0"/>
                <w:color w:val="444444"/>
                <w:sz w:val="18"/>
              </w:rPr>
              <w:t>4</w:t>
            </w:r>
          </w:p>
        </w:tc>
      </w:tr>
      <w:tr>
        <w:tc>
          <w:tcPr>
            <w:tcW w:type="dxa" w:w="5040"/>
            <w:shd w:val="clear" w:fill="EDF0F4"/>
          </w:tcPr>
          <w:p>
            <w:r/>
            <w:r>
              <w:rPr>
                <w:b w:val="0"/>
                <w:color w:val="444444"/>
                <w:sz w:val="18"/>
              </w:rPr>
              <w:t>Paul Willis</w:t>
            </w:r>
          </w:p>
        </w:tc>
        <w:tc>
          <w:tcPr>
            <w:tcW w:type="dxa" w:w="2736"/>
            <w:shd w:val="clear" w:fill="EDF0F4"/>
          </w:tcPr>
          <w:p>
            <w:pPr>
              <w:jc w:val="right"/>
            </w:pPr>
            <w:r/>
            <w:r>
              <w:rPr>
                <w:b w:val="0"/>
                <w:color w:val="444444"/>
                <w:sz w:val="18"/>
              </w:rPr>
              <w:t>$17,271.20</w:t>
            </w:r>
          </w:p>
        </w:tc>
        <w:tc>
          <w:tcPr>
            <w:tcW w:type="dxa" w:w="2016"/>
            <w:shd w:val="clear" w:fill="EDF0F4"/>
          </w:tcPr>
          <w:p>
            <w:pPr>
              <w:jc w:val="right"/>
            </w:pPr>
            <w:r/>
            <w:r>
              <w:rPr>
                <w:b w:val="0"/>
                <w:color w:val="444444"/>
                <w:sz w:val="18"/>
              </w:rPr>
              <w:t>1</w:t>
            </w:r>
          </w:p>
        </w:tc>
      </w:tr>
      <w:tr>
        <w:tc>
          <w:tcPr>
            <w:tcW w:type="dxa" w:w="5040"/>
          </w:tcPr>
          <w:p>
            <w:r/>
            <w:r>
              <w:rPr>
                <w:b w:val="0"/>
                <w:color w:val="444444"/>
                <w:sz w:val="18"/>
              </w:rPr>
              <w:t>Andrew Reeves</w:t>
            </w:r>
          </w:p>
        </w:tc>
        <w:tc>
          <w:tcPr>
            <w:tcW w:type="dxa" w:w="2736"/>
          </w:tcPr>
          <w:p>
            <w:pPr>
              <w:jc w:val="right"/>
            </w:pPr>
            <w:r/>
            <w:r>
              <w:rPr>
                <w:b w:val="0"/>
                <w:color w:val="444444"/>
                <w:sz w:val="18"/>
              </w:rPr>
              <w:t>$16,555.63</w:t>
            </w:r>
          </w:p>
        </w:tc>
        <w:tc>
          <w:tcPr>
            <w:tcW w:type="dxa" w:w="2016"/>
          </w:tcPr>
          <w:p>
            <w:pPr>
              <w:jc w:val="right"/>
            </w:pPr>
            <w:r/>
            <w:r>
              <w:rPr>
                <w:b w:val="0"/>
                <w:color w:val="444444"/>
                <w:sz w:val="18"/>
              </w:rPr>
              <w:t>3</w:t>
            </w:r>
          </w:p>
        </w:tc>
      </w:tr>
      <w:tr>
        <w:tc>
          <w:tcPr>
            <w:tcW w:type="dxa" w:w="5040"/>
            <w:shd w:val="clear" w:fill="EDF0F4"/>
          </w:tcPr>
          <w:p>
            <w:r/>
            <w:r>
              <w:rPr>
                <w:b w:val="0"/>
                <w:color w:val="444444"/>
                <w:sz w:val="18"/>
              </w:rPr>
              <w:t>Jonathan Delgado</w:t>
            </w:r>
          </w:p>
        </w:tc>
        <w:tc>
          <w:tcPr>
            <w:tcW w:type="dxa" w:w="2736"/>
            <w:shd w:val="clear" w:fill="EDF0F4"/>
          </w:tcPr>
          <w:p>
            <w:pPr>
              <w:jc w:val="right"/>
            </w:pPr>
            <w:r/>
            <w:r>
              <w:rPr>
                <w:b w:val="0"/>
                <w:color w:val="444444"/>
                <w:sz w:val="18"/>
              </w:rPr>
              <w:t>$7,223.41</w:t>
            </w:r>
          </w:p>
        </w:tc>
        <w:tc>
          <w:tcPr>
            <w:tcW w:type="dxa" w:w="2016"/>
            <w:shd w:val="clear" w:fill="EDF0F4"/>
          </w:tcPr>
          <w:p>
            <w:pPr>
              <w:jc w:val="right"/>
            </w:pPr>
            <w:r/>
            <w:r>
              <w:rPr>
                <w:b w:val="0"/>
                <w:color w:val="444444"/>
                <w:sz w:val="18"/>
              </w:rPr>
              <w:t>3</w:t>
            </w:r>
          </w:p>
        </w:tc>
      </w:tr>
      <w:tr>
        <w:tc>
          <w:tcPr>
            <w:tcW w:type="dxa" w:w="5040"/>
          </w:tcPr>
          <w:p>
            <w:r/>
            <w:r>
              <w:rPr>
                <w:b w:val="0"/>
                <w:color w:val="444444"/>
                <w:sz w:val="18"/>
              </w:rPr>
              <w:t>Kim Brown</w:t>
            </w:r>
          </w:p>
        </w:tc>
        <w:tc>
          <w:tcPr>
            <w:tcW w:type="dxa" w:w="2736"/>
          </w:tcPr>
          <w:p>
            <w:pPr>
              <w:jc w:val="right"/>
            </w:pPr>
            <w:r/>
            <w:r>
              <w:rPr>
                <w:b w:val="0"/>
                <w:color w:val="444444"/>
                <w:sz w:val="18"/>
              </w:rPr>
              <w:t>$6,897.28</w:t>
            </w:r>
          </w:p>
        </w:tc>
        <w:tc>
          <w:tcPr>
            <w:tcW w:type="dxa" w:w="2016"/>
          </w:tcPr>
          <w:p>
            <w:pPr>
              <w:jc w:val="right"/>
            </w:pPr>
            <w:r/>
            <w:r>
              <w:rPr>
                <w:b w:val="0"/>
                <w:color w:val="444444"/>
                <w:sz w:val="18"/>
              </w:rPr>
              <w:t>1</w:t>
            </w:r>
          </w:p>
        </w:tc>
      </w:tr>
      <w:tr>
        <w:tc>
          <w:tcPr>
            <w:tcW w:type="dxa" w:w="5040"/>
            <w:shd w:val="clear" w:fill="EDF0F4"/>
          </w:tcPr>
          <w:p>
            <w:r/>
            <w:r>
              <w:rPr>
                <w:b w:val="0"/>
                <w:color w:val="444444"/>
                <w:sz w:val="18"/>
              </w:rPr>
              <w:t>Isaac Miller</w:t>
            </w:r>
          </w:p>
        </w:tc>
        <w:tc>
          <w:tcPr>
            <w:tcW w:type="dxa" w:w="2736"/>
            <w:shd w:val="clear" w:fill="EDF0F4"/>
          </w:tcPr>
          <w:p>
            <w:pPr>
              <w:jc w:val="right"/>
            </w:pPr>
            <w:r/>
            <w:r>
              <w:rPr>
                <w:b w:val="0"/>
                <w:color w:val="444444"/>
                <w:sz w:val="18"/>
              </w:rPr>
              <w:t>$6,517.22</w:t>
            </w:r>
          </w:p>
        </w:tc>
        <w:tc>
          <w:tcPr>
            <w:tcW w:type="dxa" w:w="2016"/>
            <w:shd w:val="clear" w:fill="EDF0F4"/>
          </w:tcPr>
          <w:p>
            <w:pPr>
              <w:jc w:val="right"/>
            </w:pPr>
            <w:r/>
            <w:r>
              <w:rPr>
                <w:b w:val="0"/>
                <w:color w:val="444444"/>
                <w:sz w:val="18"/>
              </w:rPr>
              <w:t>1</w:t>
            </w:r>
          </w:p>
        </w:tc>
      </w:tr>
      <w:tr>
        <w:tc>
          <w:tcPr>
            <w:tcW w:type="dxa" w:w="5040"/>
          </w:tcPr>
          <w:p>
            <w:r/>
            <w:r>
              <w:rPr>
                <w:b w:val="0"/>
                <w:color w:val="444444"/>
                <w:sz w:val="18"/>
              </w:rPr>
              <w:t>Renee Bruce</w:t>
            </w:r>
          </w:p>
        </w:tc>
        <w:tc>
          <w:tcPr>
            <w:tcW w:type="dxa" w:w="2736"/>
          </w:tcPr>
          <w:p>
            <w:pPr>
              <w:jc w:val="right"/>
            </w:pPr>
            <w:r/>
            <w:r>
              <w:rPr>
                <w:b w:val="0"/>
                <w:color w:val="444444"/>
                <w:sz w:val="18"/>
              </w:rPr>
              <w:t>$5,580.41</w:t>
            </w:r>
          </w:p>
        </w:tc>
        <w:tc>
          <w:tcPr>
            <w:tcW w:type="dxa" w:w="2016"/>
          </w:tcPr>
          <w:p>
            <w:pPr>
              <w:jc w:val="right"/>
            </w:pPr>
            <w:r/>
            <w:r>
              <w:rPr>
                <w:b w:val="0"/>
                <w:color w:val="444444"/>
                <w:sz w:val="18"/>
              </w:rPr>
              <w:t>5</w:t>
            </w:r>
          </w:p>
        </w:tc>
      </w:tr>
      <w:tr>
        <w:tc>
          <w:tcPr>
            <w:tcW w:type="dxa" w:w="5040"/>
            <w:shd w:val="clear" w:fill="EDF0F4"/>
          </w:tcPr>
          <w:p>
            <w:r/>
            <w:r>
              <w:rPr>
                <w:b w:val="0"/>
                <w:color w:val="444444"/>
                <w:sz w:val="18"/>
              </w:rPr>
              <w:t>Kayla Rodriguez</w:t>
            </w:r>
          </w:p>
        </w:tc>
        <w:tc>
          <w:tcPr>
            <w:tcW w:type="dxa" w:w="2736"/>
            <w:shd w:val="clear" w:fill="EDF0F4"/>
          </w:tcPr>
          <w:p>
            <w:pPr>
              <w:jc w:val="right"/>
            </w:pPr>
            <w:r/>
            <w:r>
              <w:rPr>
                <w:b w:val="0"/>
                <w:color w:val="444444"/>
                <w:sz w:val="18"/>
              </w:rPr>
              <w:t>$5,167.89</w:t>
            </w:r>
          </w:p>
        </w:tc>
        <w:tc>
          <w:tcPr>
            <w:tcW w:type="dxa" w:w="2016"/>
            <w:shd w:val="clear" w:fill="EDF0F4"/>
          </w:tcPr>
          <w:p>
            <w:pPr>
              <w:jc w:val="right"/>
            </w:pPr>
            <w:r/>
            <w:r>
              <w:rPr>
                <w:b w:val="0"/>
                <w:color w:val="444444"/>
                <w:sz w:val="18"/>
              </w:rPr>
              <w:t>5</w:t>
            </w:r>
          </w:p>
        </w:tc>
      </w:tr>
      <w:tr>
        <w:tc>
          <w:tcPr>
            <w:tcW w:type="dxa" w:w="5040"/>
          </w:tcPr>
          <w:p>
            <w:r/>
            <w:r>
              <w:rPr>
                <w:b w:val="0"/>
                <w:color w:val="444444"/>
                <w:sz w:val="18"/>
              </w:rPr>
              <w:t>Angie Henderson</w:t>
            </w:r>
          </w:p>
        </w:tc>
        <w:tc>
          <w:tcPr>
            <w:tcW w:type="dxa" w:w="2736"/>
          </w:tcPr>
          <w:p>
            <w:pPr>
              <w:jc w:val="right"/>
            </w:pPr>
            <w:r/>
            <w:r>
              <w:rPr>
                <w:b w:val="0"/>
                <w:color w:val="444444"/>
                <w:sz w:val="18"/>
              </w:rPr>
              <w:t>$4,112.24</w:t>
            </w:r>
          </w:p>
        </w:tc>
        <w:tc>
          <w:tcPr>
            <w:tcW w:type="dxa" w:w="2016"/>
          </w:tcPr>
          <w:p>
            <w:pPr>
              <w:jc w:val="right"/>
            </w:pPr>
            <w:r/>
            <w:r>
              <w:rPr>
                <w:b w:val="0"/>
                <w:color w:val="444444"/>
                <w:sz w:val="18"/>
              </w:rPr>
              <w:t>4</w:t>
            </w:r>
          </w:p>
        </w:tc>
      </w:tr>
      <w:tr>
        <w:tc>
          <w:tcPr>
            <w:tcW w:type="dxa" w:w="5040"/>
            <w:shd w:val="clear" w:fill="EDF0F4"/>
          </w:tcPr>
          <w:p>
            <w:r/>
            <w:r>
              <w:rPr>
                <w:b w:val="0"/>
                <w:color w:val="444444"/>
                <w:sz w:val="18"/>
              </w:rPr>
              <w:t>Tyler Davis</w:t>
            </w:r>
          </w:p>
        </w:tc>
        <w:tc>
          <w:tcPr>
            <w:tcW w:type="dxa" w:w="2736"/>
            <w:shd w:val="clear" w:fill="EDF0F4"/>
          </w:tcPr>
          <w:p>
            <w:pPr>
              <w:jc w:val="right"/>
            </w:pPr>
            <w:r/>
            <w:r>
              <w:rPr>
                <w:b w:val="0"/>
                <w:color w:val="444444"/>
                <w:sz w:val="18"/>
              </w:rPr>
              <w:t>$4,065.53</w:t>
            </w:r>
          </w:p>
        </w:tc>
        <w:tc>
          <w:tcPr>
            <w:tcW w:type="dxa" w:w="2016"/>
            <w:shd w:val="clear" w:fill="EDF0F4"/>
          </w:tcPr>
          <w:p>
            <w:pPr>
              <w:jc w:val="right"/>
            </w:pPr>
            <w:r/>
            <w:r>
              <w:rPr>
                <w:b w:val="0"/>
                <w:color w:val="444444"/>
                <w:sz w:val="18"/>
              </w:rPr>
              <w:t>2</w:t>
            </w:r>
          </w:p>
        </w:tc>
      </w:tr>
    </w:tbl>
    <w:p/>
    <w:p>
      <w:pPr>
        <w:pStyle w:val="Heading1"/>
      </w:pPr>
      <w:r>
        <w:rPr>
          <w:color w:val="1F3864"/>
        </w:rPr>
        <w:t>Customer Segmentation (RFM)</w:t>
      </w:r>
    </w:p>
    <w:p>
      <w:pPr>
        <w:spacing w:after="160"/>
      </w:pPr>
      <w:r>
        <w:rPr>
          <w:b w:val="0"/>
          <w:color w:val="444444"/>
          <w:sz w:val="21"/>
        </w:rPr>
        <w:t>Each customer is scored on three dimensions — Recency (how recently they last ordered), Frequency (how many orders they placed), and Monetary value (how much they spent). Scores are assigned on a 1–5 quintile scale relative to the rest of the customer base, then combined into the segment labels below. Because scores are relative, every segment is defined against this population rather than an absolute benchmark.</w:t>
      </w:r>
    </w:p>
    <w:p>
      <w:pPr>
        <w:jc w:val="center"/>
      </w:pPr>
      <w:r>
        <w:drawing>
          <wp:inline xmlns:a="http://schemas.openxmlformats.org/drawingml/2006/main" xmlns:pic="http://schemas.openxmlformats.org/drawingml/2006/picture">
            <wp:extent cx="5522976" cy="2638996"/>
            <wp:docPr id="5" name="Picture 5"/>
            <wp:cNvGraphicFramePr>
              <a:graphicFrameLocks noChangeAspect="1"/>
            </wp:cNvGraphicFramePr>
            <a:graphic>
              <a:graphicData uri="http://schemas.openxmlformats.org/drawingml/2006/picture">
                <pic:pic>
                  <pic:nvPicPr>
                    <pic:cNvPr id="0" name="rfm_segments.png"/>
                    <pic:cNvPicPr/>
                  </pic:nvPicPr>
                  <pic:blipFill>
                    <a:blip r:embed="rId13"/>
                    <a:stretch>
                      <a:fillRect/>
                    </a:stretch>
                  </pic:blipFill>
                  <pic:spPr>
                    <a:xfrm>
                      <a:off x="0" y="0"/>
                      <a:ext cx="5522976" cy="2638996"/>
                    </a:xfrm>
                    <a:prstGeom prst="rect"/>
                  </pic:spPr>
                </pic:pic>
              </a:graphicData>
            </a:graphic>
          </wp:inline>
        </w:drawing>
      </w:r>
    </w:p>
    <w:p>
      <w:pPr>
        <w:pStyle w:val="Heading2"/>
      </w:pPr>
      <w:r>
        <w:rPr>
          <w:color w:val="1F3864"/>
        </w:rPr>
        <w:t>Segment Breakdown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736"/>
            <w:shd w:val="clear" w:fill="1F3864"/>
          </w:tcPr>
          <w:p>
            <w:r/>
            <w:r>
              <w:rPr>
                <w:b/>
                <w:color w:val="FFFFFF"/>
                <w:sz w:val="18"/>
              </w:rPr>
              <w:t>Segment</w:t>
            </w:r>
          </w:p>
        </w:tc>
        <w:tc>
          <w:tcPr>
            <w:tcW w:type="dxa" w:w="1440"/>
            <w:shd w:val="clear" w:fill="1F3864"/>
          </w:tcPr>
          <w:p>
            <w:pPr>
              <w:jc w:val="right"/>
            </w:pPr>
            <w:r/>
            <w:r>
              <w:rPr>
                <w:b/>
                <w:color w:val="FFFFFF"/>
                <w:sz w:val="18"/>
              </w:rPr>
              <w:t>Customers</w:t>
            </w:r>
          </w:p>
        </w:tc>
        <w:tc>
          <w:tcPr>
            <w:tcW w:type="dxa" w:w="1368"/>
            <w:shd w:val="clear" w:fill="1F3864"/>
          </w:tcPr>
          <w:p>
            <w:pPr>
              <w:jc w:val="right"/>
            </w:pPr>
            <w:r/>
            <w:r>
              <w:rPr>
                <w:b/>
                <w:color w:val="FFFFFF"/>
                <w:sz w:val="18"/>
              </w:rPr>
              <w:t>% of Base</w:t>
            </w:r>
          </w:p>
        </w:tc>
        <w:tc>
          <w:tcPr>
            <w:tcW w:type="dxa" w:w="1944"/>
            <w:shd w:val="clear" w:fill="1F3864"/>
          </w:tcPr>
          <w:p>
            <w:pPr>
              <w:jc w:val="right"/>
            </w:pPr>
            <w:r/>
            <w:r>
              <w:rPr>
                <w:b/>
                <w:color w:val="FFFFFF"/>
                <w:sz w:val="18"/>
              </w:rPr>
              <w:t>Revenue</w:t>
            </w:r>
          </w:p>
        </w:tc>
        <w:tc>
          <w:tcPr>
            <w:tcW w:type="dxa" w:w="1512"/>
            <w:shd w:val="clear" w:fill="1F3864"/>
          </w:tcPr>
          <w:p>
            <w:pPr>
              <w:jc w:val="right"/>
            </w:pPr>
            <w:r/>
            <w:r>
              <w:rPr>
                <w:b/>
                <w:color w:val="FFFFFF"/>
                <w:sz w:val="18"/>
              </w:rPr>
              <w:t>% of Revenue</w:t>
            </w:r>
          </w:p>
        </w:tc>
        <w:tc>
          <w:tcPr>
            <w:tcW w:type="dxa" w:w="1656"/>
            <w:shd w:val="clear" w:fill="1F3864"/>
          </w:tcPr>
          <w:p>
            <w:pPr>
              <w:jc w:val="right"/>
            </w:pPr>
            <w:r/>
            <w:r>
              <w:rPr>
                <w:b/>
                <w:color w:val="FFFFFF"/>
                <w:sz w:val="18"/>
              </w:rPr>
              <w:t>Avg Value</w:t>
            </w:r>
          </w:p>
        </w:tc>
      </w:tr>
      <w:tr>
        <w:tc>
          <w:tcPr>
            <w:tcW w:type="dxa" w:w="2736"/>
          </w:tcPr>
          <w:p>
            <w:r/>
            <w:r>
              <w:rPr>
                <w:b w:val="0"/>
                <w:color w:val="444444"/>
                <w:sz w:val="18"/>
              </w:rPr>
              <w:t>Champions</w:t>
            </w:r>
          </w:p>
        </w:tc>
        <w:tc>
          <w:tcPr>
            <w:tcW w:type="dxa" w:w="1440"/>
          </w:tcPr>
          <w:p>
            <w:pPr>
              <w:jc w:val="right"/>
            </w:pPr>
            <w:r/>
            <w:r>
              <w:rPr>
                <w:b w:val="0"/>
                <w:color w:val="444444"/>
                <w:sz w:val="18"/>
              </w:rPr>
              <w:t>186</w:t>
            </w:r>
          </w:p>
        </w:tc>
        <w:tc>
          <w:tcPr>
            <w:tcW w:type="dxa" w:w="1368"/>
          </w:tcPr>
          <w:p>
            <w:pPr>
              <w:jc w:val="right"/>
            </w:pPr>
            <w:r/>
            <w:r>
              <w:rPr>
                <w:b w:val="0"/>
                <w:color w:val="444444"/>
                <w:sz w:val="18"/>
              </w:rPr>
              <w:t>12.4%</w:t>
            </w:r>
          </w:p>
        </w:tc>
        <w:tc>
          <w:tcPr>
            <w:tcW w:type="dxa" w:w="1944"/>
          </w:tcPr>
          <w:p>
            <w:pPr>
              <w:jc w:val="right"/>
            </w:pPr>
            <w:r/>
            <w:r>
              <w:rPr>
                <w:b w:val="0"/>
                <w:color w:val="444444"/>
                <w:sz w:val="18"/>
              </w:rPr>
              <w:t>$219,214.45</w:t>
            </w:r>
          </w:p>
        </w:tc>
        <w:tc>
          <w:tcPr>
            <w:tcW w:type="dxa" w:w="1512"/>
          </w:tcPr>
          <w:p>
            <w:pPr>
              <w:jc w:val="right"/>
            </w:pPr>
            <w:r/>
            <w:r>
              <w:rPr>
                <w:b w:val="0"/>
                <w:color w:val="444444"/>
                <w:sz w:val="18"/>
              </w:rPr>
              <w:t>30.9%</w:t>
            </w:r>
          </w:p>
        </w:tc>
        <w:tc>
          <w:tcPr>
            <w:tcW w:type="dxa" w:w="1656"/>
          </w:tcPr>
          <w:p>
            <w:pPr>
              <w:jc w:val="right"/>
            </w:pPr>
            <w:r/>
            <w:r>
              <w:rPr>
                <w:b w:val="0"/>
                <w:color w:val="444444"/>
                <w:sz w:val="18"/>
              </w:rPr>
              <w:t>$1,178.57</w:t>
            </w:r>
          </w:p>
        </w:tc>
      </w:tr>
      <w:tr>
        <w:tc>
          <w:tcPr>
            <w:tcW w:type="dxa" w:w="2736"/>
            <w:shd w:val="clear" w:fill="EDF0F4"/>
          </w:tcPr>
          <w:p>
            <w:r/>
            <w:r>
              <w:rPr>
                <w:b w:val="0"/>
                <w:color w:val="444444"/>
                <w:sz w:val="18"/>
              </w:rPr>
              <w:t>Loyal Customers</w:t>
            </w:r>
          </w:p>
        </w:tc>
        <w:tc>
          <w:tcPr>
            <w:tcW w:type="dxa" w:w="1440"/>
            <w:shd w:val="clear" w:fill="EDF0F4"/>
          </w:tcPr>
          <w:p>
            <w:pPr>
              <w:jc w:val="right"/>
            </w:pPr>
            <w:r/>
            <w:r>
              <w:rPr>
                <w:b w:val="0"/>
                <w:color w:val="444444"/>
                <w:sz w:val="18"/>
              </w:rPr>
              <w:t>230</w:t>
            </w:r>
          </w:p>
        </w:tc>
        <w:tc>
          <w:tcPr>
            <w:tcW w:type="dxa" w:w="1368"/>
            <w:shd w:val="clear" w:fill="EDF0F4"/>
          </w:tcPr>
          <w:p>
            <w:pPr>
              <w:jc w:val="right"/>
            </w:pPr>
            <w:r/>
            <w:r>
              <w:rPr>
                <w:b w:val="0"/>
                <w:color w:val="444444"/>
                <w:sz w:val="18"/>
              </w:rPr>
              <w:t>15.3%</w:t>
            </w:r>
          </w:p>
        </w:tc>
        <w:tc>
          <w:tcPr>
            <w:tcW w:type="dxa" w:w="1944"/>
            <w:shd w:val="clear" w:fill="EDF0F4"/>
          </w:tcPr>
          <w:p>
            <w:pPr>
              <w:jc w:val="right"/>
            </w:pPr>
            <w:r/>
            <w:r>
              <w:rPr>
                <w:b w:val="0"/>
                <w:color w:val="444444"/>
                <w:sz w:val="18"/>
              </w:rPr>
              <w:t>$139,850.04</w:t>
            </w:r>
          </w:p>
        </w:tc>
        <w:tc>
          <w:tcPr>
            <w:tcW w:type="dxa" w:w="1512"/>
            <w:shd w:val="clear" w:fill="EDF0F4"/>
          </w:tcPr>
          <w:p>
            <w:pPr>
              <w:jc w:val="right"/>
            </w:pPr>
            <w:r/>
            <w:r>
              <w:rPr>
                <w:b w:val="0"/>
                <w:color w:val="444444"/>
                <w:sz w:val="18"/>
              </w:rPr>
              <w:t>19.7%</w:t>
            </w:r>
          </w:p>
        </w:tc>
        <w:tc>
          <w:tcPr>
            <w:tcW w:type="dxa" w:w="1656"/>
            <w:shd w:val="clear" w:fill="EDF0F4"/>
          </w:tcPr>
          <w:p>
            <w:pPr>
              <w:jc w:val="right"/>
            </w:pPr>
            <w:r/>
            <w:r>
              <w:rPr>
                <w:b w:val="0"/>
                <w:color w:val="444444"/>
                <w:sz w:val="18"/>
              </w:rPr>
              <w:t>$608.04</w:t>
            </w:r>
          </w:p>
        </w:tc>
      </w:tr>
      <w:tr>
        <w:tc>
          <w:tcPr>
            <w:tcW w:type="dxa" w:w="2736"/>
          </w:tcPr>
          <w:p>
            <w:r/>
            <w:r>
              <w:rPr>
                <w:b w:val="0"/>
                <w:color w:val="444444"/>
                <w:sz w:val="18"/>
              </w:rPr>
              <w:t>Promising / New</w:t>
            </w:r>
          </w:p>
        </w:tc>
        <w:tc>
          <w:tcPr>
            <w:tcW w:type="dxa" w:w="1440"/>
          </w:tcPr>
          <w:p>
            <w:pPr>
              <w:jc w:val="right"/>
            </w:pPr>
            <w:r/>
            <w:r>
              <w:rPr>
                <w:b w:val="0"/>
                <w:color w:val="444444"/>
                <w:sz w:val="18"/>
              </w:rPr>
              <w:t>322</w:t>
            </w:r>
          </w:p>
        </w:tc>
        <w:tc>
          <w:tcPr>
            <w:tcW w:type="dxa" w:w="1368"/>
          </w:tcPr>
          <w:p>
            <w:pPr>
              <w:jc w:val="right"/>
            </w:pPr>
            <w:r/>
            <w:r>
              <w:rPr>
                <w:b w:val="0"/>
                <w:color w:val="444444"/>
                <w:sz w:val="18"/>
              </w:rPr>
              <w:t>21.5%</w:t>
            </w:r>
          </w:p>
        </w:tc>
        <w:tc>
          <w:tcPr>
            <w:tcW w:type="dxa" w:w="1944"/>
          </w:tcPr>
          <w:p>
            <w:pPr>
              <w:jc w:val="right"/>
            </w:pPr>
            <w:r/>
            <w:r>
              <w:rPr>
                <w:b w:val="0"/>
                <w:color w:val="444444"/>
                <w:sz w:val="18"/>
              </w:rPr>
              <w:t>$117,082.57</w:t>
            </w:r>
          </w:p>
        </w:tc>
        <w:tc>
          <w:tcPr>
            <w:tcW w:type="dxa" w:w="1512"/>
          </w:tcPr>
          <w:p>
            <w:pPr>
              <w:jc w:val="right"/>
            </w:pPr>
            <w:r/>
            <w:r>
              <w:rPr>
                <w:b w:val="0"/>
                <w:color w:val="444444"/>
                <w:sz w:val="18"/>
              </w:rPr>
              <w:t>16.5%</w:t>
            </w:r>
          </w:p>
        </w:tc>
        <w:tc>
          <w:tcPr>
            <w:tcW w:type="dxa" w:w="1656"/>
          </w:tcPr>
          <w:p>
            <w:pPr>
              <w:jc w:val="right"/>
            </w:pPr>
            <w:r/>
            <w:r>
              <w:rPr>
                <w:b w:val="0"/>
                <w:color w:val="444444"/>
                <w:sz w:val="18"/>
              </w:rPr>
              <w:t>$363.61</w:t>
            </w:r>
          </w:p>
        </w:tc>
      </w:tr>
      <w:tr>
        <w:tc>
          <w:tcPr>
            <w:tcW w:type="dxa" w:w="2736"/>
            <w:shd w:val="clear" w:fill="EDF0F4"/>
          </w:tcPr>
          <w:p>
            <w:r/>
            <w:r>
              <w:rPr>
                <w:b w:val="0"/>
                <w:color w:val="444444"/>
                <w:sz w:val="18"/>
              </w:rPr>
              <w:t>About to Sleep / Average</w:t>
            </w:r>
          </w:p>
        </w:tc>
        <w:tc>
          <w:tcPr>
            <w:tcW w:type="dxa" w:w="1440"/>
            <w:shd w:val="clear" w:fill="EDF0F4"/>
          </w:tcPr>
          <w:p>
            <w:pPr>
              <w:jc w:val="right"/>
            </w:pPr>
            <w:r/>
            <w:r>
              <w:rPr>
                <w:b w:val="0"/>
                <w:color w:val="444444"/>
                <w:sz w:val="18"/>
              </w:rPr>
              <w:t>162</w:t>
            </w:r>
          </w:p>
        </w:tc>
        <w:tc>
          <w:tcPr>
            <w:tcW w:type="dxa" w:w="1368"/>
            <w:shd w:val="clear" w:fill="EDF0F4"/>
          </w:tcPr>
          <w:p>
            <w:pPr>
              <w:jc w:val="right"/>
            </w:pPr>
            <w:r/>
            <w:r>
              <w:rPr>
                <w:b w:val="0"/>
                <w:color w:val="444444"/>
                <w:sz w:val="18"/>
              </w:rPr>
              <w:t>10.8%</w:t>
            </w:r>
          </w:p>
        </w:tc>
        <w:tc>
          <w:tcPr>
            <w:tcW w:type="dxa" w:w="1944"/>
            <w:shd w:val="clear" w:fill="EDF0F4"/>
          </w:tcPr>
          <w:p>
            <w:pPr>
              <w:jc w:val="right"/>
            </w:pPr>
            <w:r/>
            <w:r>
              <w:rPr>
                <w:b w:val="0"/>
                <w:color w:val="444444"/>
                <w:sz w:val="18"/>
              </w:rPr>
              <w:t>$14,926.18</w:t>
            </w:r>
          </w:p>
        </w:tc>
        <w:tc>
          <w:tcPr>
            <w:tcW w:type="dxa" w:w="1512"/>
            <w:shd w:val="clear" w:fill="EDF0F4"/>
          </w:tcPr>
          <w:p>
            <w:pPr>
              <w:jc w:val="right"/>
            </w:pPr>
            <w:r/>
            <w:r>
              <w:rPr>
                <w:b w:val="0"/>
                <w:color w:val="444444"/>
                <w:sz w:val="18"/>
              </w:rPr>
              <w:t>2.1%</w:t>
            </w:r>
          </w:p>
        </w:tc>
        <w:tc>
          <w:tcPr>
            <w:tcW w:type="dxa" w:w="1656"/>
            <w:shd w:val="clear" w:fill="EDF0F4"/>
          </w:tcPr>
          <w:p>
            <w:pPr>
              <w:jc w:val="right"/>
            </w:pPr>
            <w:r/>
            <w:r>
              <w:rPr>
                <w:b w:val="0"/>
                <w:color w:val="444444"/>
                <w:sz w:val="18"/>
              </w:rPr>
              <w:t>$92.14</w:t>
            </w:r>
          </w:p>
        </w:tc>
      </w:tr>
      <w:tr>
        <w:tc>
          <w:tcPr>
            <w:tcW w:type="dxa" w:w="2736"/>
          </w:tcPr>
          <w:p>
            <w:r/>
            <w:r>
              <w:rPr>
                <w:b w:val="0"/>
                <w:color w:val="444444"/>
                <w:sz w:val="18"/>
              </w:rPr>
              <w:t>At Risk / Can't Lose Them</w:t>
            </w:r>
          </w:p>
        </w:tc>
        <w:tc>
          <w:tcPr>
            <w:tcW w:type="dxa" w:w="1440"/>
          </w:tcPr>
          <w:p>
            <w:pPr>
              <w:jc w:val="right"/>
            </w:pPr>
            <w:r/>
            <w:r>
              <w:rPr>
                <w:b w:val="0"/>
                <w:color w:val="444444"/>
                <w:sz w:val="18"/>
              </w:rPr>
              <w:t>322</w:t>
            </w:r>
          </w:p>
        </w:tc>
        <w:tc>
          <w:tcPr>
            <w:tcW w:type="dxa" w:w="1368"/>
          </w:tcPr>
          <w:p>
            <w:pPr>
              <w:jc w:val="right"/>
            </w:pPr>
            <w:r/>
            <w:r>
              <w:rPr>
                <w:b w:val="0"/>
                <w:color w:val="444444"/>
                <w:sz w:val="18"/>
              </w:rPr>
              <w:t>21.5%</w:t>
            </w:r>
          </w:p>
        </w:tc>
        <w:tc>
          <w:tcPr>
            <w:tcW w:type="dxa" w:w="1944"/>
          </w:tcPr>
          <w:p>
            <w:pPr>
              <w:jc w:val="right"/>
            </w:pPr>
            <w:r/>
            <w:r>
              <w:rPr>
                <w:b w:val="0"/>
                <w:color w:val="444444"/>
                <w:sz w:val="18"/>
              </w:rPr>
              <w:t>$129,793.64</w:t>
            </w:r>
          </w:p>
        </w:tc>
        <w:tc>
          <w:tcPr>
            <w:tcW w:type="dxa" w:w="1512"/>
          </w:tcPr>
          <w:p>
            <w:pPr>
              <w:jc w:val="right"/>
            </w:pPr>
            <w:r/>
            <w:r>
              <w:rPr>
                <w:b w:val="0"/>
                <w:color w:val="444444"/>
                <w:sz w:val="18"/>
              </w:rPr>
              <w:t>18.3%</w:t>
            </w:r>
          </w:p>
        </w:tc>
        <w:tc>
          <w:tcPr>
            <w:tcW w:type="dxa" w:w="1656"/>
          </w:tcPr>
          <w:p>
            <w:pPr>
              <w:jc w:val="right"/>
            </w:pPr>
            <w:r/>
            <w:r>
              <w:rPr>
                <w:b w:val="0"/>
                <w:color w:val="444444"/>
                <w:sz w:val="18"/>
              </w:rPr>
              <w:t>$403.09</w:t>
            </w:r>
          </w:p>
        </w:tc>
      </w:tr>
      <w:tr>
        <w:tc>
          <w:tcPr>
            <w:tcW w:type="dxa" w:w="2736"/>
            <w:shd w:val="clear" w:fill="EDF0F4"/>
          </w:tcPr>
          <w:p>
            <w:r/>
            <w:r>
              <w:rPr>
                <w:b w:val="0"/>
                <w:color w:val="444444"/>
                <w:sz w:val="18"/>
              </w:rPr>
              <w:t>Hibernating / Lost</w:t>
            </w:r>
          </w:p>
        </w:tc>
        <w:tc>
          <w:tcPr>
            <w:tcW w:type="dxa" w:w="1440"/>
            <w:shd w:val="clear" w:fill="EDF0F4"/>
          </w:tcPr>
          <w:p>
            <w:pPr>
              <w:jc w:val="right"/>
            </w:pPr>
            <w:r/>
            <w:r>
              <w:rPr>
                <w:b w:val="0"/>
                <w:color w:val="444444"/>
                <w:sz w:val="18"/>
              </w:rPr>
              <w:t>278</w:t>
            </w:r>
          </w:p>
        </w:tc>
        <w:tc>
          <w:tcPr>
            <w:tcW w:type="dxa" w:w="1368"/>
            <w:shd w:val="clear" w:fill="EDF0F4"/>
          </w:tcPr>
          <w:p>
            <w:pPr>
              <w:jc w:val="right"/>
            </w:pPr>
            <w:r/>
            <w:r>
              <w:rPr>
                <w:b w:val="0"/>
                <w:color w:val="444444"/>
                <w:sz w:val="18"/>
              </w:rPr>
              <w:t>18.5%</w:t>
            </w:r>
          </w:p>
        </w:tc>
        <w:tc>
          <w:tcPr>
            <w:tcW w:type="dxa" w:w="1944"/>
            <w:shd w:val="clear" w:fill="EDF0F4"/>
          </w:tcPr>
          <w:p>
            <w:pPr>
              <w:jc w:val="right"/>
            </w:pPr>
            <w:r/>
            <w:r>
              <w:rPr>
                <w:b w:val="0"/>
                <w:color w:val="444444"/>
                <w:sz w:val="18"/>
              </w:rPr>
              <w:t>$88,131.31</w:t>
            </w:r>
          </w:p>
        </w:tc>
        <w:tc>
          <w:tcPr>
            <w:tcW w:type="dxa" w:w="1512"/>
            <w:shd w:val="clear" w:fill="EDF0F4"/>
          </w:tcPr>
          <w:p>
            <w:pPr>
              <w:jc w:val="right"/>
            </w:pPr>
            <w:r/>
            <w:r>
              <w:rPr>
                <w:b w:val="0"/>
                <w:color w:val="444444"/>
                <w:sz w:val="18"/>
              </w:rPr>
              <w:t>12.4%</w:t>
            </w:r>
          </w:p>
        </w:tc>
        <w:tc>
          <w:tcPr>
            <w:tcW w:type="dxa" w:w="1656"/>
            <w:shd w:val="clear" w:fill="EDF0F4"/>
          </w:tcPr>
          <w:p>
            <w:pPr>
              <w:jc w:val="right"/>
            </w:pPr>
            <w:r/>
            <w:r>
              <w:rPr>
                <w:b w:val="0"/>
                <w:color w:val="444444"/>
                <w:sz w:val="18"/>
              </w:rPr>
              <w:t>$317.02</w:t>
            </w:r>
          </w:p>
        </w:tc>
      </w:tr>
    </w:tbl>
    <w:p/>
    <w:p>
      <w:pPr>
        <w:spacing w:after="160"/>
      </w:pPr>
      <w:r>
        <w:rPr>
          <w:b w:val="0"/>
          <w:color w:val="444444"/>
          <w:sz w:val="21"/>
        </w:rPr>
        <w:t>Champions — high scores across all three dimensions, and also the largest revenue contributor — number 186 customers (12.4% of the base) and generate 30.9% of revenue, at $1,178.57 per customer against a base-wide average of $472.67. At Risk / Can't Lose Them holds 322 customers worth $129,793.64 (18.3% of revenue) who bought frequently but have not returned recently — the segment where retention effort has the most revenue at stake. Hibernating / Lost accounts for 18.5% of customers but only 12.4% of revenue, so reactivation spend here should be weighed against its comparatively low return.</w:t>
      </w:r>
    </w:p>
    <w:p>
      <w:pPr>
        <w:spacing w:after="160"/>
      </w:pPr>
      <w:r>
        <w:rPr>
          <w:b w:val="0"/>
          <w:color w:val="444444"/>
          <w:sz w:val="19"/>
        </w:rPr>
        <w:t>One caveat carries over from the simulation's design: customer purchase rates and lifetimes are drawn from assumed distributions rather than observed from real shoppers. Segment sizes here therefore describe the simulated population, not the expected real-world customer distribution.</w:t>
      </w:r>
    </w:p>
    <w:p>
      <w:pPr>
        <w:pStyle w:val="Heading1"/>
      </w:pPr>
      <w:r>
        <w:rPr>
          <w:color w:val="1F3864"/>
        </w:rPr>
        <w:t>Key Takeaways</w:t>
      </w:r>
    </w:p>
    <w:p>
      <w:pPr>
        <w:pStyle w:val="ListParagraph"/>
        <w:spacing w:after="80"/>
      </w:pPr>
      <w:r>
        <w:rPr>
          <w:color w:val="444444"/>
          <w:sz w:val="21"/>
        </w:rPr>
        <w:t>Revenue is heavily weighted toward a small number of high-ticket products — one rug alone accounts for 33.1% of total revenue. Any stockout or pricing change on this item would have an outsized impact on overall performance.</w:t>
      </w:r>
    </w:p>
    <w:p>
      <w:pPr>
        <w:pStyle w:val="ListParagraph"/>
        <w:spacing w:after="80"/>
      </w:pPr>
      <w:r>
        <w:rPr>
          <w:color w:val="444444"/>
          <w:sz w:val="21"/>
        </w:rPr>
        <w:t>The top 5 products (10% of the catalog) generate 52.4% of all revenue, while the bottom half of the catalog contributes comparatively little despite similar order volumes — suggesting unit price, not popularity, is the primary revenue driver.</w:t>
      </w:r>
    </w:p>
    <w:p>
      <w:pPr>
        <w:pStyle w:val="ListParagraph"/>
        <w:spacing w:after="80"/>
      </w:pPr>
      <w:r>
        <w:rPr>
          <w:color w:val="444444"/>
          <w:sz w:val="21"/>
        </w:rPr>
        <w:t>Monthly revenue trended upward over the year, largely because the simulated customer base builds up as new customers are acquired each month.</w:t>
      </w:r>
    </w:p>
    <w:p>
      <w:pPr>
        <w:pStyle w:val="ListParagraph"/>
        <w:spacing w:after="80"/>
      </w:pPr>
      <w:r>
        <w:rPr>
          <w:color w:val="444444"/>
          <w:sz w:val="21"/>
        </w:rPr>
        <w:t>28.0% of customers bought more than once, a moderate repeat rate. That is a plausible level for big-ticket home goods such as area rugs, though it reflects the simulation's assumptions rather than observed Wayfair shopper behavior.</w:t>
      </w:r>
    </w:p>
    <w:p>
      <w:pPr>
        <w:pStyle w:val="ListParagraph"/>
        <w:spacing w:after="80"/>
      </w:pPr>
      <w:r>
        <w:rPr>
          <w:color w:val="444444"/>
          <w:sz w:val="21"/>
        </w:rPr>
        <w:t>RFM segmentation concentrates revenue as sharply as the product catalog does: 12.4% of customers in the Champions segment drive 30.9% of revenue, pointing retention effort at a well-defined group.</w:t>
      </w:r>
    </w:p>
    <w:p>
      <w:pPr>
        <w:pStyle w:val="ListParagraph"/>
        <w:spacing w:after="80"/>
      </w:pPr>
      <w:r>
        <w:rPr>
          <w:color w:val="444444"/>
          <w:sz w:val="21"/>
        </w:rPr>
        <w:t>The project extends this descriptive view with individual-level churn prediction, cohort retention tracking, and campaign ROI modeling.</w:t>
      </w:r>
    </w:p>
    <w:p/>
    <w:p>
      <w:r>
        <w:rPr>
          <w:i/>
          <w:color w:val="888888"/>
          <w:sz w:val="17"/>
        </w:rPr>
        <w:t>Data sources: product_catalog_clean.csv (scraped Wayfair catalog data), raw_sales_data.csv (simulated transaction history), and rfm_segments.csv (derived customer segments). Generated by scripts/generate_report.py as part of the e-commerce analytics project pipeline; all figures in this report are computed from those files at generation time.</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4444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