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4"/>
        </w:rPr>
        <w:t>Wayfair Product &amp; Sales Performance Report</w:t>
      </w:r>
    </w:p>
    <w:p>
      <w:r>
        <w:rPr>
          <w:color w:val="C9973E"/>
          <w:sz w:val="26"/>
        </w:rPr>
        <w:t>E-Commerce Analytics Project — Annual Review (Jun 2025 – Jun 2026)</w:t>
      </w:r>
    </w:p>
    <w:p>
      <w:pPr>
        <w:pStyle w:val="Heading2"/>
      </w:pPr>
      <w:r>
        <w:rPr>
          <w:color w:val="1F3864"/>
        </w:rPr>
        <w:t>About This Report</w:t>
      </w:r>
    </w:p>
    <w:p>
      <w:pPr>
        <w:spacing w:after="160"/>
      </w:pPr>
      <w:r>
        <w:rPr>
          <w:b w:val="0"/>
          <w:color w:val="444444"/>
          <w:sz w:val="21"/>
        </w:rPr>
        <w:t>Product catalog data (names and prices) was scraped directly from live Wayfair product listing pages. Customer identities and the full transaction history (invoices, dates, and quantities) are synthetically generated, since Wayfair's actual sales and customer data is proprietary and not accessible for this analysis. All customer names appearing in this report are computer-generated and do not refer to real individuals. Findings on product-level performance reflect real catalog data; findings on revenue totals, trends, and customer behavior reflect the simulated transaction layer built on top of it.</w:t>
      </w:r>
    </w:p>
    <w:p>
      <w:pPr>
        <w:pStyle w:val="Heading1"/>
      </w:pPr>
      <w:r>
        <w:rPr>
          <w:color w:val="1F3864"/>
        </w:rPr>
        <w:t>Executive Summary</w:t>
      </w:r>
    </w:p>
    <w:p>
      <w:pPr>
        <w:spacing w:after="160"/>
      </w:pPr>
      <w:r>
        <w:rPr>
          <w:b w:val="0"/>
          <w:color w:val="444444"/>
          <w:sz w:val="21"/>
        </w:rPr>
        <w:t>Over the trailing twelve-month period, the simulated transaction history recorded 2,500 orders across 495 customers and 49 catalog products, totaling $813,442.22 in revenue. The analysis below breaks this down by time, product, and customer to surface where revenue concentrates and how purchasing behavior is distributed.</w:t>
      </w:r>
    </w:p>
    <w:tbl>
      <w:tblPr>
        <w:tblW w:type="auto" w:w="0"/>
        <w:jc w:val="center"/>
        <w:tblLook w:firstColumn="1" w:firstRow="1" w:lastColumn="0" w:lastRow="0" w:noHBand="0" w:noVBand="1" w:val="04A0"/>
      </w:tblPr>
      <w:tblGrid>
        <w:gridCol w:w="5040"/>
        <w:gridCol w:w="5040"/>
      </w:tblGrid>
      <w:tr>
        <w:tc>
          <w:tcPr>
            <w:tcW w:type="dxa" w:w="4896"/>
            <w:shd w:val="clear" w:fill="1F3864"/>
          </w:tcPr>
          <w:p>
            <w:r/>
            <w:r>
              <w:rPr>
                <w:b/>
                <w:color w:val="FFFFFF"/>
                <w:sz w:val="18"/>
              </w:rPr>
              <w:t>Metric</w:t>
            </w:r>
          </w:p>
        </w:tc>
        <w:tc>
          <w:tcPr>
            <w:tcW w:type="dxa" w:w="5184"/>
            <w:shd w:val="clear" w:fill="1F3864"/>
          </w:tcPr>
          <w:p>
            <w:pPr>
              <w:jc w:val="right"/>
            </w:pPr>
            <w:r/>
            <w:r>
              <w:rPr>
                <w:b/>
                <w:color w:val="FFFFFF"/>
                <w:sz w:val="18"/>
              </w:rPr>
              <w:t>Value</w:t>
            </w:r>
          </w:p>
        </w:tc>
      </w:tr>
      <w:tr>
        <w:tc>
          <w:tcPr>
            <w:tcW w:type="dxa" w:w="4896"/>
          </w:tcPr>
          <w:p>
            <w:r/>
            <w:r>
              <w:rPr>
                <w:b w:val="0"/>
                <w:color w:val="444444"/>
                <w:sz w:val="18"/>
              </w:rPr>
              <w:t>Total Revenue</w:t>
            </w:r>
          </w:p>
        </w:tc>
        <w:tc>
          <w:tcPr>
            <w:tcW w:type="dxa" w:w="5184"/>
          </w:tcPr>
          <w:p>
            <w:pPr>
              <w:jc w:val="right"/>
            </w:pPr>
            <w:r/>
            <w:r>
              <w:rPr>
                <w:b w:val="0"/>
                <w:color w:val="444444"/>
                <w:sz w:val="18"/>
              </w:rPr>
              <w:t>$813,442.22</w:t>
            </w:r>
          </w:p>
        </w:tc>
      </w:tr>
      <w:tr>
        <w:tc>
          <w:tcPr>
            <w:tcW w:type="dxa" w:w="4896"/>
            <w:shd w:val="clear" w:fill="EDF0F4"/>
          </w:tcPr>
          <w:p>
            <w:r/>
            <w:r>
              <w:rPr>
                <w:b w:val="0"/>
                <w:color w:val="444444"/>
                <w:sz w:val="18"/>
              </w:rPr>
              <w:t>Total Orders</w:t>
            </w:r>
          </w:p>
        </w:tc>
        <w:tc>
          <w:tcPr>
            <w:tcW w:type="dxa" w:w="5184"/>
            <w:shd w:val="clear" w:fill="EDF0F4"/>
          </w:tcPr>
          <w:p>
            <w:pPr>
              <w:jc w:val="right"/>
            </w:pPr>
            <w:r/>
            <w:r>
              <w:rPr>
                <w:b w:val="0"/>
                <w:color w:val="444444"/>
                <w:sz w:val="18"/>
              </w:rPr>
              <w:t>2,500</w:t>
            </w:r>
          </w:p>
        </w:tc>
      </w:tr>
      <w:tr>
        <w:tc>
          <w:tcPr>
            <w:tcW w:type="dxa" w:w="4896"/>
          </w:tcPr>
          <w:p>
            <w:r/>
            <w:r>
              <w:rPr>
                <w:b w:val="0"/>
                <w:color w:val="444444"/>
                <w:sz w:val="18"/>
              </w:rPr>
              <w:t>Total Units Sold</w:t>
            </w:r>
          </w:p>
        </w:tc>
        <w:tc>
          <w:tcPr>
            <w:tcW w:type="dxa" w:w="5184"/>
          </w:tcPr>
          <w:p>
            <w:pPr>
              <w:jc w:val="right"/>
            </w:pPr>
            <w:r/>
            <w:r>
              <w:rPr>
                <w:b w:val="0"/>
                <w:color w:val="444444"/>
                <w:sz w:val="18"/>
              </w:rPr>
              <w:t>3,397</w:t>
            </w:r>
          </w:p>
        </w:tc>
      </w:tr>
      <w:tr>
        <w:tc>
          <w:tcPr>
            <w:tcW w:type="dxa" w:w="4896"/>
            <w:shd w:val="clear" w:fill="EDF0F4"/>
          </w:tcPr>
          <w:p>
            <w:r/>
            <w:r>
              <w:rPr>
                <w:b w:val="0"/>
                <w:color w:val="444444"/>
                <w:sz w:val="18"/>
              </w:rPr>
              <w:t>Average Order Value</w:t>
            </w:r>
          </w:p>
        </w:tc>
        <w:tc>
          <w:tcPr>
            <w:tcW w:type="dxa" w:w="5184"/>
            <w:shd w:val="clear" w:fill="EDF0F4"/>
          </w:tcPr>
          <w:p>
            <w:pPr>
              <w:jc w:val="right"/>
            </w:pPr>
            <w:r/>
            <w:r>
              <w:rPr>
                <w:b w:val="0"/>
                <w:color w:val="444444"/>
                <w:sz w:val="18"/>
              </w:rPr>
              <w:t>$325.38</w:t>
            </w:r>
          </w:p>
        </w:tc>
      </w:tr>
      <w:tr>
        <w:tc>
          <w:tcPr>
            <w:tcW w:type="dxa" w:w="4896"/>
          </w:tcPr>
          <w:p>
            <w:r/>
            <w:r>
              <w:rPr>
                <w:b w:val="0"/>
                <w:color w:val="444444"/>
                <w:sz w:val="18"/>
              </w:rPr>
              <w:t>Unique Customers</w:t>
            </w:r>
          </w:p>
        </w:tc>
        <w:tc>
          <w:tcPr>
            <w:tcW w:type="dxa" w:w="5184"/>
          </w:tcPr>
          <w:p>
            <w:pPr>
              <w:jc w:val="right"/>
            </w:pPr>
            <w:r/>
            <w:r>
              <w:rPr>
                <w:b w:val="0"/>
                <w:color w:val="444444"/>
                <w:sz w:val="18"/>
              </w:rPr>
              <w:t>495</w:t>
            </w:r>
          </w:p>
        </w:tc>
      </w:tr>
      <w:tr>
        <w:tc>
          <w:tcPr>
            <w:tcW w:type="dxa" w:w="4896"/>
            <w:shd w:val="clear" w:fill="EDF0F4"/>
          </w:tcPr>
          <w:p>
            <w:r/>
            <w:r>
              <w:rPr>
                <w:b w:val="0"/>
                <w:color w:val="444444"/>
                <w:sz w:val="18"/>
              </w:rPr>
              <w:t>Products Sold</w:t>
            </w:r>
          </w:p>
        </w:tc>
        <w:tc>
          <w:tcPr>
            <w:tcW w:type="dxa" w:w="5184"/>
            <w:shd w:val="clear" w:fill="EDF0F4"/>
          </w:tcPr>
          <w:p>
            <w:pPr>
              <w:jc w:val="right"/>
            </w:pPr>
            <w:r/>
            <w:r>
              <w:rPr>
                <w:b w:val="0"/>
                <w:color w:val="444444"/>
                <w:sz w:val="18"/>
              </w:rPr>
              <w:t>49 of 49 catalog items</w:t>
            </w:r>
          </w:p>
        </w:tc>
      </w:tr>
      <w:tr>
        <w:tc>
          <w:tcPr>
            <w:tcW w:type="dxa" w:w="4896"/>
          </w:tcPr>
          <w:p>
            <w:r/>
            <w:r>
              <w:rPr>
                <w:b w:val="0"/>
                <w:color w:val="444444"/>
                <w:sz w:val="18"/>
              </w:rPr>
              <w:t>Repeat Customer Rate</w:t>
            </w:r>
          </w:p>
        </w:tc>
        <w:tc>
          <w:tcPr>
            <w:tcW w:type="dxa" w:w="5184"/>
          </w:tcPr>
          <w:p>
            <w:pPr>
              <w:jc w:val="right"/>
            </w:pPr>
            <w:r/>
            <w:r>
              <w:rPr>
                <w:b w:val="0"/>
                <w:color w:val="444444"/>
                <w:sz w:val="18"/>
              </w:rPr>
              <w:t>96.2%</w:t>
            </w:r>
          </w:p>
        </w:tc>
      </w:tr>
    </w:tbl>
    <w:p/>
    <w:p>
      <w:pPr>
        <w:spacing w:after="160"/>
      </w:pPr>
      <w:r>
        <w:rPr>
          <w:b/>
          <w:color w:val="444444"/>
          <w:sz w:val="21"/>
        </w:rPr>
        <w:t>Key observations:</w:t>
      </w:r>
    </w:p>
    <w:p>
      <w:pPr>
        <w:pStyle w:val="ListParagraph"/>
        <w:spacing w:after="80"/>
      </w:pPr>
      <w:r>
        <w:rPr>
          <w:color w:val="444444"/>
          <w:sz w:val="21"/>
        </w:rPr>
        <w:t>A single product — a $3,564.42 item — accounts for 29.3% of total revenue on its own, despite representing just 1 of 49 catalog items.</w:t>
      </w:r>
    </w:p>
    <w:p>
      <w:pPr>
        <w:pStyle w:val="ListParagraph"/>
        <w:spacing w:after="80"/>
      </w:pPr>
      <w:r>
        <w:rPr>
          <w:color w:val="444444"/>
          <w:sz w:val="21"/>
        </w:rPr>
        <w:t>The top 5 products by revenue account for 49.8% of all revenue; the remaining 44 products share the rest.</w:t>
      </w:r>
    </w:p>
    <w:p>
      <w:pPr>
        <w:pStyle w:val="ListParagraph"/>
        <w:spacing w:after="80"/>
      </w:pPr>
      <w:r>
        <w:rPr>
          <w:color w:val="444444"/>
          <w:sz w:val="21"/>
        </w:rPr>
        <w:t>96.2% of customers placed more than one order, indicating strong simulated repeat-purchase behavior across the customer base.</w:t>
      </w:r>
    </w:p>
    <w:p>
      <w:pPr>
        <w:pStyle w:val="ListParagraph"/>
        <w:spacing w:after="80"/>
      </w:pPr>
      <w:r>
        <w:rPr>
          <w:color w:val="444444"/>
          <w:sz w:val="21"/>
        </w:rPr>
        <w:t>Monthly revenue is relatively stable, ranging from roughly $52K to $92K per month with no sustained downward trend across the 12 full months of data.</w:t>
      </w:r>
    </w:p>
    <w:p>
      <w:pPr>
        <w:pStyle w:val="Heading1"/>
      </w:pPr>
      <w:r>
        <w:rPr>
          <w:color w:val="1F3864"/>
        </w:rPr>
        <w:t>Sales &amp; Revenue Trends</w:t>
      </w:r>
    </w:p>
    <w:p>
      <w:pPr>
        <w:spacing w:after="160"/>
      </w:pPr>
      <w:r>
        <w:rPr>
          <w:b w:val="0"/>
          <w:color w:val="444444"/>
          <w:sz w:val="21"/>
        </w:rPr>
        <w:t>The chart below shows monthly revenue across the 12 full months in the dataset (June 2025 through May 2026). June 2026 is excluded from this chart because the underlying transaction window ends on 2026-06-01, so that month contains only a single day of data and would otherwise appear as a misleading drop-off.</w:t>
      </w:r>
    </w:p>
    <w:p>
      <w:pPr>
        <w:jc w:val="center"/>
      </w:pPr>
      <w:r>
        <w:drawing>
          <wp:inline xmlns:a="http://schemas.openxmlformats.org/drawingml/2006/main" xmlns:pic="http://schemas.openxmlformats.org/drawingml/2006/picture">
            <wp:extent cx="5522976" cy="3041286"/>
            <wp:docPr id="1" name="Picture 1"/>
            <wp:cNvGraphicFramePr>
              <a:graphicFrameLocks noChangeAspect="1"/>
            </wp:cNvGraphicFramePr>
            <a:graphic>
              <a:graphicData uri="http://schemas.openxmlformats.org/drawingml/2006/picture">
                <pic:pic>
                  <pic:nvPicPr>
                    <pic:cNvPr id="0" name="monthly_revenue.png"/>
                    <pic:cNvPicPr/>
                  </pic:nvPicPr>
                  <pic:blipFill>
                    <a:blip r:embed="rId9"/>
                    <a:stretch>
                      <a:fillRect/>
                    </a:stretch>
                  </pic:blipFill>
                  <pic:spPr>
                    <a:xfrm>
                      <a:off x="0" y="0"/>
                      <a:ext cx="5522976" cy="3041286"/>
                    </a:xfrm>
                    <a:prstGeom prst="rect"/>
                  </pic:spPr>
                </pic:pic>
              </a:graphicData>
            </a:graphic>
          </wp:inline>
        </w:drawing>
      </w:r>
    </w:p>
    <w:p>
      <w:pPr>
        <w:spacing w:after="160"/>
      </w:pPr>
      <w:r>
        <w:rPr>
          <w:b w:val="0"/>
          <w:color w:val="444444"/>
          <w:sz w:val="21"/>
        </w:rPr>
        <w:t>Revenue peaked in December 2025 at $92,300, consistent with a holiday shopping pattern, and dipped to its lowest full-month point in September 2025 at $51,672. Order counts follow a similar rhythm, ranging from 173 to 240 orders per month. Overall, the trend shows healthy month-to-month variation without a sustained decline.</w:t>
      </w:r>
    </w:p>
    <w:p>
      <w:pPr>
        <w:pStyle w:val="Heading1"/>
      </w:pPr>
      <w:r>
        <w:rPr>
          <w:color w:val="1F3864"/>
        </w:rPr>
        <w:t>Product Performance</w:t>
      </w:r>
    </w:p>
    <w:p>
      <w:pPr>
        <w:spacing w:after="160"/>
      </w:pPr>
      <w:r>
        <w:rPr>
          <w:b w:val="0"/>
          <w:color w:val="444444"/>
          <w:sz w:val="21"/>
        </w:rPr>
        <w:t>The chart below ranks the ten highest-revenue products. The top performer is highlighted.</w:t>
      </w:r>
    </w:p>
    <w:p>
      <w:pPr>
        <w:jc w:val="center"/>
      </w:pPr>
      <w:r>
        <w:drawing>
          <wp:inline xmlns:a="http://schemas.openxmlformats.org/drawingml/2006/main" xmlns:pic="http://schemas.openxmlformats.org/drawingml/2006/picture">
            <wp:extent cx="5522976" cy="2659314"/>
            <wp:docPr id="2" name="Picture 2"/>
            <wp:cNvGraphicFramePr>
              <a:graphicFrameLocks noChangeAspect="1"/>
            </wp:cNvGraphicFramePr>
            <a:graphic>
              <a:graphicData uri="http://schemas.openxmlformats.org/drawingml/2006/picture">
                <pic:pic>
                  <pic:nvPicPr>
                    <pic:cNvPr id="0" name="top_products.png"/>
                    <pic:cNvPicPr/>
                  </pic:nvPicPr>
                  <pic:blipFill>
                    <a:blip r:embed="rId10"/>
                    <a:stretch>
                      <a:fillRect/>
                    </a:stretch>
                  </pic:blipFill>
                  <pic:spPr>
                    <a:xfrm>
                      <a:off x="0" y="0"/>
                      <a:ext cx="5522976" cy="2659314"/>
                    </a:xfrm>
                    <a:prstGeom prst="rect"/>
                  </pic:spPr>
                </pic:pic>
              </a:graphicData>
            </a:graphic>
          </wp:inline>
        </w:drawing>
      </w:r>
    </w:p>
    <w:p>
      <w:pPr>
        <w:pStyle w:val="Heading2"/>
      </w:pPr>
      <w:r>
        <w:rPr>
          <w:color w:val="1F3864"/>
        </w:rPr>
        <w:t>Top 10 Products by Revenue</w:t>
      </w:r>
    </w:p>
    <w:tbl>
      <w:tblPr>
        <w:tblW w:type="auto" w:w="0"/>
        <w:jc w:val="center"/>
        <w:tblLook w:firstColumn="1" w:firstRow="1" w:lastColumn="0" w:lastRow="0" w:noHBand="0" w:noVBand="1" w:val="04A0"/>
      </w:tblPr>
      <w:tblGrid>
        <w:gridCol w:w="2520"/>
        <w:gridCol w:w="2520"/>
        <w:gridCol w:w="2520"/>
        <w:gridCol w:w="2520"/>
      </w:tblGrid>
      <w:tr>
        <w:tc>
          <w:tcPr>
            <w:tcW w:type="dxa" w:w="5040"/>
            <w:shd w:val="clear" w:fill="1F3864"/>
          </w:tcPr>
          <w:p>
            <w:r/>
            <w:r>
              <w:rPr>
                <w:b/>
                <w:color w:val="FFFFFF"/>
                <w:sz w:val="18"/>
              </w:rPr>
              <w:t>Product</w:t>
            </w:r>
          </w:p>
        </w:tc>
        <w:tc>
          <w:tcPr>
            <w:tcW w:type="dxa" w:w="1872"/>
            <w:shd w:val="clear" w:fill="1F3864"/>
          </w:tcPr>
          <w:p>
            <w:pPr>
              <w:jc w:val="right"/>
            </w:pPr>
            <w:r/>
            <w:r>
              <w:rPr>
                <w:b/>
                <w:color w:val="FFFFFF"/>
                <w:sz w:val="18"/>
              </w:rPr>
              <w:t>Revenue</w:t>
            </w:r>
          </w:p>
        </w:tc>
        <w:tc>
          <w:tcPr>
            <w:tcW w:type="dxa" w:w="1584"/>
            <w:shd w:val="clear" w:fill="1F3864"/>
          </w:tcPr>
          <w:p>
            <w:pPr>
              <w:jc w:val="right"/>
            </w:pPr>
            <w:r/>
            <w:r>
              <w:rPr>
                <w:b/>
                <w:color w:val="FFFFFF"/>
                <w:sz w:val="18"/>
              </w:rPr>
              <w:t>Units Sold</w:t>
            </w:r>
          </w:p>
        </w:tc>
        <w:tc>
          <w:tcPr>
            <w:tcW w:type="dxa" w:w="1296"/>
            <w:shd w:val="clear" w:fill="1F3864"/>
          </w:tcPr>
          <w:p>
            <w:pPr>
              <w:jc w:val="right"/>
            </w:pPr>
            <w:r/>
            <w:r>
              <w:rPr>
                <w:b/>
                <w:color w:val="FFFFFF"/>
                <w:sz w:val="18"/>
              </w:rPr>
              <w:t>Orders</w:t>
            </w:r>
          </w:p>
        </w:tc>
      </w:tr>
      <w:tr>
        <w:tc>
          <w:tcPr>
            <w:tcW w:type="dxa" w:w="5040"/>
          </w:tcPr>
          <w:p>
            <w:r/>
            <w:r>
              <w:rPr>
                <w:b w:val="0"/>
                <w:color w:val="444444"/>
                <w:sz w:val="18"/>
              </w:rPr>
              <w:t xml:space="preserve">Radiant Oriental Multicolor Hand Knotted Wool Blue, </w:t>
            </w:r>
          </w:p>
        </w:tc>
        <w:tc>
          <w:tcPr>
            <w:tcW w:type="dxa" w:w="1872"/>
          </w:tcPr>
          <w:p>
            <w:pPr>
              <w:jc w:val="right"/>
            </w:pPr>
            <w:r/>
            <w:r>
              <w:rPr>
                <w:b w:val="0"/>
                <w:color w:val="444444"/>
                <w:sz w:val="18"/>
              </w:rPr>
              <w:t>$238,717.59</w:t>
            </w:r>
          </w:p>
        </w:tc>
        <w:tc>
          <w:tcPr>
            <w:tcW w:type="dxa" w:w="1584"/>
          </w:tcPr>
          <w:p>
            <w:pPr>
              <w:jc w:val="right"/>
            </w:pPr>
            <w:r/>
            <w:r>
              <w:rPr>
                <w:b w:val="0"/>
                <w:color w:val="444444"/>
                <w:sz w:val="18"/>
              </w:rPr>
              <w:t>70</w:t>
            </w:r>
          </w:p>
        </w:tc>
        <w:tc>
          <w:tcPr>
            <w:tcW w:type="dxa" w:w="1296"/>
          </w:tcPr>
          <w:p>
            <w:pPr>
              <w:jc w:val="right"/>
            </w:pPr>
            <w:r/>
            <w:r>
              <w:rPr>
                <w:b w:val="0"/>
                <w:color w:val="444444"/>
                <w:sz w:val="18"/>
              </w:rPr>
              <w:t>50</w:t>
            </w:r>
          </w:p>
        </w:tc>
      </w:tr>
      <w:tr>
        <w:tc>
          <w:tcPr>
            <w:tcW w:type="dxa" w:w="5040"/>
            <w:shd w:val="clear" w:fill="EDF0F4"/>
          </w:tcPr>
          <w:p>
            <w:r/>
            <w:r>
              <w:rPr>
                <w:b w:val="0"/>
                <w:color w:val="444444"/>
                <w:sz w:val="18"/>
              </w:rPr>
              <w:t>Azelhurst 7'8" X 10' Area Rug</w:t>
            </w:r>
          </w:p>
        </w:tc>
        <w:tc>
          <w:tcPr>
            <w:tcW w:type="dxa" w:w="1872"/>
            <w:shd w:val="clear" w:fill="EDF0F4"/>
          </w:tcPr>
          <w:p>
            <w:pPr>
              <w:jc w:val="right"/>
            </w:pPr>
            <w:r/>
            <w:r>
              <w:rPr>
                <w:b w:val="0"/>
                <w:color w:val="444444"/>
                <w:sz w:val="18"/>
              </w:rPr>
              <w:t>$48,309.69</w:t>
            </w:r>
          </w:p>
        </w:tc>
        <w:tc>
          <w:tcPr>
            <w:tcW w:type="dxa" w:w="1584"/>
            <w:shd w:val="clear" w:fill="EDF0F4"/>
          </w:tcPr>
          <w:p>
            <w:pPr>
              <w:jc w:val="right"/>
            </w:pPr>
            <w:r/>
            <w:r>
              <w:rPr>
                <w:b w:val="0"/>
                <w:color w:val="444444"/>
                <w:sz w:val="18"/>
              </w:rPr>
              <w:t>72</w:t>
            </w:r>
          </w:p>
        </w:tc>
        <w:tc>
          <w:tcPr>
            <w:tcW w:type="dxa" w:w="1296"/>
            <w:shd w:val="clear" w:fill="EDF0F4"/>
          </w:tcPr>
          <w:p>
            <w:pPr>
              <w:jc w:val="right"/>
            </w:pPr>
            <w:r/>
            <w:r>
              <w:rPr>
                <w:b w:val="0"/>
                <w:color w:val="444444"/>
                <w:sz w:val="18"/>
              </w:rPr>
              <w:t>51</w:t>
            </w:r>
          </w:p>
        </w:tc>
      </w:tr>
      <w:tr>
        <w:tc>
          <w:tcPr>
            <w:tcW w:type="dxa" w:w="5040"/>
          </w:tcPr>
          <w:p>
            <w:r/>
            <w:r>
              <w:rPr>
                <w:b w:val="0"/>
                <w:color w:val="444444"/>
                <w:sz w:val="18"/>
              </w:rPr>
              <w:t>Lisgrove 7'8" X 10' Area Rug</w:t>
            </w:r>
          </w:p>
        </w:tc>
        <w:tc>
          <w:tcPr>
            <w:tcW w:type="dxa" w:w="1872"/>
          </w:tcPr>
          <w:p>
            <w:pPr>
              <w:jc w:val="right"/>
            </w:pPr>
            <w:r/>
            <w:r>
              <w:rPr>
                <w:b w:val="0"/>
                <w:color w:val="444444"/>
                <w:sz w:val="18"/>
              </w:rPr>
              <w:t>$45,373.24</w:t>
            </w:r>
          </w:p>
        </w:tc>
        <w:tc>
          <w:tcPr>
            <w:tcW w:type="dxa" w:w="1584"/>
          </w:tcPr>
          <w:p>
            <w:pPr>
              <w:jc w:val="right"/>
            </w:pPr>
            <w:r/>
            <w:r>
              <w:rPr>
                <w:b w:val="0"/>
                <w:color w:val="444444"/>
                <w:sz w:val="18"/>
              </w:rPr>
              <w:t>69</w:t>
            </w:r>
          </w:p>
        </w:tc>
        <w:tc>
          <w:tcPr>
            <w:tcW w:type="dxa" w:w="1296"/>
          </w:tcPr>
          <w:p>
            <w:pPr>
              <w:jc w:val="right"/>
            </w:pPr>
            <w:r/>
            <w:r>
              <w:rPr>
                <w:b w:val="0"/>
                <w:color w:val="444444"/>
                <w:sz w:val="18"/>
              </w:rPr>
              <w:t>47</w:t>
            </w:r>
          </w:p>
        </w:tc>
      </w:tr>
      <w:tr>
        <w:tc>
          <w:tcPr>
            <w:tcW w:type="dxa" w:w="5040"/>
            <w:shd w:val="clear" w:fill="EDF0F4"/>
          </w:tcPr>
          <w:p>
            <w:r/>
            <w:r>
              <w:rPr>
                <w:b w:val="0"/>
                <w:color w:val="444444"/>
                <w:sz w:val="18"/>
              </w:rPr>
              <w:t>Eldonmore 7'8" X 10' Area Rug</w:t>
            </w:r>
          </w:p>
        </w:tc>
        <w:tc>
          <w:tcPr>
            <w:tcW w:type="dxa" w:w="1872"/>
            <w:shd w:val="clear" w:fill="EDF0F4"/>
          </w:tcPr>
          <w:p>
            <w:pPr>
              <w:jc w:val="right"/>
            </w:pPr>
            <w:r/>
            <w:r>
              <w:rPr>
                <w:b w:val="0"/>
                <w:color w:val="444444"/>
                <w:sz w:val="18"/>
              </w:rPr>
              <w:t>$36,586.83</w:t>
            </w:r>
          </w:p>
        </w:tc>
        <w:tc>
          <w:tcPr>
            <w:tcW w:type="dxa" w:w="1584"/>
            <w:shd w:val="clear" w:fill="EDF0F4"/>
          </w:tcPr>
          <w:p>
            <w:pPr>
              <w:jc w:val="right"/>
            </w:pPr>
            <w:r/>
            <w:r>
              <w:rPr>
                <w:b w:val="0"/>
                <w:color w:val="444444"/>
                <w:sz w:val="18"/>
              </w:rPr>
              <w:t>52</w:t>
            </w:r>
          </w:p>
        </w:tc>
        <w:tc>
          <w:tcPr>
            <w:tcW w:type="dxa" w:w="1296"/>
            <w:shd w:val="clear" w:fill="EDF0F4"/>
          </w:tcPr>
          <w:p>
            <w:pPr>
              <w:jc w:val="right"/>
            </w:pPr>
            <w:r/>
            <w:r>
              <w:rPr>
                <w:b w:val="0"/>
                <w:color w:val="444444"/>
                <w:sz w:val="18"/>
              </w:rPr>
              <w:t>48</w:t>
            </w:r>
          </w:p>
        </w:tc>
      </w:tr>
      <w:tr>
        <w:tc>
          <w:tcPr>
            <w:tcW w:type="dxa" w:w="5040"/>
          </w:tcPr>
          <w:p>
            <w:r/>
            <w:r>
              <w:rPr>
                <w:b w:val="0"/>
                <w:color w:val="444444"/>
                <w:sz w:val="18"/>
              </w:rPr>
              <w:t>Ainswick Memory Foam Large Rug</w:t>
            </w:r>
          </w:p>
        </w:tc>
        <w:tc>
          <w:tcPr>
            <w:tcW w:type="dxa" w:w="1872"/>
          </w:tcPr>
          <w:p>
            <w:pPr>
              <w:jc w:val="right"/>
            </w:pPr>
            <w:r/>
            <w:r>
              <w:rPr>
                <w:b w:val="0"/>
                <w:color w:val="444444"/>
                <w:sz w:val="18"/>
              </w:rPr>
              <w:t>$36,397.06</w:t>
            </w:r>
          </w:p>
        </w:tc>
        <w:tc>
          <w:tcPr>
            <w:tcW w:type="dxa" w:w="1584"/>
          </w:tcPr>
          <w:p>
            <w:pPr>
              <w:jc w:val="right"/>
            </w:pPr>
            <w:r/>
            <w:r>
              <w:rPr>
                <w:b w:val="0"/>
                <w:color w:val="444444"/>
                <w:sz w:val="18"/>
              </w:rPr>
              <w:t>64</w:t>
            </w:r>
          </w:p>
        </w:tc>
        <w:tc>
          <w:tcPr>
            <w:tcW w:type="dxa" w:w="1296"/>
          </w:tcPr>
          <w:p>
            <w:pPr>
              <w:jc w:val="right"/>
            </w:pPr>
            <w:r/>
            <w:r>
              <w:rPr>
                <w:b w:val="0"/>
                <w:color w:val="444444"/>
                <w:sz w:val="18"/>
              </w:rPr>
              <w:t>49</w:t>
            </w:r>
          </w:p>
        </w:tc>
      </w:tr>
      <w:tr>
        <w:tc>
          <w:tcPr>
            <w:tcW w:type="dxa" w:w="5040"/>
            <w:shd w:val="clear" w:fill="EDF0F4"/>
          </w:tcPr>
          <w:p>
            <w:r/>
            <w:r>
              <w:rPr>
                <w:b w:val="0"/>
                <w:color w:val="444444"/>
                <w:sz w:val="18"/>
              </w:rPr>
              <w:t>Lahjar Speckled Wool Blend Area Rug</w:t>
            </w:r>
          </w:p>
        </w:tc>
        <w:tc>
          <w:tcPr>
            <w:tcW w:type="dxa" w:w="1872"/>
            <w:shd w:val="clear" w:fill="EDF0F4"/>
          </w:tcPr>
          <w:p>
            <w:pPr>
              <w:jc w:val="right"/>
            </w:pPr>
            <w:r/>
            <w:r>
              <w:rPr>
                <w:b w:val="0"/>
                <w:color w:val="444444"/>
                <w:sz w:val="18"/>
              </w:rPr>
              <w:t>$35,301.21</w:t>
            </w:r>
          </w:p>
        </w:tc>
        <w:tc>
          <w:tcPr>
            <w:tcW w:type="dxa" w:w="1584"/>
            <w:shd w:val="clear" w:fill="EDF0F4"/>
          </w:tcPr>
          <w:p>
            <w:pPr>
              <w:jc w:val="right"/>
            </w:pPr>
            <w:r/>
            <w:r>
              <w:rPr>
                <w:b w:val="0"/>
                <w:color w:val="444444"/>
                <w:sz w:val="18"/>
              </w:rPr>
              <w:t>68</w:t>
            </w:r>
          </w:p>
        </w:tc>
        <w:tc>
          <w:tcPr>
            <w:tcW w:type="dxa" w:w="1296"/>
            <w:shd w:val="clear" w:fill="EDF0F4"/>
          </w:tcPr>
          <w:p>
            <w:pPr>
              <w:jc w:val="right"/>
            </w:pPr>
            <w:r/>
            <w:r>
              <w:rPr>
                <w:b w:val="0"/>
                <w:color w:val="444444"/>
                <w:sz w:val="18"/>
              </w:rPr>
              <w:t>47</w:t>
            </w:r>
          </w:p>
        </w:tc>
      </w:tr>
      <w:tr>
        <w:tc>
          <w:tcPr>
            <w:tcW w:type="dxa" w:w="5040"/>
          </w:tcPr>
          <w:p>
            <w:r/>
            <w:r>
              <w:rPr>
                <w:b w:val="0"/>
                <w:color w:val="444444"/>
                <w:sz w:val="18"/>
              </w:rPr>
              <w:t>Dylanton 7'8" X 10' Area Rug</w:t>
            </w:r>
          </w:p>
        </w:tc>
        <w:tc>
          <w:tcPr>
            <w:tcW w:type="dxa" w:w="1872"/>
          </w:tcPr>
          <w:p>
            <w:pPr>
              <w:jc w:val="right"/>
            </w:pPr>
            <w:r/>
            <w:r>
              <w:rPr>
                <w:b w:val="0"/>
                <w:color w:val="444444"/>
                <w:sz w:val="18"/>
              </w:rPr>
              <w:t>$32,990.60</w:t>
            </w:r>
          </w:p>
        </w:tc>
        <w:tc>
          <w:tcPr>
            <w:tcW w:type="dxa" w:w="1584"/>
          </w:tcPr>
          <w:p>
            <w:pPr>
              <w:jc w:val="right"/>
            </w:pPr>
            <w:r/>
            <w:r>
              <w:rPr>
                <w:b w:val="0"/>
                <w:color w:val="444444"/>
                <w:sz w:val="18"/>
              </w:rPr>
              <w:t>70</w:t>
            </w:r>
          </w:p>
        </w:tc>
        <w:tc>
          <w:tcPr>
            <w:tcW w:type="dxa" w:w="1296"/>
          </w:tcPr>
          <w:p>
            <w:pPr>
              <w:jc w:val="right"/>
            </w:pPr>
            <w:r/>
            <w:r>
              <w:rPr>
                <w:b w:val="0"/>
                <w:color w:val="444444"/>
                <w:sz w:val="18"/>
              </w:rPr>
              <w:t>53</w:t>
            </w:r>
          </w:p>
        </w:tc>
      </w:tr>
      <w:tr>
        <w:tc>
          <w:tcPr>
            <w:tcW w:type="dxa" w:w="5040"/>
            <w:shd w:val="clear" w:fill="EDF0F4"/>
          </w:tcPr>
          <w:p>
            <w:r/>
            <w:r>
              <w:rPr>
                <w:b w:val="0"/>
                <w:color w:val="444444"/>
                <w:sz w:val="18"/>
              </w:rPr>
              <w:t>Ankita Bordered Jute Area Rug</w:t>
            </w:r>
          </w:p>
        </w:tc>
        <w:tc>
          <w:tcPr>
            <w:tcW w:type="dxa" w:w="1872"/>
            <w:shd w:val="clear" w:fill="EDF0F4"/>
          </w:tcPr>
          <w:p>
            <w:pPr>
              <w:jc w:val="right"/>
            </w:pPr>
            <w:r/>
            <w:r>
              <w:rPr>
                <w:b w:val="0"/>
                <w:color w:val="444444"/>
                <w:sz w:val="18"/>
              </w:rPr>
              <w:t>$17,742.62</w:t>
            </w:r>
          </w:p>
        </w:tc>
        <w:tc>
          <w:tcPr>
            <w:tcW w:type="dxa" w:w="1584"/>
            <w:shd w:val="clear" w:fill="EDF0F4"/>
          </w:tcPr>
          <w:p>
            <w:pPr>
              <w:jc w:val="right"/>
            </w:pPr>
            <w:r/>
            <w:r>
              <w:rPr>
                <w:b w:val="0"/>
                <w:color w:val="444444"/>
                <w:sz w:val="18"/>
              </w:rPr>
              <w:t>54</w:t>
            </w:r>
          </w:p>
        </w:tc>
        <w:tc>
          <w:tcPr>
            <w:tcW w:type="dxa" w:w="1296"/>
            <w:shd w:val="clear" w:fill="EDF0F4"/>
          </w:tcPr>
          <w:p>
            <w:pPr>
              <w:jc w:val="right"/>
            </w:pPr>
            <w:r/>
            <w:r>
              <w:rPr>
                <w:b w:val="0"/>
                <w:color w:val="444444"/>
                <w:sz w:val="18"/>
              </w:rPr>
              <w:t>47</w:t>
            </w:r>
          </w:p>
        </w:tc>
      </w:tr>
      <w:tr>
        <w:tc>
          <w:tcPr>
            <w:tcW w:type="dxa" w:w="5040"/>
          </w:tcPr>
          <w:p>
            <w:r/>
            <w:r>
              <w:rPr>
                <w:b w:val="0"/>
                <w:color w:val="444444"/>
                <w:sz w:val="18"/>
              </w:rPr>
              <w:t>Corrbell 5' X 7' Area Rug</w:t>
            </w:r>
          </w:p>
        </w:tc>
        <w:tc>
          <w:tcPr>
            <w:tcW w:type="dxa" w:w="1872"/>
          </w:tcPr>
          <w:p>
            <w:pPr>
              <w:jc w:val="right"/>
            </w:pPr>
            <w:r/>
            <w:r>
              <w:rPr>
                <w:b w:val="0"/>
                <w:color w:val="444444"/>
                <w:sz w:val="18"/>
              </w:rPr>
              <w:t>$17,067.88</w:t>
            </w:r>
          </w:p>
        </w:tc>
        <w:tc>
          <w:tcPr>
            <w:tcW w:type="dxa" w:w="1584"/>
          </w:tcPr>
          <w:p>
            <w:pPr>
              <w:jc w:val="right"/>
            </w:pPr>
            <w:r/>
            <w:r>
              <w:rPr>
                <w:b w:val="0"/>
                <w:color w:val="444444"/>
                <w:sz w:val="18"/>
              </w:rPr>
              <w:t>84</w:t>
            </w:r>
          </w:p>
        </w:tc>
        <w:tc>
          <w:tcPr>
            <w:tcW w:type="dxa" w:w="1296"/>
          </w:tcPr>
          <w:p>
            <w:pPr>
              <w:jc w:val="right"/>
            </w:pPr>
            <w:r/>
            <w:r>
              <w:rPr>
                <w:b w:val="0"/>
                <w:color w:val="444444"/>
                <w:sz w:val="18"/>
              </w:rPr>
              <w:t>54</w:t>
            </w:r>
          </w:p>
        </w:tc>
      </w:tr>
      <w:tr>
        <w:tc>
          <w:tcPr>
            <w:tcW w:type="dxa" w:w="5040"/>
            <w:shd w:val="clear" w:fill="EDF0F4"/>
          </w:tcPr>
          <w:p>
            <w:r/>
            <w:r>
              <w:rPr>
                <w:b w:val="0"/>
                <w:color w:val="444444"/>
                <w:sz w:val="18"/>
              </w:rPr>
              <w:t>Oriental Indoor Rug</w:t>
            </w:r>
          </w:p>
        </w:tc>
        <w:tc>
          <w:tcPr>
            <w:tcW w:type="dxa" w:w="1872"/>
            <w:shd w:val="clear" w:fill="EDF0F4"/>
          </w:tcPr>
          <w:p>
            <w:pPr>
              <w:jc w:val="right"/>
            </w:pPr>
            <w:r/>
            <w:r>
              <w:rPr>
                <w:b w:val="0"/>
                <w:color w:val="444444"/>
                <w:sz w:val="18"/>
              </w:rPr>
              <w:t>$15,884.73</w:t>
            </w:r>
          </w:p>
        </w:tc>
        <w:tc>
          <w:tcPr>
            <w:tcW w:type="dxa" w:w="1584"/>
            <w:shd w:val="clear" w:fill="EDF0F4"/>
          </w:tcPr>
          <w:p>
            <w:pPr>
              <w:jc w:val="right"/>
            </w:pPr>
            <w:r/>
            <w:r>
              <w:rPr>
                <w:b w:val="0"/>
                <w:color w:val="444444"/>
                <w:sz w:val="18"/>
              </w:rPr>
              <w:t>70</w:t>
            </w:r>
          </w:p>
        </w:tc>
        <w:tc>
          <w:tcPr>
            <w:tcW w:type="dxa" w:w="1296"/>
            <w:shd w:val="clear" w:fill="EDF0F4"/>
          </w:tcPr>
          <w:p>
            <w:pPr>
              <w:jc w:val="right"/>
            </w:pPr>
            <w:r/>
            <w:r>
              <w:rPr>
                <w:b w:val="0"/>
                <w:color w:val="444444"/>
                <w:sz w:val="18"/>
              </w:rPr>
              <w:t>56</w:t>
            </w:r>
          </w:p>
        </w:tc>
      </w:tr>
    </w:tbl>
    <w:p/>
    <w:p>
      <w:pPr>
        <w:pStyle w:val="Heading2"/>
      </w:pPr>
      <w:r>
        <w:rPr>
          <w:color w:val="1F3864"/>
        </w:rPr>
        <w:t>Bottom 5 Products by Revenue</w:t>
      </w:r>
    </w:p>
    <w:tbl>
      <w:tblPr>
        <w:tblW w:type="auto" w:w="0"/>
        <w:jc w:val="center"/>
        <w:tblLook w:firstColumn="1" w:firstRow="1" w:lastColumn="0" w:lastRow="0" w:noHBand="0" w:noVBand="1" w:val="04A0"/>
      </w:tblPr>
      <w:tblGrid>
        <w:gridCol w:w="2520"/>
        <w:gridCol w:w="2520"/>
        <w:gridCol w:w="2520"/>
        <w:gridCol w:w="2520"/>
      </w:tblGrid>
      <w:tr>
        <w:tc>
          <w:tcPr>
            <w:tcW w:type="dxa" w:w="5040"/>
            <w:shd w:val="clear" w:fill="1F3864"/>
          </w:tcPr>
          <w:p>
            <w:r/>
            <w:r>
              <w:rPr>
                <w:b/>
                <w:color w:val="FFFFFF"/>
                <w:sz w:val="18"/>
              </w:rPr>
              <w:t>Product</w:t>
            </w:r>
          </w:p>
        </w:tc>
        <w:tc>
          <w:tcPr>
            <w:tcW w:type="dxa" w:w="1872"/>
            <w:shd w:val="clear" w:fill="1F3864"/>
          </w:tcPr>
          <w:p>
            <w:pPr>
              <w:jc w:val="right"/>
            </w:pPr>
            <w:r/>
            <w:r>
              <w:rPr>
                <w:b/>
                <w:color w:val="FFFFFF"/>
                <w:sz w:val="18"/>
              </w:rPr>
              <w:t>Revenue</w:t>
            </w:r>
          </w:p>
        </w:tc>
        <w:tc>
          <w:tcPr>
            <w:tcW w:type="dxa" w:w="1584"/>
            <w:shd w:val="clear" w:fill="1F3864"/>
          </w:tcPr>
          <w:p>
            <w:pPr>
              <w:jc w:val="right"/>
            </w:pPr>
            <w:r/>
            <w:r>
              <w:rPr>
                <w:b/>
                <w:color w:val="FFFFFF"/>
                <w:sz w:val="18"/>
              </w:rPr>
              <w:t>Units Sold</w:t>
            </w:r>
          </w:p>
        </w:tc>
        <w:tc>
          <w:tcPr>
            <w:tcW w:type="dxa" w:w="1296"/>
            <w:shd w:val="clear" w:fill="1F3864"/>
          </w:tcPr>
          <w:p>
            <w:pPr>
              <w:jc w:val="right"/>
            </w:pPr>
            <w:r/>
            <w:r>
              <w:rPr>
                <w:b/>
                <w:color w:val="FFFFFF"/>
                <w:sz w:val="18"/>
              </w:rPr>
              <w:t>Orders</w:t>
            </w:r>
          </w:p>
        </w:tc>
      </w:tr>
      <w:tr>
        <w:tc>
          <w:tcPr>
            <w:tcW w:type="dxa" w:w="5040"/>
          </w:tcPr>
          <w:p>
            <w:r/>
            <w:r>
              <w:rPr>
                <w:b w:val="0"/>
                <w:color w:val="444444"/>
                <w:sz w:val="18"/>
              </w:rPr>
              <w:t>Washable Oriental  Area Rugs Non slip Green Rugs</w:t>
            </w:r>
          </w:p>
        </w:tc>
        <w:tc>
          <w:tcPr>
            <w:tcW w:type="dxa" w:w="1872"/>
          </w:tcPr>
          <w:p>
            <w:pPr>
              <w:jc w:val="right"/>
            </w:pPr>
            <w:r/>
            <w:r>
              <w:rPr>
                <w:b w:val="0"/>
                <w:color w:val="444444"/>
                <w:sz w:val="18"/>
              </w:rPr>
              <w:t>$1,087.24</w:t>
            </w:r>
          </w:p>
        </w:tc>
        <w:tc>
          <w:tcPr>
            <w:tcW w:type="dxa" w:w="1584"/>
          </w:tcPr>
          <w:p>
            <w:pPr>
              <w:jc w:val="right"/>
            </w:pPr>
            <w:r/>
            <w:r>
              <w:rPr>
                <w:b w:val="0"/>
                <w:color w:val="444444"/>
                <w:sz w:val="18"/>
              </w:rPr>
              <w:t>54</w:t>
            </w:r>
          </w:p>
        </w:tc>
        <w:tc>
          <w:tcPr>
            <w:tcW w:type="dxa" w:w="1296"/>
          </w:tcPr>
          <w:p>
            <w:pPr>
              <w:jc w:val="right"/>
            </w:pPr>
            <w:r/>
            <w:r>
              <w:rPr>
                <w:b w:val="0"/>
                <w:color w:val="444444"/>
                <w:sz w:val="18"/>
              </w:rPr>
              <w:t>45</w:t>
            </w:r>
          </w:p>
        </w:tc>
      </w:tr>
      <w:tr>
        <w:tc>
          <w:tcPr>
            <w:tcW w:type="dxa" w:w="5040"/>
            <w:shd w:val="clear" w:fill="EDF0F4"/>
          </w:tcPr>
          <w:p>
            <w:r/>
            <w:r>
              <w:rPr>
                <w:b w:val="0"/>
                <w:color w:val="444444"/>
                <w:sz w:val="18"/>
              </w:rPr>
              <w:t>Area Rug Machine Washable Rugs with Rubber Backing f</w:t>
            </w:r>
          </w:p>
        </w:tc>
        <w:tc>
          <w:tcPr>
            <w:tcW w:type="dxa" w:w="1872"/>
            <w:shd w:val="clear" w:fill="EDF0F4"/>
          </w:tcPr>
          <w:p>
            <w:pPr>
              <w:jc w:val="right"/>
            </w:pPr>
            <w:r/>
            <w:r>
              <w:rPr>
                <w:b w:val="0"/>
                <w:color w:val="444444"/>
                <w:sz w:val="18"/>
              </w:rPr>
              <w:t>$1,346.78</w:t>
            </w:r>
          </w:p>
        </w:tc>
        <w:tc>
          <w:tcPr>
            <w:tcW w:type="dxa" w:w="1584"/>
            <w:shd w:val="clear" w:fill="EDF0F4"/>
          </w:tcPr>
          <w:p>
            <w:pPr>
              <w:jc w:val="right"/>
            </w:pPr>
            <w:r/>
            <w:r>
              <w:rPr>
                <w:b w:val="0"/>
                <w:color w:val="444444"/>
                <w:sz w:val="18"/>
              </w:rPr>
              <w:t>67</w:t>
            </w:r>
          </w:p>
        </w:tc>
        <w:tc>
          <w:tcPr>
            <w:tcW w:type="dxa" w:w="1296"/>
            <w:shd w:val="clear" w:fill="EDF0F4"/>
          </w:tcPr>
          <w:p>
            <w:pPr>
              <w:jc w:val="right"/>
            </w:pPr>
            <w:r/>
            <w:r>
              <w:rPr>
                <w:b w:val="0"/>
                <w:color w:val="444444"/>
                <w:sz w:val="18"/>
              </w:rPr>
              <w:t>49</w:t>
            </w:r>
          </w:p>
        </w:tc>
      </w:tr>
      <w:tr>
        <w:tc>
          <w:tcPr>
            <w:tcW w:type="dxa" w:w="5040"/>
          </w:tcPr>
          <w:p>
            <w:r/>
            <w:r>
              <w:rPr>
                <w:b w:val="0"/>
                <w:color w:val="444444"/>
                <w:sz w:val="18"/>
              </w:rPr>
              <w:t>Machine Washable Area Rugs for Entryway 2x3 Non-Slip</w:t>
            </w:r>
          </w:p>
        </w:tc>
        <w:tc>
          <w:tcPr>
            <w:tcW w:type="dxa" w:w="1872"/>
          </w:tcPr>
          <w:p>
            <w:pPr>
              <w:jc w:val="right"/>
            </w:pPr>
            <w:r/>
            <w:r>
              <w:rPr>
                <w:b w:val="0"/>
                <w:color w:val="444444"/>
                <w:sz w:val="18"/>
              </w:rPr>
              <w:t>$1,499.75</w:t>
            </w:r>
          </w:p>
        </w:tc>
        <w:tc>
          <w:tcPr>
            <w:tcW w:type="dxa" w:w="1584"/>
          </w:tcPr>
          <w:p>
            <w:pPr>
              <w:jc w:val="right"/>
            </w:pPr>
            <w:r/>
            <w:r>
              <w:rPr>
                <w:b w:val="0"/>
                <w:color w:val="444444"/>
                <w:sz w:val="18"/>
              </w:rPr>
              <w:t>75</w:t>
            </w:r>
          </w:p>
        </w:tc>
        <w:tc>
          <w:tcPr>
            <w:tcW w:type="dxa" w:w="1296"/>
          </w:tcPr>
          <w:p>
            <w:pPr>
              <w:jc w:val="right"/>
            </w:pPr>
            <w:r/>
            <w:r>
              <w:rPr>
                <w:b w:val="0"/>
                <w:color w:val="444444"/>
                <w:sz w:val="18"/>
              </w:rPr>
              <w:t>57</w:t>
            </w:r>
          </w:p>
        </w:tc>
      </w:tr>
      <w:tr>
        <w:tc>
          <w:tcPr>
            <w:tcW w:type="dxa" w:w="5040"/>
            <w:shd w:val="clear" w:fill="EDF0F4"/>
          </w:tcPr>
          <w:p>
            <w:r/>
            <w:r>
              <w:rPr>
                <w:b w:val="0"/>
                <w:color w:val="444444"/>
                <w:sz w:val="18"/>
              </w:rPr>
              <w:t>Loloi Botanical Ivory / Multi Area Rug</w:t>
            </w:r>
          </w:p>
        </w:tc>
        <w:tc>
          <w:tcPr>
            <w:tcW w:type="dxa" w:w="1872"/>
            <w:shd w:val="clear" w:fill="EDF0F4"/>
          </w:tcPr>
          <w:p>
            <w:pPr>
              <w:jc w:val="right"/>
            </w:pPr>
            <w:r/>
            <w:r>
              <w:rPr>
                <w:b w:val="0"/>
                <w:color w:val="444444"/>
                <w:sz w:val="18"/>
              </w:rPr>
              <w:t>$2,161.13</w:t>
            </w:r>
          </w:p>
        </w:tc>
        <w:tc>
          <w:tcPr>
            <w:tcW w:type="dxa" w:w="1584"/>
            <w:shd w:val="clear" w:fill="EDF0F4"/>
          </w:tcPr>
          <w:p>
            <w:pPr>
              <w:jc w:val="right"/>
            </w:pPr>
            <w:r/>
            <w:r>
              <w:rPr>
                <w:b w:val="0"/>
                <w:color w:val="444444"/>
                <w:sz w:val="18"/>
              </w:rPr>
              <w:t>66</w:t>
            </w:r>
          </w:p>
        </w:tc>
        <w:tc>
          <w:tcPr>
            <w:tcW w:type="dxa" w:w="1296"/>
            <w:shd w:val="clear" w:fill="EDF0F4"/>
          </w:tcPr>
          <w:p>
            <w:pPr>
              <w:jc w:val="right"/>
            </w:pPr>
            <w:r/>
            <w:r>
              <w:rPr>
                <w:b w:val="0"/>
                <w:color w:val="444444"/>
                <w:sz w:val="18"/>
              </w:rPr>
              <w:t>54</w:t>
            </w:r>
          </w:p>
        </w:tc>
      </w:tr>
      <w:tr>
        <w:tc>
          <w:tcPr>
            <w:tcW w:type="dxa" w:w="5040"/>
          </w:tcPr>
          <w:p>
            <w:r/>
            <w:r>
              <w:rPr>
                <w:b w:val="0"/>
                <w:color w:val="444444"/>
                <w:sz w:val="18"/>
              </w:rPr>
              <w:t>Paint Chip Blue Machine Washable Rug</w:t>
            </w:r>
          </w:p>
        </w:tc>
        <w:tc>
          <w:tcPr>
            <w:tcW w:type="dxa" w:w="1872"/>
          </w:tcPr>
          <w:p>
            <w:pPr>
              <w:jc w:val="right"/>
            </w:pPr>
            <w:r/>
            <w:r>
              <w:rPr>
                <w:b w:val="0"/>
                <w:color w:val="444444"/>
                <w:sz w:val="18"/>
              </w:rPr>
              <w:t>$2,491.98</w:t>
            </w:r>
          </w:p>
        </w:tc>
        <w:tc>
          <w:tcPr>
            <w:tcW w:type="dxa" w:w="1584"/>
          </w:tcPr>
          <w:p>
            <w:pPr>
              <w:jc w:val="right"/>
            </w:pPr>
            <w:r/>
            <w:r>
              <w:rPr>
                <w:b w:val="0"/>
                <w:color w:val="444444"/>
                <w:sz w:val="18"/>
              </w:rPr>
              <w:t>71</w:t>
            </w:r>
          </w:p>
        </w:tc>
        <w:tc>
          <w:tcPr>
            <w:tcW w:type="dxa" w:w="1296"/>
          </w:tcPr>
          <w:p>
            <w:pPr>
              <w:jc w:val="right"/>
            </w:pPr>
            <w:r/>
            <w:r>
              <w:rPr>
                <w:b w:val="0"/>
                <w:color w:val="444444"/>
                <w:sz w:val="18"/>
              </w:rPr>
              <w:t>54</w:t>
            </w:r>
          </w:p>
        </w:tc>
      </w:tr>
    </w:tbl>
    <w:p/>
    <w:p>
      <w:pPr>
        <w:spacing w:after="160"/>
      </w:pPr>
      <w:r>
        <w:rPr>
          <w:b w:val="0"/>
          <w:color w:val="444444"/>
          <w:sz w:val="21"/>
        </w:rPr>
        <w:t>Notably, order counts for the lowest-revenue products (45–57 orders each) are comparable to those of the highest-revenue products — the gap is driven almost entirely by unit price, not by how often the product sells. Low-priced, frequently-selling items are moving consistent volume but contributing comparatively little revenue per transaction.</w:t>
      </w:r>
    </w:p>
    <w:p>
      <w:pPr>
        <w:pStyle w:val="Heading1"/>
      </w:pPr>
      <w:r>
        <w:rPr>
          <w:color w:val="1F3864"/>
        </w:rPr>
        <w:t>Revenue Concentration</w:t>
      </w:r>
    </w:p>
    <w:p>
      <w:pPr>
        <w:spacing w:after="160"/>
      </w:pPr>
      <w:r>
        <w:rPr>
          <w:b w:val="0"/>
          <w:color w:val="444444"/>
          <w:sz w:val="21"/>
        </w:rPr>
        <w:t>The chart below ranks all 49 products from highest to lowest revenue (bars, left axis) alongside the cumulative share of total revenue they represent (line, right axis). The dashed line marks the 80% cumulative revenue threshold.</w:t>
      </w:r>
    </w:p>
    <w:p>
      <w:pPr>
        <w:jc w:val="center"/>
      </w:pPr>
      <w:r>
        <w:drawing>
          <wp:inline xmlns:a="http://schemas.openxmlformats.org/drawingml/2006/main" xmlns:pic="http://schemas.openxmlformats.org/drawingml/2006/picture">
            <wp:extent cx="5522976" cy="2688775"/>
            <wp:docPr id="3" name="Picture 3"/>
            <wp:cNvGraphicFramePr>
              <a:graphicFrameLocks noChangeAspect="1"/>
            </wp:cNvGraphicFramePr>
            <a:graphic>
              <a:graphicData uri="http://schemas.openxmlformats.org/drawingml/2006/picture">
                <pic:pic>
                  <pic:nvPicPr>
                    <pic:cNvPr id="0" name="revenue_concentration.png"/>
                    <pic:cNvPicPr/>
                  </pic:nvPicPr>
                  <pic:blipFill>
                    <a:blip r:embed="rId11"/>
                    <a:stretch>
                      <a:fillRect/>
                    </a:stretch>
                  </pic:blipFill>
                  <pic:spPr>
                    <a:xfrm>
                      <a:off x="0" y="0"/>
                      <a:ext cx="5522976" cy="2688775"/>
                    </a:xfrm>
                    <a:prstGeom prst="rect"/>
                  </pic:spPr>
                </pic:pic>
              </a:graphicData>
            </a:graphic>
          </wp:inline>
        </w:drawing>
      </w:r>
    </w:p>
    <w:p>
      <w:pPr>
        <w:spacing w:after="160"/>
      </w:pPr>
      <w:r>
        <w:rPr>
          <w:b w:val="0"/>
          <w:color w:val="444444"/>
          <w:sz w:val="21"/>
        </w:rPr>
        <w:t>Revenue is meaningfully concentrated at the top of the catalog: it takes only 21 of 49 products (43% of the lineup) to reach 80% of total revenue, driven disproportionately by a small number of higher-priced rugs. This is a useful signal for inventory and marketing prioritization — the catalog's commercial performance is not evenly distributed across products.</w:t>
      </w:r>
    </w:p>
    <w:p>
      <w:pPr>
        <w:pStyle w:val="Heading1"/>
      </w:pPr>
      <w:r>
        <w:rPr>
          <w:color w:val="1F3864"/>
        </w:rPr>
        <w:t>Customer Behavior</w:t>
      </w:r>
    </w:p>
    <w:p>
      <w:pPr>
        <w:spacing w:after="160"/>
      </w:pPr>
      <w:r>
        <w:rPr>
          <w:b w:val="0"/>
          <w:color w:val="444444"/>
          <w:sz w:val="21"/>
        </w:rPr>
        <w:t>The distribution below shows how many orders each of the 495 customers placed over the twelve-month period. Most customers placed between 4 and 6 orders; very few placed only one.</w:t>
      </w:r>
    </w:p>
    <w:p>
      <w:pPr>
        <w:jc w:val="center"/>
      </w:pPr>
      <w:r>
        <w:drawing>
          <wp:inline xmlns:a="http://schemas.openxmlformats.org/drawingml/2006/main" xmlns:pic="http://schemas.openxmlformats.org/drawingml/2006/picture">
            <wp:extent cx="5522976" cy="2938831"/>
            <wp:docPr id="4" name="Picture 4"/>
            <wp:cNvGraphicFramePr>
              <a:graphicFrameLocks noChangeAspect="1"/>
            </wp:cNvGraphicFramePr>
            <a:graphic>
              <a:graphicData uri="http://schemas.openxmlformats.org/drawingml/2006/picture">
                <pic:pic>
                  <pic:nvPicPr>
                    <pic:cNvPr id="0" name="customer_distribution.png"/>
                    <pic:cNvPicPr/>
                  </pic:nvPicPr>
                  <pic:blipFill>
                    <a:blip r:embed="rId12"/>
                    <a:stretch>
                      <a:fillRect/>
                    </a:stretch>
                  </pic:blipFill>
                  <pic:spPr>
                    <a:xfrm>
                      <a:off x="0" y="0"/>
                      <a:ext cx="5522976" cy="2938831"/>
                    </a:xfrm>
                    <a:prstGeom prst="rect"/>
                  </pic:spPr>
                </pic:pic>
              </a:graphicData>
            </a:graphic>
          </wp:inline>
        </w:drawing>
      </w:r>
    </w:p>
    <w:p>
      <w:pPr>
        <w:spacing w:after="160"/>
      </w:pPr>
      <w:r>
        <w:rPr>
          <w:b w:val="0"/>
          <w:color w:val="444444"/>
          <w:sz w:val="21"/>
        </w:rPr>
        <w:t>Only 19 of 495 customers (3.8%) placed a single order, while 96.2% placed two or more — a high repeat rate, consistent with the simulation's design assumptions rather than a claim about real Wayfair shopper behavior.</w:t>
      </w:r>
    </w:p>
    <w:p>
      <w:pPr>
        <w:pStyle w:val="Heading2"/>
      </w:pPr>
      <w:r>
        <w:rPr>
          <w:color w:val="1F3864"/>
        </w:rPr>
        <w:t>Top 10 Customers by Revenue</w:t>
      </w:r>
    </w:p>
    <w:p>
      <w:pPr>
        <w:spacing w:after="160"/>
      </w:pPr>
      <w:r>
        <w:rPr>
          <w:b w:val="0"/>
          <w:color w:val="444444"/>
          <w:sz w:val="21"/>
        </w:rPr>
        <w:t>Customer names below are computer-generated and do not represent real individuals.</w:t>
      </w:r>
    </w:p>
    <w:tbl>
      <w:tblPr>
        <w:tblW w:type="auto" w:w="0"/>
        <w:jc w:val="center"/>
        <w:tblLook w:firstColumn="1" w:firstRow="1" w:lastColumn="0" w:lastRow="0" w:noHBand="0" w:noVBand="1" w:val="04A0"/>
      </w:tblPr>
      <w:tblGrid>
        <w:gridCol w:w="3360"/>
        <w:gridCol w:w="3360"/>
        <w:gridCol w:w="3360"/>
      </w:tblGrid>
      <w:tr>
        <w:tc>
          <w:tcPr>
            <w:tcW w:type="dxa" w:w="5040"/>
            <w:shd w:val="clear" w:fill="1F3864"/>
          </w:tcPr>
          <w:p>
            <w:r/>
            <w:r>
              <w:rPr>
                <w:b/>
                <w:color w:val="FFFFFF"/>
                <w:sz w:val="18"/>
              </w:rPr>
              <w:t>Customer</w:t>
            </w:r>
          </w:p>
        </w:tc>
        <w:tc>
          <w:tcPr>
            <w:tcW w:type="dxa" w:w="2736"/>
            <w:shd w:val="clear" w:fill="1F3864"/>
          </w:tcPr>
          <w:p>
            <w:pPr>
              <w:jc w:val="right"/>
            </w:pPr>
            <w:r/>
            <w:r>
              <w:rPr>
                <w:b/>
                <w:color w:val="FFFFFF"/>
                <w:sz w:val="18"/>
              </w:rPr>
              <w:t>Total Revenue</w:t>
            </w:r>
          </w:p>
        </w:tc>
        <w:tc>
          <w:tcPr>
            <w:tcW w:type="dxa" w:w="2016"/>
            <w:shd w:val="clear" w:fill="1F3864"/>
          </w:tcPr>
          <w:p>
            <w:pPr>
              <w:jc w:val="right"/>
            </w:pPr>
            <w:r/>
            <w:r>
              <w:rPr>
                <w:b/>
                <w:color w:val="FFFFFF"/>
                <w:sz w:val="18"/>
              </w:rPr>
              <w:t>Orders</w:t>
            </w:r>
          </w:p>
        </w:tc>
      </w:tr>
      <w:tr>
        <w:tc>
          <w:tcPr>
            <w:tcW w:type="dxa" w:w="5040"/>
          </w:tcPr>
          <w:p>
            <w:r/>
            <w:r>
              <w:rPr>
                <w:b w:val="0"/>
                <w:color w:val="444444"/>
                <w:sz w:val="18"/>
              </w:rPr>
              <w:t>Crystal Robinson</w:t>
            </w:r>
          </w:p>
        </w:tc>
        <w:tc>
          <w:tcPr>
            <w:tcW w:type="dxa" w:w="2736"/>
          </w:tcPr>
          <w:p>
            <w:pPr>
              <w:jc w:val="right"/>
            </w:pPr>
            <w:r/>
            <w:r>
              <w:rPr>
                <w:b w:val="0"/>
                <w:color w:val="444444"/>
                <w:sz w:val="18"/>
              </w:rPr>
              <w:t>$19,950.30</w:t>
            </w:r>
          </w:p>
        </w:tc>
        <w:tc>
          <w:tcPr>
            <w:tcW w:type="dxa" w:w="2016"/>
          </w:tcPr>
          <w:p>
            <w:pPr>
              <w:jc w:val="right"/>
            </w:pPr>
            <w:r/>
            <w:r>
              <w:rPr>
                <w:b w:val="0"/>
                <w:color w:val="444444"/>
                <w:sz w:val="18"/>
              </w:rPr>
              <w:t>8</w:t>
            </w:r>
          </w:p>
        </w:tc>
      </w:tr>
      <w:tr>
        <w:tc>
          <w:tcPr>
            <w:tcW w:type="dxa" w:w="5040"/>
            <w:shd w:val="clear" w:fill="EDF0F4"/>
          </w:tcPr>
          <w:p>
            <w:r/>
            <w:r>
              <w:rPr>
                <w:b w:val="0"/>
                <w:color w:val="444444"/>
                <w:sz w:val="18"/>
              </w:rPr>
              <w:t>Travis Wise</w:t>
            </w:r>
          </w:p>
        </w:tc>
        <w:tc>
          <w:tcPr>
            <w:tcW w:type="dxa" w:w="2736"/>
            <w:shd w:val="clear" w:fill="EDF0F4"/>
          </w:tcPr>
          <w:p>
            <w:pPr>
              <w:jc w:val="right"/>
            </w:pPr>
            <w:r/>
            <w:r>
              <w:rPr>
                <w:b w:val="0"/>
                <w:color w:val="444444"/>
                <w:sz w:val="18"/>
              </w:rPr>
              <w:t>$19,370.16</w:t>
            </w:r>
          </w:p>
        </w:tc>
        <w:tc>
          <w:tcPr>
            <w:tcW w:type="dxa" w:w="2016"/>
            <w:shd w:val="clear" w:fill="EDF0F4"/>
          </w:tcPr>
          <w:p>
            <w:pPr>
              <w:jc w:val="right"/>
            </w:pPr>
            <w:r/>
            <w:r>
              <w:rPr>
                <w:b w:val="0"/>
                <w:color w:val="444444"/>
                <w:sz w:val="18"/>
              </w:rPr>
              <w:t>8</w:t>
            </w:r>
          </w:p>
        </w:tc>
      </w:tr>
      <w:tr>
        <w:tc>
          <w:tcPr>
            <w:tcW w:type="dxa" w:w="5040"/>
          </w:tcPr>
          <w:p>
            <w:r/>
            <w:r>
              <w:rPr>
                <w:b w:val="0"/>
                <w:color w:val="444444"/>
                <w:sz w:val="18"/>
              </w:rPr>
              <w:t>Sheryl Buck</w:t>
            </w:r>
          </w:p>
        </w:tc>
        <w:tc>
          <w:tcPr>
            <w:tcW w:type="dxa" w:w="2736"/>
          </w:tcPr>
          <w:p>
            <w:pPr>
              <w:jc w:val="right"/>
            </w:pPr>
            <w:r/>
            <w:r>
              <w:rPr>
                <w:b w:val="0"/>
                <w:color w:val="444444"/>
                <w:sz w:val="18"/>
              </w:rPr>
              <w:t>$17,210.89</w:t>
            </w:r>
          </w:p>
        </w:tc>
        <w:tc>
          <w:tcPr>
            <w:tcW w:type="dxa" w:w="2016"/>
          </w:tcPr>
          <w:p>
            <w:pPr>
              <w:jc w:val="right"/>
            </w:pPr>
            <w:r/>
            <w:r>
              <w:rPr>
                <w:b w:val="0"/>
                <w:color w:val="444444"/>
                <w:sz w:val="18"/>
              </w:rPr>
              <w:t>4</w:t>
            </w:r>
          </w:p>
        </w:tc>
      </w:tr>
      <w:tr>
        <w:tc>
          <w:tcPr>
            <w:tcW w:type="dxa" w:w="5040"/>
            <w:shd w:val="clear" w:fill="EDF0F4"/>
          </w:tcPr>
          <w:p>
            <w:r/>
            <w:r>
              <w:rPr>
                <w:b w:val="0"/>
                <w:color w:val="444444"/>
                <w:sz w:val="18"/>
              </w:rPr>
              <w:t>Denise Weber</w:t>
            </w:r>
          </w:p>
        </w:tc>
        <w:tc>
          <w:tcPr>
            <w:tcW w:type="dxa" w:w="2736"/>
            <w:shd w:val="clear" w:fill="EDF0F4"/>
          </w:tcPr>
          <w:p>
            <w:pPr>
              <w:jc w:val="right"/>
            </w:pPr>
            <w:r/>
            <w:r>
              <w:rPr>
                <w:b w:val="0"/>
                <w:color w:val="444444"/>
                <w:sz w:val="18"/>
              </w:rPr>
              <w:t>$11,210.77</w:t>
            </w:r>
          </w:p>
        </w:tc>
        <w:tc>
          <w:tcPr>
            <w:tcW w:type="dxa" w:w="2016"/>
            <w:shd w:val="clear" w:fill="EDF0F4"/>
          </w:tcPr>
          <w:p>
            <w:pPr>
              <w:jc w:val="right"/>
            </w:pPr>
            <w:r/>
            <w:r>
              <w:rPr>
                <w:b w:val="0"/>
                <w:color w:val="444444"/>
                <w:sz w:val="18"/>
              </w:rPr>
              <w:t>6</w:t>
            </w:r>
          </w:p>
        </w:tc>
      </w:tr>
      <w:tr>
        <w:tc>
          <w:tcPr>
            <w:tcW w:type="dxa" w:w="5040"/>
          </w:tcPr>
          <w:p>
            <w:r/>
            <w:r>
              <w:rPr>
                <w:b w:val="0"/>
                <w:color w:val="444444"/>
                <w:sz w:val="18"/>
              </w:rPr>
              <w:t>Michael Anderson</w:t>
            </w:r>
          </w:p>
        </w:tc>
        <w:tc>
          <w:tcPr>
            <w:tcW w:type="dxa" w:w="2736"/>
          </w:tcPr>
          <w:p>
            <w:pPr>
              <w:jc w:val="right"/>
            </w:pPr>
            <w:r/>
            <w:r>
              <w:rPr>
                <w:b w:val="0"/>
                <w:color w:val="444444"/>
                <w:sz w:val="18"/>
              </w:rPr>
              <w:t>$10,300.78</w:t>
            </w:r>
          </w:p>
        </w:tc>
        <w:tc>
          <w:tcPr>
            <w:tcW w:type="dxa" w:w="2016"/>
          </w:tcPr>
          <w:p>
            <w:pPr>
              <w:jc w:val="right"/>
            </w:pPr>
            <w:r/>
            <w:r>
              <w:rPr>
                <w:b w:val="0"/>
                <w:color w:val="444444"/>
                <w:sz w:val="18"/>
              </w:rPr>
              <w:t>5</w:t>
            </w:r>
          </w:p>
        </w:tc>
      </w:tr>
      <w:tr>
        <w:tc>
          <w:tcPr>
            <w:tcW w:type="dxa" w:w="5040"/>
            <w:shd w:val="clear" w:fill="EDF0F4"/>
          </w:tcPr>
          <w:p>
            <w:r/>
            <w:r>
              <w:rPr>
                <w:b w:val="0"/>
                <w:color w:val="444444"/>
                <w:sz w:val="18"/>
              </w:rPr>
              <w:t>Michael Williams</w:t>
            </w:r>
          </w:p>
        </w:tc>
        <w:tc>
          <w:tcPr>
            <w:tcW w:type="dxa" w:w="2736"/>
            <w:shd w:val="clear" w:fill="EDF0F4"/>
          </w:tcPr>
          <w:p>
            <w:pPr>
              <w:jc w:val="right"/>
            </w:pPr>
            <w:r/>
            <w:r>
              <w:rPr>
                <w:b w:val="0"/>
                <w:color w:val="444444"/>
                <w:sz w:val="18"/>
              </w:rPr>
              <w:t>$9,149.59</w:t>
            </w:r>
          </w:p>
        </w:tc>
        <w:tc>
          <w:tcPr>
            <w:tcW w:type="dxa" w:w="2016"/>
            <w:shd w:val="clear" w:fill="EDF0F4"/>
          </w:tcPr>
          <w:p>
            <w:pPr>
              <w:jc w:val="right"/>
            </w:pPr>
            <w:r/>
            <w:r>
              <w:rPr>
                <w:b w:val="0"/>
                <w:color w:val="444444"/>
                <w:sz w:val="18"/>
              </w:rPr>
              <w:t>8</w:t>
            </w:r>
          </w:p>
        </w:tc>
      </w:tr>
      <w:tr>
        <w:tc>
          <w:tcPr>
            <w:tcW w:type="dxa" w:w="5040"/>
          </w:tcPr>
          <w:p>
            <w:r/>
            <w:r>
              <w:rPr>
                <w:b w:val="0"/>
                <w:color w:val="444444"/>
                <w:sz w:val="18"/>
              </w:rPr>
              <w:t>Martin Hughes</w:t>
            </w:r>
          </w:p>
        </w:tc>
        <w:tc>
          <w:tcPr>
            <w:tcW w:type="dxa" w:w="2736"/>
          </w:tcPr>
          <w:p>
            <w:pPr>
              <w:jc w:val="right"/>
            </w:pPr>
            <w:r/>
            <w:r>
              <w:rPr>
                <w:b w:val="0"/>
                <w:color w:val="444444"/>
                <w:sz w:val="18"/>
              </w:rPr>
              <w:t>$8,609.16</w:t>
            </w:r>
          </w:p>
        </w:tc>
        <w:tc>
          <w:tcPr>
            <w:tcW w:type="dxa" w:w="2016"/>
          </w:tcPr>
          <w:p>
            <w:pPr>
              <w:jc w:val="right"/>
            </w:pPr>
            <w:r/>
            <w:r>
              <w:rPr>
                <w:b w:val="0"/>
                <w:color w:val="444444"/>
                <w:sz w:val="18"/>
              </w:rPr>
              <w:t>10</w:t>
            </w:r>
          </w:p>
        </w:tc>
      </w:tr>
      <w:tr>
        <w:tc>
          <w:tcPr>
            <w:tcW w:type="dxa" w:w="5040"/>
            <w:shd w:val="clear" w:fill="EDF0F4"/>
          </w:tcPr>
          <w:p>
            <w:r/>
            <w:r>
              <w:rPr>
                <w:b w:val="0"/>
                <w:color w:val="444444"/>
                <w:sz w:val="18"/>
              </w:rPr>
              <w:t>Brandon King</w:t>
            </w:r>
          </w:p>
        </w:tc>
        <w:tc>
          <w:tcPr>
            <w:tcW w:type="dxa" w:w="2736"/>
            <w:shd w:val="clear" w:fill="EDF0F4"/>
          </w:tcPr>
          <w:p>
            <w:pPr>
              <w:jc w:val="right"/>
            </w:pPr>
            <w:r/>
            <w:r>
              <w:rPr>
                <w:b w:val="0"/>
                <w:color w:val="444444"/>
                <w:sz w:val="18"/>
              </w:rPr>
              <w:t>$8,413.38</w:t>
            </w:r>
          </w:p>
        </w:tc>
        <w:tc>
          <w:tcPr>
            <w:tcW w:type="dxa" w:w="2016"/>
            <w:shd w:val="clear" w:fill="EDF0F4"/>
          </w:tcPr>
          <w:p>
            <w:pPr>
              <w:jc w:val="right"/>
            </w:pPr>
            <w:r/>
            <w:r>
              <w:rPr>
                <w:b w:val="0"/>
                <w:color w:val="444444"/>
                <w:sz w:val="18"/>
              </w:rPr>
              <w:t>4</w:t>
            </w:r>
          </w:p>
        </w:tc>
      </w:tr>
      <w:tr>
        <w:tc>
          <w:tcPr>
            <w:tcW w:type="dxa" w:w="5040"/>
          </w:tcPr>
          <w:p>
            <w:r/>
            <w:r>
              <w:rPr>
                <w:b w:val="0"/>
                <w:color w:val="444444"/>
                <w:sz w:val="18"/>
              </w:rPr>
              <w:t>Jacob Obrien</w:t>
            </w:r>
          </w:p>
        </w:tc>
        <w:tc>
          <w:tcPr>
            <w:tcW w:type="dxa" w:w="2736"/>
          </w:tcPr>
          <w:p>
            <w:pPr>
              <w:jc w:val="right"/>
            </w:pPr>
            <w:r/>
            <w:r>
              <w:rPr>
                <w:b w:val="0"/>
                <w:color w:val="444444"/>
                <w:sz w:val="18"/>
              </w:rPr>
              <w:t>$7,972.79</w:t>
            </w:r>
          </w:p>
        </w:tc>
        <w:tc>
          <w:tcPr>
            <w:tcW w:type="dxa" w:w="2016"/>
          </w:tcPr>
          <w:p>
            <w:pPr>
              <w:jc w:val="right"/>
            </w:pPr>
            <w:r/>
            <w:r>
              <w:rPr>
                <w:b w:val="0"/>
                <w:color w:val="444444"/>
                <w:sz w:val="18"/>
              </w:rPr>
              <w:t>4</w:t>
            </w:r>
          </w:p>
        </w:tc>
      </w:tr>
      <w:tr>
        <w:tc>
          <w:tcPr>
            <w:tcW w:type="dxa" w:w="5040"/>
            <w:shd w:val="clear" w:fill="EDF0F4"/>
          </w:tcPr>
          <w:p>
            <w:r/>
            <w:r>
              <w:rPr>
                <w:b w:val="0"/>
                <w:color w:val="444444"/>
                <w:sz w:val="18"/>
              </w:rPr>
              <w:t>Devin Johnson</w:t>
            </w:r>
          </w:p>
        </w:tc>
        <w:tc>
          <w:tcPr>
            <w:tcW w:type="dxa" w:w="2736"/>
            <w:shd w:val="clear" w:fill="EDF0F4"/>
          </w:tcPr>
          <w:p>
            <w:pPr>
              <w:jc w:val="right"/>
            </w:pPr>
            <w:r/>
            <w:r>
              <w:rPr>
                <w:b w:val="0"/>
                <w:color w:val="444444"/>
                <w:sz w:val="18"/>
              </w:rPr>
              <w:t>$7,703.13</w:t>
            </w:r>
          </w:p>
        </w:tc>
        <w:tc>
          <w:tcPr>
            <w:tcW w:type="dxa" w:w="2016"/>
            <w:shd w:val="clear" w:fill="EDF0F4"/>
          </w:tcPr>
          <w:p>
            <w:pPr>
              <w:jc w:val="right"/>
            </w:pPr>
            <w:r/>
            <w:r>
              <w:rPr>
                <w:b w:val="0"/>
                <w:color w:val="444444"/>
                <w:sz w:val="18"/>
              </w:rPr>
              <w:t>4</w:t>
            </w:r>
          </w:p>
        </w:tc>
      </w:tr>
    </w:tbl>
    <w:p/>
    <w:p>
      <w:pPr>
        <w:pStyle w:val="Heading1"/>
      </w:pPr>
      <w:r>
        <w:rPr>
          <w:color w:val="1F3864"/>
        </w:rPr>
        <w:t>Customer Segmentation (RFM)</w:t>
      </w:r>
    </w:p>
    <w:p>
      <w:pPr>
        <w:spacing w:after="160"/>
      </w:pPr>
      <w:r>
        <w:rPr>
          <w:b w:val="0"/>
          <w:color w:val="444444"/>
          <w:sz w:val="21"/>
        </w:rPr>
        <w:t>Each customer is scored on three dimensions — Recency (how recently they last ordered), Frequency (how many orders they placed), and Monetary value (how much they spent). Scores are assigned on a 1–5 quintile scale relative to the rest of the customer base, then combined into the segment labels below. Because scores are relative, every segment is defined against this population rather than an absolute benchmark.</w:t>
      </w:r>
    </w:p>
    <w:p>
      <w:pPr>
        <w:jc w:val="center"/>
      </w:pPr>
      <w:r>
        <w:drawing>
          <wp:inline xmlns:a="http://schemas.openxmlformats.org/drawingml/2006/main" xmlns:pic="http://schemas.openxmlformats.org/drawingml/2006/picture">
            <wp:extent cx="5522976" cy="2647917"/>
            <wp:docPr id="5" name="Picture 5"/>
            <wp:cNvGraphicFramePr>
              <a:graphicFrameLocks noChangeAspect="1"/>
            </wp:cNvGraphicFramePr>
            <a:graphic>
              <a:graphicData uri="http://schemas.openxmlformats.org/drawingml/2006/picture">
                <pic:pic>
                  <pic:nvPicPr>
                    <pic:cNvPr id="0" name="rfm_segments.png"/>
                    <pic:cNvPicPr/>
                  </pic:nvPicPr>
                  <pic:blipFill>
                    <a:blip r:embed="rId13"/>
                    <a:stretch>
                      <a:fillRect/>
                    </a:stretch>
                  </pic:blipFill>
                  <pic:spPr>
                    <a:xfrm>
                      <a:off x="0" y="0"/>
                      <a:ext cx="5522976" cy="2647917"/>
                    </a:xfrm>
                    <a:prstGeom prst="rect"/>
                  </pic:spPr>
                </pic:pic>
              </a:graphicData>
            </a:graphic>
          </wp:inline>
        </w:drawing>
      </w:r>
    </w:p>
    <w:p>
      <w:pPr>
        <w:pStyle w:val="Heading2"/>
      </w:pPr>
      <w:r>
        <w:rPr>
          <w:color w:val="1F3864"/>
        </w:rPr>
        <w:t>Segment Breakdown</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2736"/>
            <w:shd w:val="clear" w:fill="1F3864"/>
          </w:tcPr>
          <w:p>
            <w:r/>
            <w:r>
              <w:rPr>
                <w:b/>
                <w:color w:val="FFFFFF"/>
                <w:sz w:val="18"/>
              </w:rPr>
              <w:t>Segment</w:t>
            </w:r>
          </w:p>
        </w:tc>
        <w:tc>
          <w:tcPr>
            <w:tcW w:type="dxa" w:w="1440"/>
            <w:shd w:val="clear" w:fill="1F3864"/>
          </w:tcPr>
          <w:p>
            <w:pPr>
              <w:jc w:val="right"/>
            </w:pPr>
            <w:r/>
            <w:r>
              <w:rPr>
                <w:b/>
                <w:color w:val="FFFFFF"/>
                <w:sz w:val="18"/>
              </w:rPr>
              <w:t>Customers</w:t>
            </w:r>
          </w:p>
        </w:tc>
        <w:tc>
          <w:tcPr>
            <w:tcW w:type="dxa" w:w="1368"/>
            <w:shd w:val="clear" w:fill="1F3864"/>
          </w:tcPr>
          <w:p>
            <w:pPr>
              <w:jc w:val="right"/>
            </w:pPr>
            <w:r/>
            <w:r>
              <w:rPr>
                <w:b/>
                <w:color w:val="FFFFFF"/>
                <w:sz w:val="18"/>
              </w:rPr>
              <w:t>% of Base</w:t>
            </w:r>
          </w:p>
        </w:tc>
        <w:tc>
          <w:tcPr>
            <w:tcW w:type="dxa" w:w="1944"/>
            <w:shd w:val="clear" w:fill="1F3864"/>
          </w:tcPr>
          <w:p>
            <w:pPr>
              <w:jc w:val="right"/>
            </w:pPr>
            <w:r/>
            <w:r>
              <w:rPr>
                <w:b/>
                <w:color w:val="FFFFFF"/>
                <w:sz w:val="18"/>
              </w:rPr>
              <w:t>Revenue</w:t>
            </w:r>
          </w:p>
        </w:tc>
        <w:tc>
          <w:tcPr>
            <w:tcW w:type="dxa" w:w="1512"/>
            <w:shd w:val="clear" w:fill="1F3864"/>
          </w:tcPr>
          <w:p>
            <w:pPr>
              <w:jc w:val="right"/>
            </w:pPr>
            <w:r/>
            <w:r>
              <w:rPr>
                <w:b/>
                <w:color w:val="FFFFFF"/>
                <w:sz w:val="18"/>
              </w:rPr>
              <w:t>% of Revenue</w:t>
            </w:r>
          </w:p>
        </w:tc>
        <w:tc>
          <w:tcPr>
            <w:tcW w:type="dxa" w:w="1656"/>
            <w:shd w:val="clear" w:fill="1F3864"/>
          </w:tcPr>
          <w:p>
            <w:pPr>
              <w:jc w:val="right"/>
            </w:pPr>
            <w:r/>
            <w:r>
              <w:rPr>
                <w:b/>
                <w:color w:val="FFFFFF"/>
                <w:sz w:val="18"/>
              </w:rPr>
              <w:t>Avg Value</w:t>
            </w:r>
          </w:p>
        </w:tc>
      </w:tr>
      <w:tr>
        <w:tc>
          <w:tcPr>
            <w:tcW w:type="dxa" w:w="2736"/>
          </w:tcPr>
          <w:p>
            <w:r/>
            <w:r>
              <w:rPr>
                <w:b w:val="0"/>
                <w:color w:val="444444"/>
                <w:sz w:val="18"/>
              </w:rPr>
              <w:t>Champions</w:t>
            </w:r>
          </w:p>
        </w:tc>
        <w:tc>
          <w:tcPr>
            <w:tcW w:type="dxa" w:w="1440"/>
          </w:tcPr>
          <w:p>
            <w:pPr>
              <w:jc w:val="right"/>
            </w:pPr>
            <w:r/>
            <w:r>
              <w:rPr>
                <w:b w:val="0"/>
                <w:color w:val="444444"/>
                <w:sz w:val="18"/>
              </w:rPr>
              <w:t>75</w:t>
            </w:r>
          </w:p>
        </w:tc>
        <w:tc>
          <w:tcPr>
            <w:tcW w:type="dxa" w:w="1368"/>
          </w:tcPr>
          <w:p>
            <w:pPr>
              <w:jc w:val="right"/>
            </w:pPr>
            <w:r/>
            <w:r>
              <w:rPr>
                <w:b w:val="0"/>
                <w:color w:val="444444"/>
                <w:sz w:val="18"/>
              </w:rPr>
              <w:t>15.2%</w:t>
            </w:r>
          </w:p>
        </w:tc>
        <w:tc>
          <w:tcPr>
            <w:tcW w:type="dxa" w:w="1944"/>
          </w:tcPr>
          <w:p>
            <w:pPr>
              <w:jc w:val="right"/>
            </w:pPr>
            <w:r/>
            <w:r>
              <w:rPr>
                <w:b w:val="0"/>
                <w:color w:val="444444"/>
                <w:sz w:val="18"/>
              </w:rPr>
              <w:t>$201,101.04</w:t>
            </w:r>
          </w:p>
        </w:tc>
        <w:tc>
          <w:tcPr>
            <w:tcW w:type="dxa" w:w="1512"/>
          </w:tcPr>
          <w:p>
            <w:pPr>
              <w:jc w:val="right"/>
            </w:pPr>
            <w:r/>
            <w:r>
              <w:rPr>
                <w:b w:val="0"/>
                <w:color w:val="444444"/>
                <w:sz w:val="18"/>
              </w:rPr>
              <w:t>24.7%</w:t>
            </w:r>
          </w:p>
        </w:tc>
        <w:tc>
          <w:tcPr>
            <w:tcW w:type="dxa" w:w="1656"/>
          </w:tcPr>
          <w:p>
            <w:pPr>
              <w:jc w:val="right"/>
            </w:pPr>
            <w:r/>
            <w:r>
              <w:rPr>
                <w:b w:val="0"/>
                <w:color w:val="444444"/>
                <w:sz w:val="18"/>
              </w:rPr>
              <w:t>$2,681.35</w:t>
            </w:r>
          </w:p>
        </w:tc>
      </w:tr>
      <w:tr>
        <w:tc>
          <w:tcPr>
            <w:tcW w:type="dxa" w:w="2736"/>
            <w:shd w:val="clear" w:fill="EDF0F4"/>
          </w:tcPr>
          <w:p>
            <w:r/>
            <w:r>
              <w:rPr>
                <w:b w:val="0"/>
                <w:color w:val="444444"/>
                <w:sz w:val="18"/>
              </w:rPr>
              <w:t>Loyal Customers</w:t>
            </w:r>
          </w:p>
        </w:tc>
        <w:tc>
          <w:tcPr>
            <w:tcW w:type="dxa" w:w="1440"/>
            <w:shd w:val="clear" w:fill="EDF0F4"/>
          </w:tcPr>
          <w:p>
            <w:pPr>
              <w:jc w:val="right"/>
            </w:pPr>
            <w:r/>
            <w:r>
              <w:rPr>
                <w:b w:val="0"/>
                <w:color w:val="444444"/>
                <w:sz w:val="18"/>
              </w:rPr>
              <w:t>88</w:t>
            </w:r>
          </w:p>
        </w:tc>
        <w:tc>
          <w:tcPr>
            <w:tcW w:type="dxa" w:w="1368"/>
            <w:shd w:val="clear" w:fill="EDF0F4"/>
          </w:tcPr>
          <w:p>
            <w:pPr>
              <w:jc w:val="right"/>
            </w:pPr>
            <w:r/>
            <w:r>
              <w:rPr>
                <w:b w:val="0"/>
                <w:color w:val="444444"/>
                <w:sz w:val="18"/>
              </w:rPr>
              <w:t>17.8%</w:t>
            </w:r>
          </w:p>
        </w:tc>
        <w:tc>
          <w:tcPr>
            <w:tcW w:type="dxa" w:w="1944"/>
            <w:shd w:val="clear" w:fill="EDF0F4"/>
          </w:tcPr>
          <w:p>
            <w:pPr>
              <w:jc w:val="right"/>
            </w:pPr>
            <w:r/>
            <w:r>
              <w:rPr>
                <w:b w:val="0"/>
                <w:color w:val="444444"/>
                <w:sz w:val="18"/>
              </w:rPr>
              <w:t>$193,584.29</w:t>
            </w:r>
          </w:p>
        </w:tc>
        <w:tc>
          <w:tcPr>
            <w:tcW w:type="dxa" w:w="1512"/>
            <w:shd w:val="clear" w:fill="EDF0F4"/>
          </w:tcPr>
          <w:p>
            <w:pPr>
              <w:jc w:val="right"/>
            </w:pPr>
            <w:r/>
            <w:r>
              <w:rPr>
                <w:b w:val="0"/>
                <w:color w:val="444444"/>
                <w:sz w:val="18"/>
              </w:rPr>
              <w:t>23.8%</w:t>
            </w:r>
          </w:p>
        </w:tc>
        <w:tc>
          <w:tcPr>
            <w:tcW w:type="dxa" w:w="1656"/>
            <w:shd w:val="clear" w:fill="EDF0F4"/>
          </w:tcPr>
          <w:p>
            <w:pPr>
              <w:jc w:val="right"/>
            </w:pPr>
            <w:r/>
            <w:r>
              <w:rPr>
                <w:b w:val="0"/>
                <w:color w:val="444444"/>
                <w:sz w:val="18"/>
              </w:rPr>
              <w:t>$2,199.82</w:t>
            </w:r>
          </w:p>
        </w:tc>
      </w:tr>
      <w:tr>
        <w:tc>
          <w:tcPr>
            <w:tcW w:type="dxa" w:w="2736"/>
          </w:tcPr>
          <w:p>
            <w:r/>
            <w:r>
              <w:rPr>
                <w:b w:val="0"/>
                <w:color w:val="444444"/>
                <w:sz w:val="18"/>
              </w:rPr>
              <w:t>Promising / New</w:t>
            </w:r>
          </w:p>
        </w:tc>
        <w:tc>
          <w:tcPr>
            <w:tcW w:type="dxa" w:w="1440"/>
          </w:tcPr>
          <w:p>
            <w:pPr>
              <w:jc w:val="right"/>
            </w:pPr>
            <w:r/>
            <w:r>
              <w:rPr>
                <w:b w:val="0"/>
                <w:color w:val="444444"/>
                <w:sz w:val="18"/>
              </w:rPr>
              <w:t>92</w:t>
            </w:r>
          </w:p>
        </w:tc>
        <w:tc>
          <w:tcPr>
            <w:tcW w:type="dxa" w:w="1368"/>
          </w:tcPr>
          <w:p>
            <w:pPr>
              <w:jc w:val="right"/>
            </w:pPr>
            <w:r/>
            <w:r>
              <w:rPr>
                <w:b w:val="0"/>
                <w:color w:val="444444"/>
                <w:sz w:val="18"/>
              </w:rPr>
              <w:t>18.6%</w:t>
            </w:r>
          </w:p>
        </w:tc>
        <w:tc>
          <w:tcPr>
            <w:tcW w:type="dxa" w:w="1944"/>
          </w:tcPr>
          <w:p>
            <w:pPr>
              <w:jc w:val="right"/>
            </w:pPr>
            <w:r/>
            <w:r>
              <w:rPr>
                <w:b w:val="0"/>
                <w:color w:val="444444"/>
                <w:sz w:val="18"/>
              </w:rPr>
              <w:t>$80,670.32</w:t>
            </w:r>
          </w:p>
        </w:tc>
        <w:tc>
          <w:tcPr>
            <w:tcW w:type="dxa" w:w="1512"/>
          </w:tcPr>
          <w:p>
            <w:pPr>
              <w:jc w:val="right"/>
            </w:pPr>
            <w:r/>
            <w:r>
              <w:rPr>
                <w:b w:val="0"/>
                <w:color w:val="444444"/>
                <w:sz w:val="18"/>
              </w:rPr>
              <w:t>9.9%</w:t>
            </w:r>
          </w:p>
        </w:tc>
        <w:tc>
          <w:tcPr>
            <w:tcW w:type="dxa" w:w="1656"/>
          </w:tcPr>
          <w:p>
            <w:pPr>
              <w:jc w:val="right"/>
            </w:pPr>
            <w:r/>
            <w:r>
              <w:rPr>
                <w:b w:val="0"/>
                <w:color w:val="444444"/>
                <w:sz w:val="18"/>
              </w:rPr>
              <w:t>$876.85</w:t>
            </w:r>
          </w:p>
        </w:tc>
      </w:tr>
      <w:tr>
        <w:tc>
          <w:tcPr>
            <w:tcW w:type="dxa" w:w="2736"/>
            <w:shd w:val="clear" w:fill="EDF0F4"/>
          </w:tcPr>
          <w:p>
            <w:r/>
            <w:r>
              <w:rPr>
                <w:b w:val="0"/>
                <w:color w:val="444444"/>
                <w:sz w:val="18"/>
              </w:rPr>
              <w:t>About to Sleep / Average</w:t>
            </w:r>
          </w:p>
        </w:tc>
        <w:tc>
          <w:tcPr>
            <w:tcW w:type="dxa" w:w="1440"/>
            <w:shd w:val="clear" w:fill="EDF0F4"/>
          </w:tcPr>
          <w:p>
            <w:pPr>
              <w:jc w:val="right"/>
            </w:pPr>
            <w:r/>
            <w:r>
              <w:rPr>
                <w:b w:val="0"/>
                <w:color w:val="444444"/>
                <w:sz w:val="18"/>
              </w:rPr>
              <w:t>42</w:t>
            </w:r>
          </w:p>
        </w:tc>
        <w:tc>
          <w:tcPr>
            <w:tcW w:type="dxa" w:w="1368"/>
            <w:shd w:val="clear" w:fill="EDF0F4"/>
          </w:tcPr>
          <w:p>
            <w:pPr>
              <w:jc w:val="right"/>
            </w:pPr>
            <w:r/>
            <w:r>
              <w:rPr>
                <w:b w:val="0"/>
                <w:color w:val="444444"/>
                <w:sz w:val="18"/>
              </w:rPr>
              <w:t>8.5%</w:t>
            </w:r>
          </w:p>
        </w:tc>
        <w:tc>
          <w:tcPr>
            <w:tcW w:type="dxa" w:w="1944"/>
            <w:shd w:val="clear" w:fill="EDF0F4"/>
          </w:tcPr>
          <w:p>
            <w:pPr>
              <w:jc w:val="right"/>
            </w:pPr>
            <w:r/>
            <w:r>
              <w:rPr>
                <w:b w:val="0"/>
                <w:color w:val="444444"/>
                <w:sz w:val="18"/>
              </w:rPr>
              <w:t>$28,121.51</w:t>
            </w:r>
          </w:p>
        </w:tc>
        <w:tc>
          <w:tcPr>
            <w:tcW w:type="dxa" w:w="1512"/>
            <w:shd w:val="clear" w:fill="EDF0F4"/>
          </w:tcPr>
          <w:p>
            <w:pPr>
              <w:jc w:val="right"/>
            </w:pPr>
            <w:r/>
            <w:r>
              <w:rPr>
                <w:b w:val="0"/>
                <w:color w:val="444444"/>
                <w:sz w:val="18"/>
              </w:rPr>
              <w:t>3.5%</w:t>
            </w:r>
          </w:p>
        </w:tc>
        <w:tc>
          <w:tcPr>
            <w:tcW w:type="dxa" w:w="1656"/>
            <w:shd w:val="clear" w:fill="EDF0F4"/>
          </w:tcPr>
          <w:p>
            <w:pPr>
              <w:jc w:val="right"/>
            </w:pPr>
            <w:r/>
            <w:r>
              <w:rPr>
                <w:b w:val="0"/>
                <w:color w:val="444444"/>
                <w:sz w:val="18"/>
              </w:rPr>
              <w:t>$669.56</w:t>
            </w:r>
          </w:p>
        </w:tc>
      </w:tr>
      <w:tr>
        <w:tc>
          <w:tcPr>
            <w:tcW w:type="dxa" w:w="2736"/>
          </w:tcPr>
          <w:p>
            <w:r/>
            <w:r>
              <w:rPr>
                <w:b w:val="0"/>
                <w:color w:val="444444"/>
                <w:sz w:val="18"/>
              </w:rPr>
              <w:t>At Risk / Can't Lose Them</w:t>
            </w:r>
          </w:p>
        </w:tc>
        <w:tc>
          <w:tcPr>
            <w:tcW w:type="dxa" w:w="1440"/>
          </w:tcPr>
          <w:p>
            <w:pPr>
              <w:jc w:val="right"/>
            </w:pPr>
            <w:r/>
            <w:r>
              <w:rPr>
                <w:b w:val="0"/>
                <w:color w:val="444444"/>
                <w:sz w:val="18"/>
              </w:rPr>
              <w:t>92</w:t>
            </w:r>
          </w:p>
        </w:tc>
        <w:tc>
          <w:tcPr>
            <w:tcW w:type="dxa" w:w="1368"/>
          </w:tcPr>
          <w:p>
            <w:pPr>
              <w:jc w:val="right"/>
            </w:pPr>
            <w:r/>
            <w:r>
              <w:rPr>
                <w:b w:val="0"/>
                <w:color w:val="444444"/>
                <w:sz w:val="18"/>
              </w:rPr>
              <w:t>18.6%</w:t>
            </w:r>
          </w:p>
        </w:tc>
        <w:tc>
          <w:tcPr>
            <w:tcW w:type="dxa" w:w="1944"/>
          </w:tcPr>
          <w:p>
            <w:pPr>
              <w:jc w:val="right"/>
            </w:pPr>
            <w:r/>
            <w:r>
              <w:rPr>
                <w:b w:val="0"/>
                <w:color w:val="444444"/>
                <w:sz w:val="18"/>
              </w:rPr>
              <w:t>$183,820.34</w:t>
            </w:r>
          </w:p>
        </w:tc>
        <w:tc>
          <w:tcPr>
            <w:tcW w:type="dxa" w:w="1512"/>
          </w:tcPr>
          <w:p>
            <w:pPr>
              <w:jc w:val="right"/>
            </w:pPr>
            <w:r/>
            <w:r>
              <w:rPr>
                <w:b w:val="0"/>
                <w:color w:val="444444"/>
                <w:sz w:val="18"/>
              </w:rPr>
              <w:t>22.6%</w:t>
            </w:r>
          </w:p>
        </w:tc>
        <w:tc>
          <w:tcPr>
            <w:tcW w:type="dxa" w:w="1656"/>
          </w:tcPr>
          <w:p>
            <w:pPr>
              <w:jc w:val="right"/>
            </w:pPr>
            <w:r/>
            <w:r>
              <w:rPr>
                <w:b w:val="0"/>
                <w:color w:val="444444"/>
                <w:sz w:val="18"/>
              </w:rPr>
              <w:t>$1,998.05</w:t>
            </w:r>
          </w:p>
        </w:tc>
      </w:tr>
      <w:tr>
        <w:tc>
          <w:tcPr>
            <w:tcW w:type="dxa" w:w="2736"/>
            <w:shd w:val="clear" w:fill="EDF0F4"/>
          </w:tcPr>
          <w:p>
            <w:r/>
            <w:r>
              <w:rPr>
                <w:b w:val="0"/>
                <w:color w:val="444444"/>
                <w:sz w:val="18"/>
              </w:rPr>
              <w:t>Hibernating / Lost</w:t>
            </w:r>
          </w:p>
        </w:tc>
        <w:tc>
          <w:tcPr>
            <w:tcW w:type="dxa" w:w="1440"/>
            <w:shd w:val="clear" w:fill="EDF0F4"/>
          </w:tcPr>
          <w:p>
            <w:pPr>
              <w:jc w:val="right"/>
            </w:pPr>
            <w:r/>
            <w:r>
              <w:rPr>
                <w:b w:val="0"/>
                <w:color w:val="444444"/>
                <w:sz w:val="18"/>
              </w:rPr>
              <w:t>106</w:t>
            </w:r>
          </w:p>
        </w:tc>
        <w:tc>
          <w:tcPr>
            <w:tcW w:type="dxa" w:w="1368"/>
            <w:shd w:val="clear" w:fill="EDF0F4"/>
          </w:tcPr>
          <w:p>
            <w:pPr>
              <w:jc w:val="right"/>
            </w:pPr>
            <w:r/>
            <w:r>
              <w:rPr>
                <w:b w:val="0"/>
                <w:color w:val="444444"/>
                <w:sz w:val="18"/>
              </w:rPr>
              <w:t>21.4%</w:t>
            </w:r>
          </w:p>
        </w:tc>
        <w:tc>
          <w:tcPr>
            <w:tcW w:type="dxa" w:w="1944"/>
            <w:shd w:val="clear" w:fill="EDF0F4"/>
          </w:tcPr>
          <w:p>
            <w:pPr>
              <w:jc w:val="right"/>
            </w:pPr>
            <w:r/>
            <w:r>
              <w:rPr>
                <w:b w:val="0"/>
                <w:color w:val="444444"/>
                <w:sz w:val="18"/>
              </w:rPr>
              <w:t>$126,144.72</w:t>
            </w:r>
          </w:p>
        </w:tc>
        <w:tc>
          <w:tcPr>
            <w:tcW w:type="dxa" w:w="1512"/>
            <w:shd w:val="clear" w:fill="EDF0F4"/>
          </w:tcPr>
          <w:p>
            <w:pPr>
              <w:jc w:val="right"/>
            </w:pPr>
            <w:r/>
            <w:r>
              <w:rPr>
                <w:b w:val="0"/>
                <w:color w:val="444444"/>
                <w:sz w:val="18"/>
              </w:rPr>
              <w:t>15.5%</w:t>
            </w:r>
          </w:p>
        </w:tc>
        <w:tc>
          <w:tcPr>
            <w:tcW w:type="dxa" w:w="1656"/>
            <w:shd w:val="clear" w:fill="EDF0F4"/>
          </w:tcPr>
          <w:p>
            <w:pPr>
              <w:jc w:val="right"/>
            </w:pPr>
            <w:r/>
            <w:r>
              <w:rPr>
                <w:b w:val="0"/>
                <w:color w:val="444444"/>
                <w:sz w:val="18"/>
              </w:rPr>
              <w:t>$1,190.04</w:t>
            </w:r>
          </w:p>
        </w:tc>
      </w:tr>
    </w:tbl>
    <w:p/>
    <w:p>
      <w:pPr>
        <w:spacing w:after="160"/>
      </w:pPr>
      <w:r>
        <w:rPr>
          <w:b w:val="0"/>
          <w:color w:val="444444"/>
          <w:sz w:val="21"/>
        </w:rPr>
        <w:t>Champions — high scores across all three dimensions, and also the largest revenue contributor — number 75 customers (15.2% of the base) and generate 24.7% of revenue, at $2,681.35 per customer against a base-wide average of $1,643.32. At Risk / Can't Lose Them holds 92 customers worth $183,820.34 (22.6% of revenue) who bought frequently but have not returned recently — the segment where retention effort has the most revenue at stake. Hibernating / Lost accounts for 21.4% of customers but only 15.5% of revenue, so reactivation spend here should be weighed against its comparatively low return.</w:t>
      </w:r>
    </w:p>
    <w:p>
      <w:pPr>
        <w:spacing w:after="160"/>
      </w:pPr>
      <w:r>
        <w:rPr>
          <w:b w:val="0"/>
          <w:color w:val="444444"/>
          <w:sz w:val="19"/>
        </w:rPr>
        <w:t>One caveat carries over from the simulation's design: because transactions are assigned to customers at random, the 96.2% repeat rate is far higher than real big-ticket home goods retail would produce. Segment sizes here therefore describe the simulated population, not expected real-world customer distribution.</w:t>
      </w:r>
    </w:p>
    <w:p>
      <w:pPr>
        <w:pStyle w:val="Heading1"/>
      </w:pPr>
      <w:r>
        <w:rPr>
          <w:color w:val="1F3864"/>
        </w:rPr>
        <w:t>Key Takeaways</w:t>
      </w:r>
    </w:p>
    <w:p>
      <w:pPr>
        <w:pStyle w:val="ListParagraph"/>
        <w:spacing w:after="80"/>
      </w:pPr>
      <w:r>
        <w:rPr>
          <w:color w:val="444444"/>
          <w:sz w:val="21"/>
        </w:rPr>
        <w:t>Revenue is heavily weighted toward a small number of high-ticket products — one rug alone accounts for 29.3% of total revenue. Any stockout or pricing change on this item would have an outsized impact on overall performance.</w:t>
      </w:r>
    </w:p>
    <w:p>
      <w:pPr>
        <w:pStyle w:val="ListParagraph"/>
        <w:spacing w:after="80"/>
      </w:pPr>
      <w:r>
        <w:rPr>
          <w:color w:val="444444"/>
          <w:sz w:val="21"/>
        </w:rPr>
        <w:t>The top 5 products (10% of the catalog) generate 49.8% of all revenue, while the bottom half of the catalog contributes comparatively little despite similar order volumes — suggesting unit price, not popularity, is the primary revenue driver.</w:t>
      </w:r>
    </w:p>
    <w:p>
      <w:pPr>
        <w:pStyle w:val="ListParagraph"/>
        <w:spacing w:after="80"/>
      </w:pPr>
      <w:r>
        <w:rPr>
          <w:color w:val="444444"/>
          <w:sz w:val="21"/>
        </w:rPr>
        <w:t>Order volume is fairly stable month over month, with a clear seasonal peak in December, typical of holiday-driven home goods demand.</w:t>
      </w:r>
    </w:p>
    <w:p>
      <w:pPr>
        <w:pStyle w:val="ListParagraph"/>
        <w:spacing w:after="80"/>
      </w:pPr>
      <w:r>
        <w:rPr>
          <w:color w:val="444444"/>
          <w:sz w:val="21"/>
        </w:rPr>
        <w:t>Simulated repeat-purchase behavior is very high (96.2%); in a real dataset this would be worth validating, since real-world repeat rates for big-ticket home goods like area rugs are often lower.</w:t>
      </w:r>
    </w:p>
    <w:p>
      <w:pPr>
        <w:pStyle w:val="ListParagraph"/>
        <w:spacing w:after="80"/>
      </w:pPr>
      <w:r>
        <w:rPr>
          <w:color w:val="444444"/>
          <w:sz w:val="21"/>
        </w:rPr>
        <w:t>RFM segmentation concentrates revenue as sharply as the product catalog does: 15.2% of customers in the Champions segment drive 24.7% of revenue, pointing retention effort at a well-defined group.</w:t>
      </w:r>
    </w:p>
    <w:p>
      <w:pPr>
        <w:pStyle w:val="ListParagraph"/>
        <w:spacing w:after="80"/>
      </w:pPr>
      <w:r>
        <w:rPr>
          <w:color w:val="444444"/>
          <w:sz w:val="21"/>
        </w:rPr>
        <w:t>With segmentation in place, modeling seasonality more formally or tuning the simulator toward realistic repeat rates would be the natural next steps.</w:t>
      </w:r>
    </w:p>
    <w:p/>
    <w:p>
      <w:r>
        <w:rPr>
          <w:i/>
          <w:color w:val="888888"/>
          <w:sz w:val="17"/>
        </w:rPr>
        <w:t>Data sources: product_catalog_clean.csv (scraped Wayfair catalog data), raw_sales_data.csv (simulated transaction history), and rfm_segments.csv (derived customer segments). Generated by scripts/generate_report.py as part of the e-commerce analytics project pipeline; all figures in this report are computed from those files at generation time.</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4444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