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252"/>
        <w:tblW w:w="10397" w:type="dxa"/>
        <w:shd w:val="clear" w:color="auto" w:fill="37373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8571"/>
      </w:tblGrid>
      <w:tr w:rsidR="00621032" w:rsidRPr="00621032" w14:paraId="19A068B5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2D09E2DE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TAG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6F513663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Descrição</w:t>
            </w:r>
          </w:p>
        </w:tc>
      </w:tr>
      <w:tr w:rsidR="00621032" w:rsidRPr="00621032" w14:paraId="5872FD32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39DD9B3B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form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0598F81C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Define um formulário para entradas do usuário</w:t>
            </w:r>
          </w:p>
        </w:tc>
      </w:tr>
      <w:tr w:rsidR="00621032" w:rsidRPr="00621032" w14:paraId="2A9DFEA1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4E685BC0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&lt;input&gt;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1494C6DE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Define um campo de entrada</w:t>
            </w:r>
          </w:p>
        </w:tc>
      </w:tr>
      <w:tr w:rsidR="00621032" w:rsidRPr="00621032" w14:paraId="69E62C87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0A3E2103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textarea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0C851E40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Define uma área de texto (um controle de entrada de texto multilinhas)</w:t>
            </w:r>
          </w:p>
        </w:tc>
      </w:tr>
      <w:tr w:rsidR="00621032" w:rsidRPr="00621032" w14:paraId="6659F3E0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3E47287C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label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4AE8F709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Define um rótulo para um controle</w:t>
            </w:r>
          </w:p>
        </w:tc>
      </w:tr>
      <w:tr w:rsidR="00621032" w:rsidRPr="00621032" w14:paraId="26FCE1C3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23EDCFE3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fieldset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754D0670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Define um conjunto de campos</w:t>
            </w:r>
          </w:p>
        </w:tc>
      </w:tr>
      <w:tr w:rsidR="00621032" w:rsidRPr="00621032" w14:paraId="34223EC4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4E6DBF0B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legend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6346F497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Define um título para um conjunto de campos</w:t>
            </w:r>
          </w:p>
        </w:tc>
      </w:tr>
      <w:tr w:rsidR="00621032" w:rsidRPr="00621032" w14:paraId="2B1EFBDD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20CEACFD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select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33CF19D6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 xml:space="preserve">Define uma lista selecionável (uma caixa 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drop-down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)</w:t>
            </w:r>
          </w:p>
        </w:tc>
      </w:tr>
      <w:tr w:rsidR="00621032" w:rsidRPr="00621032" w14:paraId="0D43E9BD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5EB10DF2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optgroup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4970F3C0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Define um grupo de opção</w:t>
            </w:r>
          </w:p>
        </w:tc>
      </w:tr>
      <w:tr w:rsidR="00621032" w:rsidRPr="00621032" w14:paraId="51A0DD11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016ABB1A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option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769873D6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 xml:space="preserve">Define uma opção em uma caixa 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drop-down</w:t>
            </w:r>
            <w:proofErr w:type="spellEnd"/>
          </w:p>
        </w:tc>
      </w:tr>
      <w:tr w:rsidR="00621032" w:rsidRPr="00621032" w14:paraId="4B0576A4" w14:textId="77777777" w:rsidTr="00621032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234DB204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&lt;</w:t>
            </w:r>
            <w:proofErr w:type="spellStart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button</w:t>
            </w:r>
            <w:proofErr w:type="spellEnd"/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1F1F1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14:paraId="76B2F8F3" w14:textId="77777777" w:rsidR="00621032" w:rsidRPr="00621032" w:rsidRDefault="00621032" w:rsidP="00621032">
            <w:pPr>
              <w:spacing w:after="0" w:line="391" w:lineRule="atLeast"/>
              <w:jc w:val="both"/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</w:pPr>
            <w:r w:rsidRPr="00621032">
              <w:rPr>
                <w:rFonts w:ascii="pt_serifregular" w:eastAsia="Times New Roman" w:hAnsi="pt_serifregular" w:cs="Times New Roman"/>
                <w:color w:val="000000" w:themeColor="text1"/>
                <w:spacing w:val="6"/>
                <w:sz w:val="24"/>
                <w:szCs w:val="24"/>
                <w:lang w:eastAsia="pt-BR"/>
              </w:rPr>
              <w:t>Define um botão para pressionar</w:t>
            </w:r>
          </w:p>
        </w:tc>
      </w:tr>
    </w:tbl>
    <w:p w14:paraId="4225BDDB" w14:textId="77777777" w:rsidR="00A03C37" w:rsidRPr="00621032" w:rsidRDefault="00A03C37">
      <w:pPr>
        <w:rPr>
          <w:color w:val="000000" w:themeColor="text1"/>
        </w:rPr>
      </w:pPr>
    </w:p>
    <w:sectPr w:rsidR="00A03C37" w:rsidRPr="00621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_serif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32"/>
    <w:rsid w:val="00621032"/>
    <w:rsid w:val="00A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DFF7"/>
  <w15:chartTrackingRefBased/>
  <w15:docId w15:val="{109E142E-1273-4E10-BF9D-074EF44D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-invertecor">
    <w:name w:val="tp-invertecor"/>
    <w:basedOn w:val="Normal"/>
    <w:rsid w:val="0062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Aires</dc:creator>
  <cp:keywords/>
  <dc:description/>
  <cp:lastModifiedBy>Jean Carlos Aires</cp:lastModifiedBy>
  <cp:revision>1</cp:revision>
  <dcterms:created xsi:type="dcterms:W3CDTF">2022-02-15T11:19:00Z</dcterms:created>
  <dcterms:modified xsi:type="dcterms:W3CDTF">2022-02-15T11:20:00Z</dcterms:modified>
</cp:coreProperties>
</file>