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北京铁人三项研究执行手册第一阶段2026-10-19-起"/>
    <w:p>
      <w:pPr>
        <w:pStyle w:val="Heading1"/>
      </w:pPr>
      <w:r>
        <w:t xml:space="preserve">北京”铁人三项”研究：执行手册（第一阶段，2026-10-19 起）</w:t>
      </w:r>
    </w:p>
    <w:p>
      <w:pPr>
        <w:pStyle w:val="FirstParagraph"/>
      </w:pPr>
      <w:r>
        <w:t xml:space="preserve">用途：把计划变成每周能照着做的步骤。重点是”你在 DaaS 上怎么跑、导出什么、放在哪”，以及”我拿到结果后做什么”。</w:t>
      </w:r>
    </w:p>
    <w:p>
      <w:r>
        <w:pict>
          <v:rect style="width:0;height:1.5pt" o:hralign="center" o:hrstd="t" o:hr="t"/>
        </w:pict>
      </w:r>
    </w:p>
    <w:bookmarkStart w:id="20" w:name="进展2026-10-19-更新"/>
    <w:p>
      <w:pPr>
        <w:pStyle w:val="Heading2"/>
      </w:pPr>
      <w:r>
        <w:t xml:space="preserve">进展（2026-10-19 更新）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新版 APP 名录（1.2）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永恒提供 2026 年 1、5、8 月北京活跃 APP 名录；已整理成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1-研究设计/APP识别字典.xlsx</w:t>
            </w:r>
            <w:r>
              <w:rPr>
                <w:sz w:val="18"/>
              </w:rPr>
              <w:t xml:space="preserve">：主口径工作端 58 个（骑手端 10、司机端 30、快递员端 5、货运代驾 13），求职 16 个、兼职 8 个、家政维修师傅端 3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uid 能否跨期（决策 1 的核心）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已确认：情景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uid 不随换手机改变，5 年可追踪率约 50%；03 转移汇总按原设计可用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SQL 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00 摸底升到 v3（A3a 按确切名称统计用户数和时长；A3b 查早年旧名称）；01 状态表按字典更新清单；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专业接单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改为”其他零工（家政维修）“；四个文件规则检查、语法解析、模拟数据测试全部通过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发表许可（1.3）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待确认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两个新发现，写论文时要交代：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快递员覆盖不全</w:t>
      </w:r>
      <w:r>
        <w:t xml:space="preserve">：三通一达、京东、顺丰的公司内部作业 APP 不在库，快递员只能靠”快递员”</w:t>
      </w:r>
      <w:r>
        <w:t xml:space="preserve">“</w:t>
      </w:r>
      <w:r>
        <w:t xml:space="preserve">快递员助手</w:t>
      </w:r>
      <w:r>
        <w:t xml:space="preserve">”</w:t>
      </w:r>
      <w:r>
        <w:t xml:space="preserve">“</w:t>
      </w:r>
      <w:r>
        <w:t xml:space="preserve">丰巢管家</w:t>
      </w:r>
      <w:r>
        <w:t xml:space="preserve">”</w:t>
      </w:r>
      <w:r>
        <w:t xml:space="preserve">等通用端识别，规模会偏低。快递作为补充类别，主体分析以外卖即配和网约车为主。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编号自然流失</w:t>
      </w:r>
      <w:r>
        <w:t xml:space="preserve">：5 年约 50% 可追踪，折合每年约 13%、每季度约 3.4% 的号码流失（换运营商、停号、新入网）。所以”X 不在库”不等于离开北京。分析时用固定工作者的 X 比例作为基线，平台从业者的 X 比例高出基线的部分才解读为离开；稳健性检验中把 X 作为竞争风险单列，或只看两期都在库的人。</w:t>
      </w:r>
    </w:p>
    <w:p>
      <w:r>
        <w:pict>
          <v:rect style="width:0;height:1.5pt" o:hralign="center" o:hrstd="t" o:hr="t"/>
        </w:pict>
      </w:r>
    </w:p>
    <w:bookmarkEnd w:id="20"/>
    <w:bookmarkStart w:id="21" w:name="总原则"/>
    <w:p>
      <w:pPr>
        <w:pStyle w:val="Heading2"/>
      </w:pPr>
      <w:r>
        <w:t xml:space="preserve">0 总原则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先摸底，再全量。</w:t>
      </w:r>
      <w:r>
        <w:t xml:space="preserve"> </w:t>
      </w:r>
      <w:r>
        <w:t xml:space="preserve">先用 1 个月份把 00、01 跑通，确认表名、字段、APP 名单和阈值，再铺开到全部年份。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每一步都有决策点。</w:t>
      </w:r>
      <w:r>
        <w:t xml:space="preserve"> </w:t>
      </w:r>
      <w:r>
        <w:t xml:space="preserve">摸底结果决定论文 2 能不能做（uid 能否跨期）。不要在决策点之前跑大批量。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合规优先。</w:t>
      </w:r>
      <w:r>
        <w:t xml:space="preserve"> </w:t>
      </w:r>
      <w:r>
        <w:t xml:space="preserve">只导出汇总表；表名、字段对不上时不要自己硬改逻辑，把报错截图发给我。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分工固定。</w:t>
      </w:r>
      <w:r>
        <w:t xml:space="preserve"> </w:t>
      </w:r>
      <w:r>
        <w:t xml:space="preserve">你负责：在 DaaS 上运行、导出、联系永恒。我负责：改 SQL、读导出结果、分析、出图、写稿。</w:t>
      </w:r>
    </w:p>
    <w:p>
      <w:r>
        <w:pict>
          <v:rect style="width:0;height:1.5pt" o:hralign="center" o:hrstd="t" o:hr="t"/>
        </w:pict>
      </w:r>
    </w:p>
    <w:bookmarkEnd w:id="21"/>
    <w:bookmarkStart w:id="22" w:name="第-1-周10-月-1925-日会议收尾-数据摸底"/>
    <w:p>
      <w:pPr>
        <w:pStyle w:val="Heading2"/>
      </w:pPr>
      <w:r>
        <w:t xml:space="preserve">1 第 1 周（10 月 19—25 日）：会议收尾 + 数据摸底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把会上永恒的回答记下来，尤其十个问题里答了哪几个、没答的谁去问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发我几句话或截图即可，我整理成纪要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  <w:sz w:val="18"/>
              </w:rPr>
              <w:t xml:space="preserve">拿到新版 APP 名录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永恒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7-daas平台app/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三期名录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APP识别字典.xlsx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确认</w:t>
            </w:r>
            <w:r>
              <w:rPr>
                <w:bCs/>
                <w:b/>
                <w:sz w:val="18"/>
              </w:rPr>
              <w:t xml:space="preserve">发表许可</w:t>
            </w:r>
            <w:r>
              <w:rPr>
                <w:sz w:val="18"/>
              </w:rPr>
              <w:t xml:space="preserve">：用聚合结果发论文需要什么流程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你问永恒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一句话结论即可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在 DaaS 上跑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00_数据摸底.txt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A1</w:t>
            </w:r>
            <w:r>
              <w:rPr>
                <w:sz w:val="18"/>
              </w:rPr>
              <w:t xml:space="preserve">（只有导出，没有建表，最安全）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A1_分区.csv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根据 A1 的月份，把 A2 里的月份改成实际存在的；跑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A2-1_重合人数.csv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A2-2_各期人数.csv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跑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A3a</w:t>
            </w:r>
            <w:r>
              <w:rPr>
                <w:sz w:val="18"/>
              </w:rPr>
              <w:t xml:space="preserve">（字典 APP 的用户数和时长，20250901 和最早 9 月各一次）、</w:t>
            </w:r>
            <w:r>
              <w:rPr>
                <w:bCs/>
                <w:b/>
                <w:sz w:val="18"/>
              </w:rPr>
              <w:t xml:space="preserve">A3b</w:t>
            </w:r>
            <w:r>
              <w:rPr>
                <w:sz w:val="18"/>
              </w:rPr>
              <w:t xml:space="preserve">（最早年份旧名称核对）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A3a_APP用户数_202509.csv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A3a_APP用户数_&lt;最早年份&gt;09.csv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A3b_旧名称.csv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  <w:sz w:val="18"/>
              </w:rPr>
              <w:t xml:space="preserve">补全 A4、A6 清单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已完成</w:t>
            </w:r>
            <w:r>
              <w:rPr>
                <w:sz w:val="18"/>
              </w:rPr>
              <w:t xml:space="preserve">（v3）；A3 结果出来后再定”待定”名称是否纳入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跑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A4、A5、A6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三个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我出《摸底结论》：月份清单、uid 情景（A/B/C）、APP 清单定稿、阈值 T 和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Word 一份，</w:t>
            </w:r>
            <w:r>
              <w:rPr>
                <w:bCs/>
                <w:b/>
                <w:sz w:val="18"/>
              </w:rPr>
              <w:t xml:space="preserve">决策点 1</w:t>
            </w:r>
          </w:p>
        </w:tc>
      </w:tr>
    </w:tbl>
    <w:p>
      <w:pPr>
        <w:pStyle w:val="BodyText"/>
      </w:pPr>
      <w:r>
        <w:rPr>
          <w:bCs/>
          <w:b/>
        </w:rPr>
        <w:t xml:space="preserve">运行要点：</w:t>
      </w:r>
      <w:r>
        <w:t xml:space="preserve"> </w:t>
      </w:r>
      <w:r>
        <w:t xml:space="preserve">- 每段之间空一行、逐段复制运行，不要整文件一次执行。</w:t>
      </w:r>
      <w:r>
        <w:t xml:space="preserve"> </w:t>
      </w:r>
      <w:r>
        <w:t xml:space="preserve">- 每条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成功后再跑它下面的导出。</w:t>
      </w:r>
      <w:r>
        <w:t xml:space="preserve"> </w:t>
      </w:r>
      <w:r>
        <w:t xml:space="preserve">- 报错时：截图（含报错信息和语句），发我；</w:t>
      </w:r>
      <w:r>
        <w:rPr>
          <w:bCs/>
          <w:b/>
        </w:rPr>
        <w:t xml:space="preserve">不要</w:t>
      </w:r>
      <w:r>
        <w:t xml:space="preserve">改表名后缀以外的任何内容。</w:t>
      </w:r>
      <w:r>
        <w:t xml:space="preserve"> </w:t>
      </w:r>
      <w:r>
        <w:t xml:space="preserve">- 重跑同一段时，把表名末尾</w:t>
      </w:r>
      <w:r>
        <w:t xml:space="preserve"> </w:t>
      </w:r>
      <w:r>
        <w:rPr>
          <w:rStyle w:val="VerbatimChar"/>
        </w:rPr>
        <w:t xml:space="preserve">_v1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_v2</w:t>
      </w:r>
      <w:r>
        <w:t xml:space="preserve">（系统不能删表）。</w:t>
      </w:r>
    </w:p>
    <w:p>
      <w:r>
        <w:pict>
          <v:rect style="width:0;height:1.5pt" o:hralign="center" o:hrstd="t" o:hr="t"/>
        </w:pict>
      </w:r>
    </w:p>
    <w:bookmarkEnd w:id="22"/>
    <w:bookmarkStart w:id="23" w:name="第-2-周10-月-26-日11-月-1-日单月试跑状态表"/>
    <w:p>
      <w:pPr>
        <w:pStyle w:val="Heading2"/>
      </w:pPr>
      <w:r>
        <w:t xml:space="preserve">2 第 2 周（10 月 26 日—11 月 1 日）：单月试跑状态表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按摸底结论改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01_状态表</w:t>
            </w:r>
            <w:r>
              <w:rPr>
                <w:sz w:val="18"/>
              </w:rPr>
              <w:t xml:space="preserve">：APP 清单、阈值，必要时去掉 S4 出行表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01_状态表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用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2025 年 9 月</w:t>
            </w:r>
            <w:r>
              <w:rPr>
                <w:sz w:val="18"/>
              </w:rPr>
              <w:t xml:space="preserve">试跑 01：S0 → S1 → S2 → S3 → S4 → S5 → E1—E5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5—6 个检查表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检查：各状态人数、扩样后规模、求职 APP 使用率、居住区县分布是否合理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试跑检查报告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外部校验：扩样后的骑手、司机规模对照美团和滴滴公开数、职业伤害保障参保数、CMEP 北京交通运输和邮政业就业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校验表，</w:t>
            </w:r>
            <w:r>
              <w:rPr>
                <w:bCs/>
                <w:b/>
                <w:sz w:val="18"/>
              </w:rPr>
              <w:t xml:space="preserve">决策点 2</w:t>
            </w:r>
            <w:r>
              <w:rPr>
                <w:sz w:val="18"/>
              </w:rPr>
              <w:t xml:space="preserve">（阈值是否要调）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我准备 fnid 属性对照表（街道、环路圈层、主导用地、城中村）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CSV；能否上传要问永恒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第-34-周11-月-215-日铺开到全部月份"/>
    <w:p>
      <w:pPr>
        <w:pStyle w:val="Heading2"/>
      </w:pPr>
      <w:r>
        <w:t xml:space="preserve">3 第 3—4 周（11 月 2—15 日）：铺开到全部月份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01 状态表逐期跑：</w:t>
            </w:r>
            <w:r>
              <w:rPr>
                <w:bCs/>
                <w:b/>
                <w:sz w:val="18"/>
              </w:rPr>
              <w:t xml:space="preserve">先 2023—2025 年 12 期</w:t>
            </w:r>
            <w:r>
              <w:rPr>
                <w:sz w:val="18"/>
              </w:rPr>
              <w:t xml:space="preserve">，再往前补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换月份只需全部替换 3 个字符串；S0 不再跑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02 截面汇总 A 部分逐期跑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每期 10 张，按命名规则放进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02_截面汇总/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02 B 部分：删掉不存在的月份那几行，建全期面板，导出趋势表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我边收边做描述分析，搭论文 1 的图表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图 1—4 初稿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第-5-周起11-月-16-日转移分析-写稿"/>
    <w:p>
      <w:pPr>
        <w:pStyle w:val="Heading2"/>
      </w:pPr>
      <w:r>
        <w:t xml:space="preserve">4 第 5 周起（11 月 16 日—）：转移分析 + 写稿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 月下旬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03 转移汇总（情景 A 直接跑；情景 B 我先改成年内版本）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月—2027 年 1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1（中文核心）分析与写作；作者改写，按期刊要求声明 AI 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 年 2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1 投稿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 年 2—6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2（SCI）：生存分析、跳板/陷阱检验、异质性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 年 7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论文 2 投稿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导出文件命名与存放"/>
    <w:p>
      <w:pPr>
        <w:pStyle w:val="Heading2"/>
      </w:pPr>
      <w:r>
        <w:t xml:space="preserve">5 导出文件命名与存放</w:t>
      </w:r>
    </w:p>
    <w:p>
      <w:pPr>
        <w:pStyle w:val="FirstParagraph"/>
      </w:pPr>
      <w:r>
        <w:t xml:space="preserve">放在</w:t>
      </w:r>
      <w:r>
        <w:t xml:space="preserve"> </w:t>
      </w:r>
      <w:r>
        <w:rPr>
          <w:rStyle w:val="VerbatimChar"/>
        </w:rPr>
        <w:t xml:space="preserve">10-北京平台从业者研究/4-导出结果/</w:t>
      </w:r>
      <w:r>
        <w:t xml:space="preserve"> </w:t>
      </w:r>
      <w:r>
        <w:t xml:space="preserve">下对应子文件夹，CSV 或 Excel 均可。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文件名示例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00 摸底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A1_分区.csv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A2-1_重合人数.csv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A3_APP名录_202509.csv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A4_时长分布_202509.csv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01 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E1_状态年龄_202509.csv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……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E5b_工作区县_202509.csv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02 截面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C1_构成_202509.csv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……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C10_阈值_202509.csv</w:t>
            </w:r>
            <w:r>
              <w:rPr>
                <w:sz w:val="18"/>
              </w:rPr>
              <w:t xml:space="preserve">；</w:t>
            </w:r>
            <w:r>
              <w:rPr>
                <w:rStyle w:val="VerbatimChar"/>
                <w:sz w:val="18"/>
              </w:rPr>
              <w:t xml:space="preserve">B-E1_趋势.csv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03 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T1-E1_转移矩阵.csv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T2-E2_来源去向.csv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T3-E1_人期.csv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等</w:t>
            </w:r>
          </w:p>
        </w:tc>
      </w:tr>
    </w:tbl>
    <w:p>
      <w:pPr>
        <w:pStyle w:val="BodyText"/>
      </w:pPr>
      <w:r>
        <w:t xml:space="preserve">规则：</w:t>
      </w:r>
      <w:r>
        <w:rPr>
          <w:bCs/>
          <w:b/>
        </w:rPr>
        <w:t xml:space="preserve">段落编号 + 简短中文 + 月份</w:t>
      </w:r>
      <w:r>
        <w:t xml:space="preserve">；每跑一段，在《运行记录》Excel 里记一行。</w:t>
      </w:r>
    </w:p>
    <w:p>
      <w:r>
        <w:pict>
          <v:rect style="width:0;height:1.5pt" o:hralign="center" o:hrstd="t" o:hr="t"/>
        </w:pict>
      </w:r>
    </w:p>
    <w:bookmarkEnd w:id="26"/>
    <w:bookmarkStart w:id="27" w:name="需要盯住的风险"/>
    <w:p>
      <w:pPr>
        <w:pStyle w:val="Heading2"/>
      </w:pPr>
      <w:r>
        <w:t xml:space="preserve">6 需要盯住的风险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早期信号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uid 每期重新加密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A2 两期重合人数接近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改走情景 C：先保论文 1，论文 2 暂缓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新平台 APP 不在库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A3 找不到京东秒送、美团众包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研究对象收窄或在文中说明覆盖缺口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快递员识别不到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A3 没有快递作业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快递只作补充，主体为外卖 + 网约车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单次运行太慢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S4、T3 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去掉 S4；先用最近 3 年面板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发表许可卡住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智慧足迹要求书面流程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尽早启动；必要时邀请对方署名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并行的其他事项不要忘"/>
    <w:p>
      <w:pPr>
        <w:pStyle w:val="Heading2"/>
      </w:pPr>
      <w:r>
        <w:t xml:space="preserve">7 并行的其他事项（不要忘）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CMEP 数据论文（《中国科学数据》）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已投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等审稿意见；我可协助回复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地理学报标度论文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已投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等审稿意见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个体经营型灵活就业论文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V1.0 完成，未投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个省五经普个体户数据需你在国内网站查补；作者改写后投《城市问题》或《城市发展研究》（注意 AI 政策）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向张所汇报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可直接复用会议 PPT 的第 3—6、11 页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宋体"/>
    </w:rPr>
  </w:style>
  <w:style w:customStyle="1" w:styleId="FirstParagraph" w:type="paragraph">
    <w:name w:val="First Paragraph"/>
    <w:basedOn w:val="BodyText"/>
    <w:next w:val="BodyText"/>
    <w:qFormat/>
    <w:rPr>
      <w:rFonts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eastAsia="宋体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eastAsia="宋体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宋体"/>
    </w:rPr>
  </w:style>
  <w:style w:styleId="Bibliography" w:type="paragraph">
    <w:name w:val="Bibliography"/>
    <w:basedOn w:val="Normal"/>
    <w:next w:val="Bibliography"/>
    <w:qFormat/>
    <w:pPr/>
    <w:rPr>
      <w:rFonts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宋体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宋体"/>
    </w:rPr>
  </w:style>
  <w:style w:default="1" w:styleId="DefaultParagraphFont" w:type="character">
    <w:name w:val="Default Paragraph Font"/>
    <w:semiHidden/>
    <w:unhideWhenUsed/>
    <w:rPr>
      <w:rFonts w:eastAsia="宋体"/>
    </w:rPr>
  </w:style>
  <w:style w:default="1" w:styleId="Table" w:type="table">
    <w:name w:val="Table"/>
    <w:basedOn w:val="TableNormal"/>
    <w:semiHidden/>
    <w:unhideWhenUsed/>
    <w:qFormat/>
    <w:rPr>
      <w:rFonts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宋体"/>
    </w:rPr>
  </w:style>
  <w:style w:customStyle="1" w:styleId="Definition" w:type="paragraph">
    <w:name w:val="Definition"/>
    <w:basedOn w:val="Normal"/>
    <w:rPr>
      <w:rFonts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宋体"/>
    </w:rPr>
  </w:style>
  <w:style w:customStyle="1" w:styleId="TableCaption" w:type="paragraph">
    <w:name w:val="Table Caption"/>
    <w:basedOn w:val="Caption"/>
    <w:pPr>
      <w:keepNext/>
    </w:pPr>
    <w:rPr>
      <w:rFonts w:eastAsia="宋体"/>
    </w:rPr>
  </w:style>
  <w:style w:customStyle="1" w:styleId="ImageCaption" w:type="paragraph">
    <w:name w:val="Image Caption"/>
    <w:basedOn w:val="Caption"/>
    <w:rPr>
      <w:rFonts w:eastAsia="宋体"/>
    </w:rPr>
  </w:style>
  <w:style w:customStyle="1" w:styleId="Figure" w:type="paragraph">
    <w:name w:val="Figure"/>
    <w:basedOn w:val="Normal"/>
    <w:rPr>
      <w:rFonts w:eastAsia="宋体"/>
    </w:rPr>
  </w:style>
  <w:style w:customStyle="1" w:styleId="CaptionedFigure" w:type="paragraph">
    <w:name w:val="Captioned Figure"/>
    <w:basedOn w:val="Figure"/>
    <w:pPr>
      <w:keepNext/>
    </w:pPr>
    <w:rPr>
      <w:rFonts w:eastAsia="宋体"/>
    </w:rPr>
  </w:style>
  <w:style w:customStyle="1" w:styleId="BodyTextChar" w:type="character">
    <w:name w:val="Body Text Char"/>
    <w:basedOn w:val="DefaultParagraphFont"/>
    <w:link w:val="BodyText"/>
    <w:rPr>
      <w:rFonts w:eastAsia="宋体"/>
    </w:rPr>
  </w:style>
  <w:style w:customStyle="1" w:styleId="VerbatimChar" w:type="character">
    <w:name w:val="Verbatim Char"/>
    <w:basedOn w:val="BodyTextChar"/>
    <w:rPr>
      <w:rFonts w:ascii="Consolas" w:hAnsi="Consolas" w:eastAsia="宋体"/>
      <w:sz w:val="22"/>
    </w:rPr>
  </w:style>
  <w:style w:customStyle="1" w:styleId="SectionNumber" w:type="character">
    <w:name w:val="Section Number"/>
    <w:basedOn w:val="BodyTextChar"/>
    <w:rPr>
      <w:rFonts w:eastAsia="宋体"/>
    </w:rPr>
  </w:style>
  <w:style w:styleId="FootnoteReference" w:type="character">
    <w:name w:val="Footnote Reference"/>
    <w:basedOn w:val="BodyTextChar"/>
    <w:rPr>
      <w:vertAlign w:val="superscript"/>
      <w:rFonts w:eastAsia="宋体"/>
    </w:rPr>
  </w:style>
  <w:style w:styleId="Hyperlink" w:type="character">
    <w:name w:val="Hyperlink"/>
    <w:basedOn w:val="BodyTextChar"/>
    <w:rPr>
      <w:color w:themeColor="accent1" w:val="4F81BD"/>
      <w:rFonts w:eastAsia="宋体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宋体"/>
    </w:rPr>
  </w:style>
  <w:style w:type="character" w:customStyle="1" w:styleId="KeywordTok">
    <w:name w:val="KeywordTok"/>
    <w:basedOn w:val="VerbatimChar"/>
    <w:rPr>
      <w:color w:val="007020"/>
      <w:b/>
      <w:rFonts w:eastAsia="宋体"/>
    </w:rPr>
  </w:style>
  <w:style w:type="character" w:customStyle="1" w:styleId="DataTypeTok">
    <w:name w:val="DataTypeTok"/>
    <w:basedOn w:val="VerbatimChar"/>
    <w:rPr>
      <w:color w:val="902000"/>
      <w:rFonts w:eastAsia="宋体"/>
    </w:rPr>
  </w:style>
  <w:style w:type="character" w:customStyle="1" w:styleId="DecValTok">
    <w:name w:val="DecValTok"/>
    <w:basedOn w:val="VerbatimChar"/>
    <w:rPr>
      <w:color w:val="40a070"/>
      <w:rFonts w:eastAsia="宋体"/>
    </w:rPr>
  </w:style>
  <w:style w:type="character" w:customStyle="1" w:styleId="BaseNTok">
    <w:name w:val="BaseNTok"/>
    <w:basedOn w:val="VerbatimChar"/>
    <w:rPr>
      <w:color w:val="40a070"/>
      <w:rFonts w:eastAsia="宋体"/>
    </w:rPr>
  </w:style>
  <w:style w:type="character" w:customStyle="1" w:styleId="FloatTok">
    <w:name w:val="FloatTok"/>
    <w:basedOn w:val="VerbatimChar"/>
    <w:rPr>
      <w:color w:val="40a070"/>
      <w:rFonts w:eastAsia="宋体"/>
    </w:rPr>
  </w:style>
  <w:style w:type="character" w:customStyle="1" w:styleId="ConstantTok">
    <w:name w:val="ConstantTok"/>
    <w:basedOn w:val="VerbatimChar"/>
    <w:rPr>
      <w:color w:val="880000"/>
      <w:rFonts w:eastAsia="宋体"/>
    </w:rPr>
  </w:style>
  <w:style w:type="character" w:customStyle="1" w:styleId="CharTok">
    <w:name w:val="CharTok"/>
    <w:basedOn w:val="VerbatimChar"/>
    <w:rPr>
      <w:color w:val="4070a0"/>
      <w:rFonts w:eastAsia="宋体"/>
    </w:rPr>
  </w:style>
  <w:style w:type="character" w:customStyle="1" w:styleId="SpecialCharTok">
    <w:name w:val="SpecialCharTok"/>
    <w:basedOn w:val="VerbatimChar"/>
    <w:rPr>
      <w:color w:val="4070a0"/>
      <w:rFonts w:eastAsia="宋体"/>
    </w:rPr>
  </w:style>
  <w:style w:type="character" w:customStyle="1" w:styleId="StringTok">
    <w:name w:val="StringTok"/>
    <w:basedOn w:val="VerbatimChar"/>
    <w:rPr>
      <w:color w:val="4070a0"/>
      <w:rFonts w:eastAsia="宋体"/>
    </w:rPr>
  </w:style>
  <w:style w:type="character" w:customStyle="1" w:styleId="VerbatimStringTok">
    <w:name w:val="VerbatimStringTok"/>
    <w:basedOn w:val="VerbatimChar"/>
    <w:rPr>
      <w:color w:val="4070a0"/>
      <w:rFonts w:eastAsia="宋体"/>
    </w:rPr>
  </w:style>
  <w:style w:type="character" w:customStyle="1" w:styleId="SpecialStringTok">
    <w:name w:val="SpecialStringTok"/>
    <w:basedOn w:val="VerbatimChar"/>
    <w:rPr>
      <w:color w:val="bb6688"/>
      <w:rFonts w:eastAsia="宋体"/>
    </w:rPr>
  </w:style>
  <w:style w:type="character" w:customStyle="1" w:styleId="ImportTok">
    <w:name w:val="ImportTok"/>
    <w:basedOn w:val="VerbatimChar"/>
    <w:rPr>
      <w:color w:val="008000"/>
      <w:b/>
      <w:rFonts w:eastAsia="宋体"/>
    </w:rPr>
  </w:style>
  <w:style w:type="character" w:customStyle="1" w:styleId="CommentTok">
    <w:name w:val="CommentTok"/>
    <w:basedOn w:val="VerbatimChar"/>
    <w:rPr>
      <w:color w:val="60a0b0"/>
      <w:i/>
      <w:rFonts w:eastAsia="宋体"/>
    </w:rPr>
  </w:style>
  <w:style w:type="character" w:customStyle="1" w:styleId="DocumentationTok">
    <w:name w:val="DocumentationTok"/>
    <w:basedOn w:val="VerbatimChar"/>
    <w:rPr>
      <w:color w:val="ba2121"/>
      <w:i/>
      <w:rFonts w:eastAsia="宋体"/>
    </w:rPr>
  </w:style>
  <w:style w:type="character" w:customStyle="1" w:styleId="AnnotationTok">
    <w:name w:val="AnnotationTok"/>
    <w:basedOn w:val="VerbatimChar"/>
    <w:rPr>
      <w:color w:val="60a0b0"/>
      <w:b/>
      <w:i/>
      <w:rFonts w:eastAsia="宋体"/>
    </w:rPr>
  </w:style>
  <w:style w:type="character" w:customStyle="1" w:styleId="CommentVarTok">
    <w:name w:val="CommentVarTok"/>
    <w:basedOn w:val="VerbatimChar"/>
    <w:rPr>
      <w:color w:val="60a0b0"/>
      <w:b/>
      <w:i/>
      <w:rFonts w:eastAsia="宋体"/>
    </w:rPr>
  </w:style>
  <w:style w:type="character" w:customStyle="1" w:styleId="OtherTok">
    <w:name w:val="OtherTok"/>
    <w:basedOn w:val="VerbatimChar"/>
    <w:rPr>
      <w:color w:val="007020"/>
      <w:rFonts w:eastAsia="宋体"/>
    </w:rPr>
  </w:style>
  <w:style w:type="character" w:customStyle="1" w:styleId="FunctionTok">
    <w:name w:val="FunctionTok"/>
    <w:basedOn w:val="VerbatimChar"/>
    <w:rPr>
      <w:color w:val="06287e"/>
      <w:rFonts w:eastAsia="宋体"/>
    </w:rPr>
  </w:style>
  <w:style w:type="character" w:customStyle="1" w:styleId="VariableTok">
    <w:name w:val="VariableTok"/>
    <w:basedOn w:val="VerbatimChar"/>
    <w:rPr>
      <w:color w:val="19177c"/>
      <w:rFonts w:eastAsia="宋体"/>
    </w:rPr>
  </w:style>
  <w:style w:type="character" w:customStyle="1" w:styleId="ControlFlowTok">
    <w:name w:val="ControlFlowTok"/>
    <w:basedOn w:val="VerbatimChar"/>
    <w:rPr>
      <w:color w:val="007020"/>
      <w:b/>
      <w:rFonts w:eastAsia="宋体"/>
    </w:rPr>
  </w:style>
  <w:style w:type="character" w:customStyle="1" w:styleId="OperatorTok">
    <w:name w:val="OperatorTok"/>
    <w:basedOn w:val="VerbatimChar"/>
    <w:rPr>
      <w:color w:val="666666"/>
      <w:rFonts w:eastAsia="宋体"/>
    </w:rPr>
  </w:style>
  <w:style w:type="character" w:customStyle="1" w:styleId="BuiltInTok">
    <w:name w:val="BuiltInTok"/>
    <w:basedOn w:val="VerbatimChar"/>
    <w:rPr>
      <w:color w:val="008000"/>
      <w:rFonts w:eastAsia="宋体"/>
    </w:rPr>
  </w:style>
  <w:style w:type="character" w:customStyle="1" w:styleId="ExtensionTok">
    <w:name w:val="ExtensionTok"/>
    <w:basedOn w:val="VerbatimChar"/>
    <w:rPr>
      <w:rFonts w:eastAsia="宋体"/>
    </w:rPr>
  </w:style>
  <w:style w:type="character" w:customStyle="1" w:styleId="PreprocessorTok">
    <w:name w:val="PreprocessorTok"/>
    <w:basedOn w:val="VerbatimChar"/>
    <w:rPr>
      <w:color w:val="bc7a00"/>
      <w:rFonts w:eastAsia="宋体"/>
    </w:rPr>
  </w:style>
  <w:style w:type="character" w:customStyle="1" w:styleId="AttributeTok">
    <w:name w:val="AttributeTok"/>
    <w:basedOn w:val="VerbatimChar"/>
    <w:rPr>
      <w:color w:val="7d9029"/>
      <w:rFonts w:eastAsia="宋体"/>
    </w:rPr>
  </w:style>
  <w:style w:type="character" w:customStyle="1" w:styleId="RegionMarkerTok">
    <w:name w:val="RegionMarkerTok"/>
    <w:basedOn w:val="VerbatimChar"/>
    <w:rPr>
      <w:rFonts w:eastAsia="宋体"/>
    </w:rPr>
  </w:style>
  <w:style w:type="character" w:customStyle="1" w:styleId="InformationTok">
    <w:name w:val="InformationTok"/>
    <w:basedOn w:val="VerbatimChar"/>
    <w:rPr>
      <w:color w:val="60a0b0"/>
      <w:b/>
      <w:i/>
      <w:rFonts w:eastAsia="宋体"/>
    </w:rPr>
  </w:style>
  <w:style w:type="character" w:customStyle="1" w:styleId="WarningTok">
    <w:name w:val="WarningTok"/>
    <w:basedOn w:val="VerbatimChar"/>
    <w:rPr>
      <w:color w:val="60a0b0"/>
      <w:b/>
      <w:i/>
      <w:rFonts w:eastAsia="宋体"/>
    </w:rPr>
  </w:style>
  <w:style w:type="character" w:customStyle="1" w:styleId="AlertTok">
    <w:name w:val="AlertTok"/>
    <w:basedOn w:val="VerbatimChar"/>
    <w:rPr>
      <w:color w:val="ff0000"/>
      <w:b/>
      <w:rFonts w:eastAsia="宋体"/>
    </w:rPr>
  </w:style>
  <w:style w:type="character" w:customStyle="1" w:styleId="ErrorTok">
    <w:name w:val="ErrorTok"/>
    <w:basedOn w:val="VerbatimChar"/>
    <w:rPr>
      <w:color w:val="ff0000"/>
      <w:b/>
      <w:rFonts w:eastAsia="宋体"/>
    </w:rPr>
  </w:style>
  <w:style w:type="character" w:customStyle="1" w:styleId="NormalTok">
    <w:name w:val="NormalTok"/>
    <w:basedOn w:val="VerbatimChar"/>
    <w:rPr>
      <w:rFonts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2026-10-19T07:08:19Z</dcterms:created>
  <dcterms:modified xsi:type="dcterms:W3CDTF">2026-10-19T07:08:19Z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