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铁人三项从业者的求职与职业流动文献梳理与研究规划"/>
    <w:p>
      <w:pPr>
        <w:pStyle w:val="Heading1"/>
      </w:pPr>
      <w:r>
        <w:t xml:space="preserve">“</w:t>
      </w:r>
      <w:r>
        <w:t xml:space="preserve">铁人三项</w:t>
      </w:r>
      <w:r>
        <w:t xml:space="preserve">”</w:t>
      </w:r>
      <w:r>
        <w:t xml:space="preserve">从业者的求职与职业流动：文献梳理与研究规划</w:t>
      </w:r>
    </w:p>
    <w:p>
      <w:pPr>
        <w:pStyle w:val="FirstParagraph"/>
      </w:pPr>
      <w:r>
        <w:t xml:space="preserve">编写：2026-10-14　对象：外卖骑手（含即时配送、跑腿）、快递员、网约车司机，即网上所说的”铁人三项”</w:t>
      </w:r>
      <w:r>
        <w:t xml:space="preserve"> </w:t>
      </w:r>
      <w:r>
        <w:t xml:space="preserve">数据设想：联通智慧足迹 DaaS 的 APP 使用、用户属性、驻留地数据，辅以问卷调查</w:t>
      </w:r>
    </w:p>
    <w:p>
      <w:r>
        <w:pict>
          <v:rect style="width:0;height:1.5pt" o:hralign="center" o:hrstd="t" o:hr="t"/>
        </w:pict>
      </w:r>
    </w:p>
    <w:bookmarkStart w:id="20" w:name="结论先行"/>
    <w:p>
      <w:pPr>
        <w:pStyle w:val="Heading2"/>
      </w:pPr>
      <w:r>
        <w:t xml:space="preserve">0 结论先行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有人研究过相邻问题，但没人用你设想的方式研究过，可以形成论文。</w:t>
      </w:r>
    </w:p>
    <w:p>
      <w:pPr>
        <w:numPr>
          <w:ilvl w:val="1"/>
          <w:numId w:val="1002"/>
        </w:numPr>
        <w:pStyle w:val="Compact"/>
      </w:pPr>
      <w:r>
        <w:t xml:space="preserve">关于”骑手从哪来、干多久、往哪去”，国内已有不少</w:t>
      </w:r>
      <w:r>
        <w:rPr>
          <w:bCs/>
          <w:b/>
        </w:rPr>
        <w:t xml:space="preserve">问卷调查</w:t>
      </w:r>
      <w:r>
        <w:t xml:space="preserve">：美团研究院、孙萍《过渡劳动》、南开 4.1 万份调查、团中央与社科院调查。这些调查都是横截面、回忆式、只覆盖单一平台。</w:t>
      </w:r>
    </w:p>
    <w:p>
      <w:pPr>
        <w:numPr>
          <w:ilvl w:val="1"/>
          <w:numId w:val="1002"/>
        </w:numPr>
        <w:pStyle w:val="Compact"/>
      </w:pPr>
      <w:r>
        <w:t xml:space="preserve">国外有用</w:t>
      </w:r>
      <w:r>
        <w:rPr>
          <w:bCs/>
          <w:b/>
        </w:rPr>
        <w:t xml:space="preserve">财务或税务数据</w:t>
      </w:r>
      <w:r>
        <w:t xml:space="preserve">追踪”失业后转做网约车”的研究：Koustas 2019、Fos 等 2019、Huang 等 2020、Garin 等。但它们看不到</w:t>
      </w:r>
      <w:r>
        <w:rPr>
          <w:bCs/>
          <w:b/>
        </w:rPr>
        <w:t xml:space="preserve">求职行为</w:t>
      </w:r>
      <w:r>
        <w:t xml:space="preserve">，也看不到工作地点。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用手机 APP 使用记录同时观察”在跑单的人是否还在用求职软件、之前在哪上班、之后回没回到固定岗位”</w:t>
      </w:r>
      <w:r>
        <w:t xml:space="preserve">，检索范围内没有发现。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最有价值的问题是：平台工作到底是跳板、缓冲垫还是陷阱？</w:t>
      </w:r>
    </w:p>
    <w:p>
      <w:pPr>
        <w:numPr>
          <w:ilvl w:val="1"/>
          <w:numId w:val="1003"/>
        </w:numPr>
        <w:pStyle w:val="Compact"/>
      </w:pPr>
      <w:r>
        <w:t xml:space="preserve">跳板：边跑单边找工作，之后回到正式岗位；</w:t>
      </w:r>
    </w:p>
    <w:p>
      <w:pPr>
        <w:numPr>
          <w:ilvl w:val="1"/>
          <w:numId w:val="1003"/>
        </w:numPr>
        <w:pStyle w:val="Compact"/>
      </w:pPr>
      <w:r>
        <w:t xml:space="preserve">缓冲垫：失业后的临时收入来源；</w:t>
      </w:r>
    </w:p>
    <w:p>
      <w:pPr>
        <w:numPr>
          <w:ilvl w:val="1"/>
          <w:numId w:val="1003"/>
        </w:numPr>
        <w:pStyle w:val="Compact"/>
      </w:pPr>
      <w:r>
        <w:t xml:space="preserve">陷阱：跑得越久，越回不去。</w:t>
      </w:r>
    </w:p>
    <w:p>
      <w:pPr>
        <w:numPr>
          <w:ilvl w:val="0"/>
          <w:numId w:val="1000"/>
        </w:numPr>
        <w:pStyle w:val="Compact"/>
      </w:pPr>
      <w:r>
        <w:t xml:space="preserve">这是劳动经济学和劳动社会学的经典问题，套在中国平台经济上很新，可以投 SCI/SSCI。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数据是唯一的硬约束。</w:t>
      </w:r>
    </w:p>
    <w:p>
      <w:pPr>
        <w:numPr>
          <w:ilvl w:val="1"/>
          <w:numId w:val="1004"/>
        </w:numPr>
        <w:pStyle w:val="Compact"/>
      </w:pPr>
      <w:r>
        <w:t xml:space="preserve">现有联通合同已在 2020 年 5 月到期，约定的数据只有 2019 年 3、6、9、12 月四个月。要做”转变过程”和”持续多久”，需要</w:t>
      </w:r>
      <w:r>
        <w:rPr>
          <w:bCs/>
          <w:b/>
        </w:rPr>
        <w:t xml:space="preserve">新的连续月度数据</w:t>
      </w:r>
      <w:r>
        <w:t xml:space="preserve">，最好覆盖 2023—2025 年，这样还能捕捉 2025 年外卖大战。</w:t>
      </w:r>
    </w:p>
    <w:p>
      <w:pPr>
        <w:numPr>
          <w:ilvl w:val="1"/>
          <w:numId w:val="1004"/>
        </w:numPr>
        <w:pStyle w:val="Compact"/>
      </w:pPr>
      <w:r>
        <w:t xml:space="preserve">这需要领导出面，通过院里与百度、联通的大数据联合实验室，或签新合同来解决。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有没有回到原岗位的需求</w:t>
      </w:r>
      <w:r>
        <w:rPr>
          <w:bCs/>
          <w:b/>
        </w:rPr>
        <w:t xml:space="preserve">”</w:t>
      </w:r>
      <w:r>
        <w:rPr>
          <w:bCs/>
          <w:b/>
        </w:rPr>
        <w:t xml:space="preserve">“</w:t>
      </w:r>
      <w:r>
        <w:rPr>
          <w:bCs/>
          <w:b/>
        </w:rPr>
        <w:t xml:space="preserve">想接什么专业兼职</w:t>
      </w:r>
      <w:r>
        <w:rPr>
          <w:bCs/>
          <w:b/>
        </w:rPr>
        <w:t xml:space="preserve">”</w:t>
      </w:r>
      <w:r>
        <w:rPr>
          <w:bCs/>
          <w:b/>
        </w:rPr>
        <w:t xml:space="preserve">属于意愿，APP 数据看不到，必须配一份问卷。</w:t>
      </w:r>
    </w:p>
    <w:p>
      <w:pPr>
        <w:numPr>
          <w:ilvl w:val="1"/>
          <w:numId w:val="1005"/>
        </w:numPr>
        <w:pStyle w:val="Compact"/>
      </w:pPr>
      <w:r>
        <w:t xml:space="preserve">APP 数据只能看到”实际行为”：有没有用求职 APP、有没有回到固定工作地。</w:t>
      </w:r>
    </w:p>
    <w:p>
      <w:pPr>
        <w:numPr>
          <w:ilvl w:val="1"/>
          <w:numId w:val="1005"/>
        </w:numPr>
        <w:pStyle w:val="Compact"/>
      </w:pPr>
      <w:r>
        <w:t xml:space="preserve">本机的联通 APP 表里</w:t>
      </w:r>
      <w:r>
        <w:rPr>
          <w:bCs/>
          <w:b/>
        </w:rPr>
        <w:t xml:space="preserve">没有找到</w:t>
      </w:r>
      <w:r>
        <w:t xml:space="preserve">猪八戒、程序员客栈这类专业接单平台，只有斗米、兼职猫这类以低技能为主的兼职 APP。所以”接开发等擅长的兼职”主要靠问卷回答。</w:t>
      </w:r>
    </w:p>
    <w:p>
      <w:pPr>
        <w:numPr>
          <w:ilvl w:val="1"/>
          <w:numId w:val="1005"/>
        </w:numPr>
        <w:pStyle w:val="Compact"/>
      </w:pPr>
      <w:r>
        <w:t xml:space="preserve">不过拉勾、猎聘、脉脉、LinkedIn 这类</w:t>
      </w:r>
      <w:r>
        <w:rPr>
          <w:bCs/>
          <w:b/>
        </w:rPr>
        <w:t xml:space="preserve">白领求职渠道</w:t>
      </w:r>
      <w:r>
        <w:t xml:space="preserve">可以作为”原来是白领、专业人员”的行为信号，网上”程序员送外卖”的讨论正好可以用数据来检验。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建议做法：</w:t>
      </w:r>
      <w:r>
        <w:t xml:space="preserve">”大数据加问卷”混合设计，产出两篇。</w:t>
      </w:r>
    </w:p>
    <w:p>
      <w:pPr>
        <w:numPr>
          <w:ilvl w:val="1"/>
          <w:numId w:val="1006"/>
        </w:numPr>
        <w:pStyle w:val="Compact"/>
      </w:pPr>
      <w:r>
        <w:t xml:space="preserve">一篇 SCI：基于月度面板数据，研究进入、持续和退出，检验跳板还是陷阱；</w:t>
      </w:r>
    </w:p>
    <w:p>
      <w:pPr>
        <w:numPr>
          <w:ilvl w:val="1"/>
          <w:numId w:val="1006"/>
        </w:numPr>
        <w:pStyle w:val="Compact"/>
      </w:pPr>
      <w:r>
        <w:t xml:space="preserve">一篇中文核心：以问卷为主，研究来源、求职、意愿和技能。</w:t>
      </w:r>
    </w:p>
    <w:p>
      <w:pPr>
        <w:numPr>
          <w:ilvl w:val="0"/>
          <w:numId w:val="1000"/>
        </w:numPr>
        <w:pStyle w:val="Compact"/>
      </w:pPr>
      <w:r>
        <w:t xml:space="preserve">问卷不依赖联通数据，可以先启动。</w:t>
      </w:r>
    </w:p>
    <w:p>
      <w:r>
        <w:pict>
          <v:rect style="width:0;height:1.5pt" o:hralign="center" o:hrstd="t" o:hr="t"/>
        </w:pict>
      </w:r>
    </w:p>
    <w:bookmarkEnd w:id="20"/>
    <w:bookmarkStart w:id="21" w:name="把你的想法转成可检验的研究问题"/>
    <w:p>
      <w:pPr>
        <w:pStyle w:val="Heading2"/>
      </w:pPr>
      <w:r>
        <w:t xml:space="preserve">1 把你的想法转成可检验的研究问题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你的想法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研究问题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能否用 APP 数据回答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有多少人手机上有 BOSS 直聘这类软件、还在找工作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平台从业者中</w:t>
            </w:r>
            <w:r>
              <w:rPr>
                <w:bCs/>
                <w:b/>
                <w:sz w:val="18"/>
              </w:rPr>
              <w:t xml:space="preserve">边干边找</w:t>
            </w:r>
            <w:r>
              <w:rPr>
                <w:sz w:val="18"/>
              </w:rPr>
              <w:t xml:space="preserve">的比例和强度有多大？用的是蓝领渠道还是白领渠道？与固定岗位劳动者相比如何？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能：求职 APP 当月是否使用、使用时长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他们是如何转变过来的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进入平台前 1—6 个月处于什么状态：有固定工作地（在哪类地方上班：工厂、写字楼、餐饮商业、工地）、无固定工作（居家），还是刚来北京？进入前求职强度有没有上升？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能：驻留表中工作日白天的固定停留点加地块用地性质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他们持续了多久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平台工作持续多少个月（生存曲线）？谁更容易退出？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能：需要连续月度数据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是否有回到原工作岗位的需求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行为上：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退出后去了哪里，是回到固定工作地（是否同类型、同区域），转做另一种平台工作，离开北京，还是无固定工作？</w:t>
            </w:r>
            <w:r>
              <w:rPr>
                <w:bCs/>
                <w:b/>
                <w:sz w:val="18"/>
              </w:rPr>
              <w:t xml:space="preserve">意愿上：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是否想回去？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行为能，意愿要靠问卷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有没有兼职 APP，准备接自己擅长的兼职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平台从业者使用兼职 APP 的比例；拥有专业技能（开发、设计等）的人是否在接专业兼职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兼职 APP 能看到；专业兼职主要靠问卷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铁人三项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之间怎么切换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外卖、快递、网约车之间的</w:t>
            </w:r>
            <w:r>
              <w:rPr>
                <w:bCs/>
                <w:b/>
                <w:sz w:val="18"/>
              </w:rPr>
              <w:t xml:space="preserve">转换和兼做</w:t>
            </w:r>
            <w:r>
              <w:rPr>
                <w:sz w:val="18"/>
              </w:rPr>
              <w:t xml:space="preserve">比例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核心检验（跳板还是陷阱）：</w:t>
      </w:r>
      <w:r>
        <w:t xml:space="preserve"> </w:t>
      </w:r>
      <w:r>
        <w:t xml:space="preserve">- 在跑单期间更积极使用求职 APP 的人，之后回到固定岗位的概率是否更高？若是，支持”跳板”。</w:t>
      </w:r>
      <w:r>
        <w:t xml:space="preserve"> </w:t>
      </w:r>
      <w:r>
        <w:t xml:space="preserve">- 回到固定岗位的概率是否随平台工龄增加而下降？若是，支持”陷阱”或”锁定”。</w:t>
      </w:r>
      <w:r>
        <w:t xml:space="preserve"> </w:t>
      </w:r>
      <w:r>
        <w:t xml:space="preserve">- 35 岁以上、45 岁以上的中年群体是否明显不同？对应网上”中年失业铁人三项”的说法。</w:t>
      </w:r>
    </w:p>
    <w:p>
      <w:r>
        <w:pict>
          <v:rect style="width:0;height:1.5pt" o:hralign="center" o:hrstd="t" o:hr="t"/>
        </w:pict>
      </w:r>
    </w:p>
    <w:bookmarkEnd w:id="21"/>
    <w:bookmarkStart w:id="27" w:name="相关研究做到了什么程度"/>
    <w:p>
      <w:pPr>
        <w:pStyle w:val="Heading2"/>
      </w:pPr>
      <w:r>
        <w:t xml:space="preserve">2 相关研究做到了什么程度</w:t>
      </w:r>
    </w:p>
    <w:bookmarkStart w:id="22" w:name="来源与去向国内以问卷为主口径不一"/>
    <w:p>
      <w:pPr>
        <w:pStyle w:val="Heading3"/>
      </w:pPr>
      <w:r>
        <w:t xml:space="preserve">2.1 来源与去向：国内以问卷为主，口径不一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主要发现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美团研究院问卷（约 2021 年发布）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骑手问卷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当骑手之前：24.8% 在工厂打工，6.9% 在建筑或装修工地，0.5% 务农，67.8% 在餐饮、商贸等第三产业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新京报智库（2020）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1046 份，北京、天津、青岛、深圳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上一份工作来自餐饮业的占 29.83%，个体经营占 19.89%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饿了么（2020 年疫情期间）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疫情期间新增骑手约 40% 来自制造业；社科院学者认为属于停工特殊期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团中央与社科院新职业群体调查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6196 名骑手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约 54.7% 属于向上的职业流动，主要从产业工人、农民转入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孙萍《过渡劳动》（专著，7 年 19 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北京外卖员调查（N=1264）加田野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12.9%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愿意一直送外卖；</w:t>
            </w:r>
            <w:r>
              <w:rPr>
                <w:bCs/>
                <w:b/>
                <w:sz w:val="18"/>
              </w:rPr>
              <w:t xml:space="preserve">超八成</w:t>
            </w:r>
            <w:r>
              <w:rPr>
                <w:sz w:val="18"/>
              </w:rPr>
              <w:t xml:space="preserve">打算两年内换工作；站点一年流转率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70%—90%</w:t>
            </w:r>
            <w:r>
              <w:rPr>
                <w:sz w:val="18"/>
              </w:rPr>
              <w:t xml:space="preserve">；访谈称”一旦跳入，很难再回到工厂流水线”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南开大学《外卖骑手生活世界研究报告》（2025）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4.1 万份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平均从业时间</w:t>
            </w:r>
            <w:r>
              <w:rPr>
                <w:bCs/>
                <w:b/>
                <w:sz w:val="18"/>
              </w:rPr>
              <w:t xml:space="preserve">不足 12 个月</w:t>
            </w:r>
            <w:r>
              <w:rPr>
                <w:sz w:val="18"/>
              </w:rPr>
              <w:t xml:space="preserve">，是”职业中转站”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基于 M 外卖公司数据的报告（2026）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从业不足半年的占 41.01%，1—3 年 24.03%，5 年以上 8.66%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美团骑手年度职业报告（2024—2025）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2024 年月均 336.3 万名骑手有收入，同比 +16.08%；45 岁以上首次超过 10%；全年接单 260 天以上的仅约 11%（2023 年口径）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崔岩（2021，《山东社会科学》）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社科院全国调查，倾向值匹配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做骑手可能</w:t>
            </w:r>
            <w:r>
              <w:rPr>
                <w:bCs/>
                <w:b/>
                <w:sz w:val="18"/>
              </w:rPr>
              <w:t xml:space="preserve">增加</w:t>
            </w:r>
            <w:r>
              <w:rPr>
                <w:sz w:val="18"/>
              </w:rPr>
              <w:t xml:space="preserve">就业脆弱性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滴滴（2016—2017）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平台调研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来自煤炭、钢铁等去产能行业的司机超百万，其中 14.6% 已下岗转为全职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网约车司机调查（约 2025，13 省市 5400 余人，机构待核）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77% 在失业后转入网约车；62.8% 是家庭唯一就业者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判断：</w:t>
      </w:r>
      <w:r>
        <w:t xml:space="preserve"> </w:t>
      </w:r>
      <w:r>
        <w:t xml:space="preserve">“</w:t>
      </w:r>
      <w:r>
        <w:t xml:space="preserve">来源</w:t>
      </w:r>
      <w:r>
        <w:t xml:space="preserve">”</w:t>
      </w:r>
      <w:r>
        <w:t xml:space="preserve">和”流动性高”已有共识，但存在三个短板：</w:t>
      </w:r>
      <w:r>
        <w:t xml:space="preserve"> </w:t>
      </w:r>
      <w:r>
        <w:t xml:space="preserve">- 全部是</w:t>
      </w:r>
      <w:r>
        <w:rPr>
          <w:bCs/>
          <w:b/>
        </w:rPr>
        <w:t xml:space="preserve">回忆式</w:t>
      </w:r>
      <w:r>
        <w:t xml:space="preserve">问卷，没有追踪同一个人；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只看单一平台</w:t>
      </w:r>
      <w:r>
        <w:t xml:space="preserve">，看不到”铁人三项”之间的切换；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看不到退出后去了哪里</w:t>
      </w:r>
      <w:r>
        <w:t xml:space="preserve">，只有孙萍的访谈判断。</w:t>
      </w:r>
    </w:p>
    <w:bookmarkEnd w:id="22"/>
    <w:bookmarkStart w:id="23" w:name="跳板缓冲垫还是陷阱国外用行政或财务数据国内几乎空白"/>
    <w:p>
      <w:pPr>
        <w:pStyle w:val="Heading3"/>
      </w:pPr>
      <w:r>
        <w:t xml:space="preserve">2.2 跳板、缓冲垫还是陷阱：国外用行政或财务数据，国内几乎空白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Koustas（2019，</w:t>
      </w:r>
      <w:r>
        <w:rPr>
          <w:iCs/>
          <w:i/>
          <w:bCs/>
          <w:b/>
        </w:rPr>
        <w:t xml:space="preserve">AEA Papers and Proceedings</w:t>
      </w:r>
      <w:r>
        <w:rPr>
          <w:bCs/>
          <w:b/>
        </w:rPr>
        <w:t xml:space="preserve"> </w:t>
      </w:r>
      <w:r>
        <w:rPr>
          <w:bCs/>
          <w:b/>
        </w:rPr>
        <w:t xml:space="preserve">109: 367–71）</w:t>
      </w:r>
      <w:r>
        <w:t xml:space="preserve">：用个人理财 APP 数据追踪进入网约车前后的收入和资产，发现进入前收入、资产有明显的</w:t>
      </w:r>
      <w:r>
        <w:rPr>
          <w:bCs/>
          <w:b/>
        </w:rPr>
        <w:t xml:space="preserve">前期下滑</w:t>
      </w:r>
      <w:r>
        <w:t xml:space="preserve">，也就是先受冲击、再去跑车。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Fos、Hamdi、Kalda、Nickerson（2019，CEPR DP13885）</w:t>
      </w:r>
      <w:r>
        <w:t xml:space="preserve">：Uber 进入城市后，有车可开的被裁员工申请失业保险、借债和违约都更少，平台起到”私人保险”的作用。作者提出两种机制：短期过渡的”桥”，或者当作普通雇主。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Huang、Burtch、Hong、Pavlou（2020，</w:t>
      </w:r>
      <w:r>
        <w:rPr>
          <w:iCs/>
          <w:i/>
          <w:bCs/>
          <w:b/>
        </w:rPr>
        <w:t xml:space="preserve">ISR</w:t>
      </w:r>
      <w:r>
        <w:rPr>
          <w:bCs/>
          <w:b/>
        </w:rPr>
        <w:t xml:space="preserve"> </w:t>
      </w:r>
      <w:r>
        <w:rPr>
          <w:bCs/>
          <w:b/>
        </w:rPr>
        <w:t xml:space="preserve">31(2)）</w:t>
      </w:r>
      <w:r>
        <w:t xml:space="preserve">：县域失业率上升，线上零工的参与随之增加。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Garin、Jackson、Koustas 等（NBER，税务数据 2012—2023）</w:t>
      </w:r>
      <w:r>
        <w:t xml:space="preserve">：多数平台工作是</w:t>
      </w:r>
      <w:r>
        <w:rPr>
          <w:bCs/>
          <w:b/>
        </w:rPr>
        <w:t xml:space="preserve">副业</w:t>
      </w:r>
      <w:r>
        <w:t xml:space="preserve">，主要收入仍来自传统工作；平台工作对整体劳动市场的冲击有限。</w:t>
      </w:r>
    </w:p>
    <w:p>
      <w:pPr>
        <w:numPr>
          <w:ilvl w:val="0"/>
          <w:numId w:val="1007"/>
        </w:numPr>
        <w:pStyle w:val="Compact"/>
      </w:pPr>
      <w:r>
        <w:t xml:space="preserve">经典的”临时工作是跳板还是死胡同”文献：Booth 等（2002）、Autor &amp; Houseman（2010），可作为理论框架。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国内：</w:t>
      </w:r>
      <w:r>
        <w:t xml:space="preserve"> </w:t>
      </w:r>
      <w:r>
        <w:t xml:space="preserve">只有崔岩的倾向值匹配和孙萍的定性判断，</w:t>
      </w:r>
      <w:r>
        <w:rPr>
          <w:bCs/>
          <w:b/>
        </w:rPr>
        <w:t xml:space="preserve">没有用追踪数据检验平台工作之后能否回到正式就业的研究</w:t>
      </w:r>
      <w:r>
        <w:t xml:space="preserve">。CFPS 有”非稳定就业者能否进入中等收入群体”一类研究（何文炯、王中汉 2022），但没有把平台工作单独识别出来。</w:t>
      </w:r>
    </w:p>
    <w:bookmarkEnd w:id="23"/>
    <w:bookmarkStart w:id="24" w:name="求职行为怎么测线上数据已是主流方法但没人用在平台工人身上"/>
    <w:p>
      <w:pPr>
        <w:pStyle w:val="Heading3"/>
      </w:pPr>
      <w:r>
        <w:t xml:space="preserve">2.3 求职行为怎么测：线上数据已是主流方法，但没人用在平台工人身上</w:t>
      </w:r>
    </w:p>
    <w:p>
      <w:pPr>
        <w:numPr>
          <w:ilvl w:val="0"/>
          <w:numId w:val="1008"/>
        </w:numPr>
        <w:pStyle w:val="Compact"/>
      </w:pPr>
      <w:r>
        <w:t xml:space="preserve">Faberman &amp; Kudlyak（2019，</w:t>
      </w:r>
      <w:r>
        <w:rPr>
          <w:iCs/>
          <w:i/>
        </w:rPr>
        <w:t xml:space="preserve">AEJ: Macro</w:t>
      </w:r>
      <w:r>
        <w:t xml:space="preserve">）：用招聘网站的投递记录测求职强度。</w:t>
      </w:r>
    </w:p>
    <w:p>
      <w:pPr>
        <w:numPr>
          <w:ilvl w:val="0"/>
          <w:numId w:val="1008"/>
        </w:numPr>
        <w:pStyle w:val="Compact"/>
      </w:pPr>
      <w:r>
        <w:t xml:space="preserve">Baker &amp; Fradkin（2017，</w:t>
      </w:r>
      <w:r>
        <w:rPr>
          <w:iCs/>
          <w:i/>
        </w:rPr>
        <w:t xml:space="preserve">REStat</w:t>
      </w:r>
      <w:r>
        <w:t xml:space="preserve">）：用 Google 搜索构建求职强度指数。</w:t>
      </w:r>
    </w:p>
    <w:p>
      <w:pPr>
        <w:numPr>
          <w:ilvl w:val="0"/>
          <w:numId w:val="1008"/>
        </w:numPr>
        <w:pStyle w:val="Compact"/>
      </w:pPr>
      <w:r>
        <w:t xml:space="preserve">Marinescu &amp; Skandalis（2021，</w:t>
      </w:r>
      <w:r>
        <w:rPr>
          <w:iCs/>
          <w:i/>
        </w:rPr>
        <w:t xml:space="preserve">QJE</w:t>
      </w:r>
      <w:r>
        <w:t xml:space="preserve">）：法国行政记录对接求职平台数据，发现失业金到期前一年投递增加至少 50%。</w:t>
      </w:r>
    </w:p>
    <w:p>
      <w:pPr>
        <w:numPr>
          <w:ilvl w:val="0"/>
          <w:numId w:val="1008"/>
        </w:numPr>
        <w:pStyle w:val="Compact"/>
      </w:pPr>
      <w:r>
        <w:t xml:space="preserve">Toole 等（2015，</w:t>
      </w:r>
      <w:r>
        <w:rPr>
          <w:iCs/>
          <w:i/>
        </w:rPr>
        <w:t xml:space="preserve">J. R. Soc. Interface</w:t>
      </w:r>
      <w:r>
        <w:t xml:space="preserve">）：用手机通话记录识别工厂关闭后的失业者。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空白：</w:t>
      </w:r>
      <w:r>
        <w:t xml:space="preserve"> </w:t>
      </w:r>
      <w:r>
        <w:t xml:space="preserve">用手机 APP 使用记录测”在职求职”（on-the-job search），并且针对平台劳动者，检索范围内没有发现。</w:t>
      </w:r>
    </w:p>
    <w:bookmarkEnd w:id="24"/>
    <w:bookmarkStart w:id="25" w:name="学历与技能错配争议大没有可靠数据"/>
    <w:p>
      <w:pPr>
        <w:pStyle w:val="Heading3"/>
      </w:pPr>
      <w:r>
        <w:t xml:space="preserve">2.4 学历与技能错配：争议大，没有可靠数据</w:t>
      </w:r>
    </w:p>
    <w:p>
      <w:pPr>
        <w:numPr>
          <w:ilvl w:val="0"/>
          <w:numId w:val="1009"/>
        </w:numPr>
        <w:pStyle w:val="Compact"/>
      </w:pPr>
      <w:r>
        <w:t xml:space="preserve">美团 2018 年报告：骑手中大专约 13%，本科及以上约 3%。2020 年报道称约 6 万研究生、17 万本科生。</w:t>
      </w:r>
    </w:p>
    <w:p>
      <w:pPr>
        <w:numPr>
          <w:ilvl w:val="0"/>
          <w:numId w:val="1009"/>
        </w:numPr>
        <w:pStyle w:val="Compact"/>
      </w:pPr>
      <w:r>
        <w:t xml:space="preserve">2025—2026 年美团多次辟谣网传的”7 万硕士”</w:t>
      </w:r>
      <w:r>
        <w:t xml:space="preserve">“</w:t>
      </w:r>
      <w:r>
        <w:t xml:space="preserve">本科率 30%</w:t>
      </w:r>
      <w:r>
        <w:t xml:space="preserve">”</w:t>
      </w:r>
      <w:r>
        <w:t xml:space="preserve">，并表示注册不强制提交学历，</w:t>
      </w:r>
      <w:r>
        <w:rPr>
          <w:bCs/>
          <w:b/>
        </w:rPr>
        <w:t xml:space="preserve">平台不掌握骑手学历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也就是说，</w:t>
      </w:r>
      <w:r>
        <w:t xml:space="preserve">“</w:t>
      </w:r>
      <w:r>
        <w:t xml:space="preserve">白领、程序员转行跑单</w:t>
      </w:r>
      <w:r>
        <w:t xml:space="preserve">”</w:t>
      </w:r>
      <w:r>
        <w:t xml:space="preserve">有多普遍，目前</w:t>
      </w:r>
      <w:r>
        <w:rPr>
          <w:bCs/>
          <w:b/>
        </w:rPr>
        <w:t xml:space="preserve">没有可信数据</w:t>
      </w:r>
      <w:r>
        <w:t xml:space="preserve">。用白领求职渠道（拉勾、猎聘、脉脉、LinkedIn）作为行为信号是一个新办法，但要说明它只是代理变量。</w:t>
      </w:r>
    </w:p>
    <w:bookmarkEnd w:id="25"/>
    <w:bookmarkStart w:id="26" w:name="背景岗位饱和与铁人三项"/>
    <w:p>
      <w:pPr>
        <w:pStyle w:val="Heading3"/>
      </w:pPr>
      <w:r>
        <w:t xml:space="preserve">2.5 背景：岗位饱和与”铁人三项”</w:t>
      </w:r>
    </w:p>
    <w:p>
      <w:pPr>
        <w:numPr>
          <w:ilvl w:val="0"/>
          <w:numId w:val="1010"/>
        </w:numPr>
        <w:pStyle w:val="Compact"/>
      </w:pPr>
      <w:r>
        <w:t xml:space="preserve">深圳市交通运输局：2026 年 4 月底全市网约车驾驶员 39.5 万人，日均单车订单仅 13.01 单，已发布”市场饱和”风险提示；重庆、珠海、合肥等地也发过类似提示。</w:t>
      </w:r>
    </w:p>
    <w:p>
      <w:pPr>
        <w:numPr>
          <w:ilvl w:val="0"/>
          <w:numId w:val="1010"/>
        </w:numPr>
        <w:pStyle w:val="Compact"/>
      </w:pPr>
      <w:r>
        <w:t xml:space="preserve">智库估计：2025 年外卖骑手约 1590 万人；京东、美团纳入社保的不足 100 万人。灵活就业约 3.2 亿人（智库口径，有争议）。</w:t>
      </w:r>
    </w:p>
    <w:p>
      <w:pPr>
        <w:numPr>
          <w:ilvl w:val="0"/>
          <w:numId w:val="1010"/>
        </w:numPr>
        <w:pStyle w:val="Compact"/>
      </w:pPr>
      <w:r>
        <w:t xml:space="preserve">这正是问题的现实意义：</w:t>
      </w:r>
      <w:r>
        <w:rPr>
          <w:bCs/>
          <w:b/>
        </w:rPr>
        <w:t xml:space="preserve">如果缓冲垫饱和了，进去的人还出得来吗？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我们的贡献相对已有研究"/>
    <w:p>
      <w:pPr>
        <w:pStyle w:val="Heading2"/>
      </w:pPr>
      <w:r>
        <w:t xml:space="preserve">3 我们的贡献（相对已有研究）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第一次直接测出平台劳动者”边干边找”的程度</w:t>
      </w:r>
      <w:r>
        <w:t xml:space="preserve">，并区分蓝领渠道和白领渠道。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第一次用追踪数据看完整轨迹</w:t>
      </w:r>
      <w:r>
        <w:t xml:space="preserve">：进入前在哪类地方上班，平台工作持续多久，退出后去了哪里。所有国内证据都是回忆式问卷。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跨平台</w:t>
      </w:r>
      <w:r>
        <w:t xml:space="preserve">：把外卖、快递、网约车放在一起，看”铁人三项”之间如何切换。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空间维度</w:t>
      </w:r>
      <w:r>
        <w:t xml:space="preserve">：用工作地的用地类型（工厂、写字楼、工地、商业）推断原职业类型，这是地理学可以贡献给劳动研究的部分。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问卷补上意愿</w:t>
      </w:r>
      <w:r>
        <w:t xml:space="preserve">：是否想回原岗位、有什么专业技能、是否接专业兼职。</w:t>
      </w:r>
    </w:p>
    <w:p>
      <w:r>
        <w:pict>
          <v:rect style="width:0;height:1.5pt" o:hralign="center" o:hrstd="t" o:hr="t"/>
        </w:pict>
      </w:r>
    </w:p>
    <w:bookmarkEnd w:id="28"/>
    <w:bookmarkStart w:id="29" w:name="能不能形成论文三种数据情景"/>
    <w:p>
      <w:pPr>
        <w:pStyle w:val="Heading2"/>
      </w:pPr>
      <w:r>
        <w:t xml:space="preserve">4 能不能形成论文：三种数据情景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能回答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产出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A（理想）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新签联通月度面板，北京全量，</w:t>
            </w:r>
            <w:r>
              <w:rPr>
                <w:bCs/>
                <w:b/>
                <w:sz w:val="18"/>
              </w:rPr>
              <w:t xml:space="preserve">≥24 个月</w:t>
            </w:r>
            <w:r>
              <w:rPr>
                <w:sz w:val="18"/>
              </w:rPr>
              <w:t xml:space="preserve">（如 2023-01 至 2025-12）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Q1—Q6 全部；可用 2025 年外卖大战做冲击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SCI 1 篇加中文核心 1 篇，可能再加冲击分析 1 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最强。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新意清楚，可冲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Urban Studies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EPA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WES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China Economic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B（次优）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只拿到 2019 年 3、6、9、12 月四期（旧合同口径）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Q1、Q2、Q5、Q6 能做；Q3、Q4 只能按季度粗看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中文核心 1 篇；SCI 偏弱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能写，但数据是 2019 年、疫情前，审稿人会质疑时效性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C（保底）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只有问卷加访谈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Q1、Q4、Q5 的意愿部分；Q2、Q3 靠回忆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中文核心 1 篇（《中国青年研究》《人口与经济》等）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新意一般，同类问卷已不少；北京、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铁人三项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、技能和兼职是差异点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问卷可以马上做（情景 C 保底）；同时争取情景 A。拿不到新数据，就不要硬写 SCI。</w:t>
      </w:r>
    </w:p>
    <w:p>
      <w:r>
        <w:pict>
          <v:rect style="width:0;height:1.5pt" o:hralign="center" o:hrstd="t" o:hr="t"/>
        </w:pict>
      </w:r>
    </w:p>
    <w:bookmarkEnd w:id="29"/>
    <w:bookmarkStart w:id="34" w:name="研究设计按情景-a"/>
    <w:p>
      <w:pPr>
        <w:pStyle w:val="Heading2"/>
      </w:pPr>
      <w:r>
        <w:t xml:space="preserve">5 研究设计（按情景 A）</w:t>
      </w:r>
    </w:p>
    <w:bookmarkStart w:id="30" w:name="数据"/>
    <w:p>
      <w:pPr>
        <w:pStyle w:val="Heading3"/>
      </w:pPr>
      <w:r>
        <w:t xml:space="preserve">5.1 数据</w:t>
      </w:r>
    </w:p>
    <w:p>
      <w:pPr>
        <w:pStyle w:val="FirstParagraph"/>
      </w:pPr>
      <w:r>
        <w:rPr>
          <w:bCs/>
          <w:b/>
        </w:rPr>
        <w:t xml:space="preserve">联通 DaaS（北京市域、全量、月度）：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user_app</w:t>
      </w:r>
      <w:r>
        <w:t xml:space="preserve">：每人每月每个 APP 的使用时长（毫秒）和流量；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user_attribute</w:t>
      </w:r>
      <w:r>
        <w:t xml:space="preserve">：年龄段、性别、身份证前 6 位（户籍地）、是否本地、月通讯费（收入代理）、手机品牌型号、居住和工作区县及坐标、扩样权重；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stay_poi</w:t>
      </w:r>
      <w:r>
        <w:t xml:space="preserve">：每月各停留点的工作日白天、晚上和周末停留时长。可据此识别固定工作地，以及整天在外流动的跑单状态；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move_month</w:t>
      </w:r>
      <w:r>
        <w:t xml:space="preserve">：出行次数和距离，用来验证”在路上”的工作特征。</w:t>
      </w:r>
    </w:p>
    <w:p>
      <w:pPr>
        <w:pStyle w:val="BodyText"/>
      </w:pPr>
      <w:r>
        <w:rPr>
          <w:bCs/>
          <w:b/>
        </w:rPr>
        <w:t xml:space="preserve">组内已有：</w:t>
      </w:r>
      <w:r>
        <w:t xml:space="preserve"> </w:t>
      </w:r>
      <w:r>
        <w:t xml:space="preserve">北京地块用地性质（判断原工作地是工厂、写字楼、工地还是商业）、CMEP 北京分行业就业（校准）。</w:t>
      </w:r>
    </w:p>
    <w:p>
      <w:pPr>
        <w:pStyle w:val="BodyText"/>
      </w:pPr>
      <w:r>
        <w:rPr>
          <w:bCs/>
          <w:b/>
        </w:rPr>
        <w:t xml:space="preserve">问卷：</w:t>
      </w:r>
      <w:r>
        <w:t xml:space="preserve"> </w:t>
      </w:r>
      <w:r>
        <w:t xml:space="preserve">北京骑手、快递员、网约车司机各约 400 人，共约 1200 人，加 30 个访谈。</w:t>
      </w:r>
    </w:p>
    <w:bookmarkEnd w:id="30"/>
    <w:bookmarkStart w:id="31" w:name="关键变量的识别规则初稿"/>
    <w:p>
      <w:pPr>
        <w:pStyle w:val="Heading3"/>
      </w:pPr>
      <w:r>
        <w:t xml:space="preserve">5.2 关键变量的识别规则（初稿）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本机核到的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外卖、即配、跑腿从业者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当月工作端 APP 使用时长 ≥ 阈值（敏感性：5、20、50 小时）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美团骑手、达达骑士版、顺丰骑士、闪送员、点我达骑手、曹操送骑手、秒送骑士、UU 跑腿跑男端、美团跑腿、365 跑腿网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网约车司机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滴滴车主、滴滴司机、美团打车司机端、首约司机、首汽约车司机端、曹操司机、曹操加盟司机、花小猪司机端、阳光出行车主端、嘀嗒出租司机、妥妥 E 行司机端、万顺车主、易到司机端、秒走司机端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快递员、快递 100 收件端（</w:t>
            </w:r>
            <w:r>
              <w:rPr>
                <w:bCs/>
                <w:b/>
                <w:sz w:val="18"/>
              </w:rPr>
              <w:t xml:space="preserve">覆盖存疑</w:t>
            </w:r>
            <w:r>
              <w:rPr>
                <w:sz w:val="18"/>
              </w:rPr>
              <w:t xml:space="preserve">：三通一达和顺丰快递员多用公司内部 APP，需向联通确认识别名单）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货运（可选第四类）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货拉拉司机版、快狗打车车主、运满满司机、货车帮司机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求职：蓝领渠道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58 找工作、58 同城、赶集网、斗米招聘、店长直聘、百姓网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求职：综合渠道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BOSS 直聘、智联招聘、前程无忧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求职：白领或专业渠道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拉勾、猎聘同道、脉脉、LinkedIn 领英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兼职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当月使用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口袋兼职、掌上兼职、兼职猫、青团社兼职、淘兼职、兼客兼职、天天兼职、兼职啦、大学生兼职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专业接单平台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本机清单未发现</w:t>
            </w:r>
            <w:r>
              <w:rPr>
                <w:sz w:val="18"/>
              </w:rPr>
              <w:t xml:space="preserve">，需请联通在全量 APP 名录中检索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猪八戒、一品威客、程序员客栈、码市、电鸭、站酷等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固定工作地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非居住地停留点，工作日白天停留 ≥ 阈值且多周出现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stay_poi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原工作类型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进入前固定工作地所在地块的用地性质（工业、办公、商业餐饮、工地、其他）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组内地块数据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状态（每月）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平台从业（分三类）、固定工作、无固定工作（居家）、离开北京（无记录或居住地迁出）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组合判断</w:t>
            </w:r>
          </w:p>
        </w:tc>
      </w:tr>
    </w:tbl>
    <w:bookmarkEnd w:id="31"/>
    <w:bookmarkStart w:id="32" w:name="分析方法受合同约束只能导出汇总结果"/>
    <w:p>
      <w:pPr>
        <w:pStyle w:val="Heading3"/>
      </w:pPr>
      <w:r>
        <w:t xml:space="preserve">5.3 分析方法（受合同约束：只能导出汇总结果）</w:t>
      </w:r>
    </w:p>
    <w:p>
      <w:pPr>
        <w:pStyle w:val="FirstParagraph"/>
      </w:pPr>
      <w:r>
        <w:t xml:space="preserve">合同规定用户编号只能用在计数、求和里，</w:t>
      </w:r>
      <w:r>
        <w:rPr>
          <w:bCs/>
          <w:b/>
        </w:rPr>
        <w:t xml:space="preserve">少于 15 人的格子会被屏蔽</w:t>
      </w:r>
      <w:r>
        <w:t xml:space="preserve">。所以所有个体级计算都在联通平台的 SQL 里完成，导出汇总表。可以做的有：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流行率表：</w:t>
      </w:r>
      <w:r>
        <w:t xml:space="preserve"> </w:t>
      </w:r>
      <w:r>
        <w:t xml:space="preserve">按类型、年龄段、户籍大区、平台工龄、原工作类型汇总求职 APP 使用率（Q1、Q5）。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进入前轨迹（事件研究式）：</w:t>
      </w:r>
      <w:r>
        <w:t xml:space="preserve"> </w:t>
      </w:r>
      <w:r>
        <w:t xml:space="preserve">以进入月为 0，统计第 −6 到 −1 个月的固定工作地出勤率、求职 APP 使用率、通讯费变化，对照 Koustas 的”进入前下滑”（Q2）。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生存分析：</w:t>
      </w:r>
      <w:r>
        <w:t xml:space="preserve"> </w:t>
      </w:r>
      <w:r>
        <w:t xml:space="preserve">平台工作持续月数的 Kaplan–Meier 曲线，按群组汇总人月数后做离散时间风险模型（Q3）。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竞争风险：</w:t>
      </w:r>
      <w:r>
        <w:t xml:space="preserve"> </w:t>
      </w:r>
      <w:r>
        <w:t xml:space="preserve">退出到四类去向的累积发生率（Q4、Q6）：</w:t>
      </w:r>
    </w:p>
    <w:p>
      <w:pPr>
        <w:numPr>
          <w:ilvl w:val="1"/>
          <w:numId w:val="1013"/>
        </w:numPr>
        <w:pStyle w:val="Compact"/>
      </w:pPr>
      <w:r>
        <w:t xml:space="preserve">回到固定岗位，并区分是否回到原类型；</w:t>
      </w:r>
    </w:p>
    <w:p>
      <w:pPr>
        <w:numPr>
          <w:ilvl w:val="1"/>
          <w:numId w:val="1013"/>
        </w:numPr>
        <w:pStyle w:val="Compact"/>
      </w:pPr>
      <w:r>
        <w:t xml:space="preserve">转做另一类平台工作；</w:t>
      </w:r>
    </w:p>
    <w:p>
      <w:pPr>
        <w:numPr>
          <w:ilvl w:val="1"/>
          <w:numId w:val="1013"/>
        </w:numPr>
        <w:pStyle w:val="Compact"/>
      </w:pPr>
      <w:r>
        <w:t xml:space="preserve">无固定工作；</w:t>
      </w:r>
    </w:p>
    <w:p>
      <w:pPr>
        <w:numPr>
          <w:ilvl w:val="1"/>
          <w:numId w:val="1013"/>
        </w:numPr>
        <w:pStyle w:val="Compact"/>
      </w:pPr>
      <w:r>
        <w:t xml:space="preserve">离开北京。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跳板还是陷阱的检验：</w:t>
      </w:r>
      <w:r>
        <w:t xml:space="preserve"> </w:t>
      </w:r>
      <w:r>
        <w:t xml:space="preserve">按”跑单期间求职强度”和”平台工龄”分组，比较回到固定岗位的风险。陷阱的证据是回去的概率随工龄下降；跳板的证据是求职强度高的人回去得更多。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异质性：</w:t>
      </w:r>
      <w:r>
        <w:t xml:space="preserve"> </w:t>
      </w:r>
      <w:r>
        <w:t xml:space="preserve">中年（≥35、≥45 岁）、户籍来源、原工作类型（工厂与写字楼）、白领渠道使用者。</w:t>
      </w:r>
    </w:p>
    <w:p>
      <w:pPr>
        <w:pStyle w:val="FirstParagraph"/>
      </w:pPr>
      <w:r>
        <w:rPr>
          <w:bCs/>
          <w:b/>
        </w:rPr>
        <w:t xml:space="preserve">分组设计要提前算好格子数</w:t>
      </w:r>
      <w:r>
        <w:t xml:space="preserve">，避免大量格子低于 15 人被屏蔽：年龄 4—5 档、户籍大区 4—6 档、类型 3 档、工龄 4 档。</w:t>
      </w:r>
    </w:p>
    <w:bookmarkEnd w:id="32"/>
    <w:bookmarkStart w:id="33" w:name="问卷与访谈解决意愿和技能"/>
    <w:p>
      <w:pPr>
        <w:pStyle w:val="Heading3"/>
      </w:pPr>
      <w:r>
        <w:t xml:space="preserve">5.4 问卷与访谈（解决意愿和技能）</w:t>
      </w:r>
    </w:p>
    <w:p>
      <w:pPr>
        <w:pStyle w:val="FirstParagraph"/>
      </w:pPr>
      <w:r>
        <w:t xml:space="preserve">问卷模块：</w:t>
      </w:r>
      <w:r>
        <w:t xml:space="preserve"> </w:t>
      </w:r>
      <w:r>
        <w:t xml:space="preserve">- 上一份工作（行业、职业、单位类型、为何离开）；</w:t>
      </w:r>
      <w:r>
        <w:t xml:space="preserve"> </w:t>
      </w:r>
      <w:r>
        <w:t xml:space="preserve">- 进入平台的原因；</w:t>
      </w:r>
      <w:r>
        <w:t xml:space="preserve"> </w:t>
      </w:r>
      <w:r>
        <w:t xml:space="preserve">- 目前是否在找工作、用什么渠道；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是否想回到原行业或原类型岗位，什么条件下会回去</w:t>
      </w:r>
      <w:r>
        <w:t xml:space="preserve">；</w:t>
      </w:r>
      <w:r>
        <w:t xml:space="preserve"> </w:t>
      </w:r>
      <w:r>
        <w:t xml:space="preserve">- 专业技能（编程、设计、财会、教师、驾驶等）及证书；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是否通过线上平台接专业兼职、接什么、收入多少</w:t>
      </w:r>
      <w:r>
        <w:t xml:space="preserve">；</w:t>
      </w:r>
      <w:r>
        <w:t xml:space="preserve"> </w:t>
      </w:r>
      <w:r>
        <w:t xml:space="preserve">- 兼做几个平台；</w:t>
      </w:r>
      <w:r>
        <w:t xml:space="preserve"> </w:t>
      </w:r>
      <w:r>
        <w:t xml:space="preserve">- 计划干多久。</w:t>
      </w:r>
    </w:p>
    <w:p>
      <w:pPr>
        <w:pStyle w:val="BodyText"/>
      </w:pPr>
      <w:r>
        <w:rPr>
          <w:bCs/>
          <w:b/>
        </w:rPr>
        <w:t xml:space="preserve">渠道：</w:t>
      </w:r>
      <w:r>
        <w:t xml:space="preserve"> </w:t>
      </w:r>
      <w:r>
        <w:t xml:space="preserve">北京市总工会或骑手驿站、平台站点、职业伤害保障宣传活动。请领导协调。</w:t>
      </w:r>
    </w:p>
    <w:p>
      <w:pPr>
        <w:pStyle w:val="BodyText"/>
      </w:pPr>
      <w:r>
        <w:rPr>
          <w:bCs/>
          <w:b/>
        </w:rPr>
        <w:t xml:space="preserve">作用：</w:t>
      </w:r>
      <w:r>
        <w:t xml:space="preserve"> </w:t>
      </w:r>
      <w:r>
        <w:t xml:space="preserve">回答意愿；与大数据的分布（年龄、户籍、工龄）互相校验；是中文论文的主数据。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向联通智慧足迹申请数据的清单"/>
    <w:p>
      <w:pPr>
        <w:pStyle w:val="Heading2"/>
      </w:pPr>
      <w:r>
        <w:t xml:space="preserve">6 向联通（智慧足迹）申请数据的清单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北京市域，全量用户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连续月度</w:t>
            </w:r>
            <w:r>
              <w:rPr>
                <w:sz w:val="18"/>
              </w:rPr>
              <w:t xml:space="preserve">，最好 2023-01 至 2025-12（36 个月）；最少 24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user_app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user_attribute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stay_poi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move_month</w:t>
            </w:r>
            <w:r>
              <w:rPr>
                <w:sz w:val="18"/>
              </w:rPr>
              <w:t xml:space="preserve">（或其月度汇总）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特别请求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① 提供全量 APP 名录，以便补全工作端 APP 和专业接单平台清单；② 确认快递员公司内部 APP 能否识别；③ 确认用户编号跨月是否稳定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交付方式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在 DaaS 平台上运行我们的 SQL，导出汇总表（符合 15 人门槛）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发表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书面同意以聚合结果发表论文</w:t>
            </w:r>
            <w:r>
              <w:rPr>
                <w:sz w:val="18"/>
              </w:rPr>
              <w:t xml:space="preserve">。现行合同的保密和知识产权条款要求事先书面同意；建议邀请智慧足迹研究人员作为合作者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风险与对策"/>
    <w:p>
      <w:pPr>
        <w:pStyle w:val="Heading2"/>
      </w:pPr>
      <w:r>
        <w:t xml:space="preserve">7 风险与对策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拿不到新数据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SCI 主稿无法做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问卷先行（情景 C）；通过院联合实验室争取；退而求其次申请 2019 年四期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Wi-Fi 下的 APP 使用看不到</w:t>
            </w:r>
            <w:r>
              <w:rPr>
                <w:sz w:val="18"/>
              </w:rPr>
              <w:t xml:space="preserve">（运营商只能识别蜂窝流量）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求职 APP 多在家用 Wi-Fi，会</w:t>
            </w:r>
            <w:r>
              <w:rPr>
                <w:bCs/>
                <w:b/>
                <w:sz w:val="18"/>
              </w:rPr>
              <w:t xml:space="preserve">低估</w:t>
            </w:r>
            <w:r>
              <w:rPr>
                <w:sz w:val="18"/>
              </w:rPr>
              <w:t xml:space="preserve">求职；办公室白领比骑手更多用 Wi-Fi，两类人直接比较会有偏差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主分析做</w:t>
            </w:r>
            <w:r>
              <w:rPr>
                <w:bCs/>
                <w:b/>
                <w:sz w:val="18"/>
              </w:rPr>
              <w:t xml:space="preserve">同一个人前后比较</w:t>
            </w:r>
            <w:r>
              <w:rPr>
                <w:sz w:val="18"/>
              </w:rPr>
              <w:t xml:space="preserve">（进入前与进入后、不同工龄），这种比较受该偏差影响小；跨群体比较只作辅助；用问卷的自报率校准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用 58、BOSS 不等于想离开平台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骑手岗位本身大量在 58 同城、BOSS 直聘上招聘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分渠道看（白领渠道信号更干净）；结合退出去向验证；问卷直接问”找的是什么工作”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回到原岗位的”需求”看不到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Q4 只能回答行为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明确区分行为和意愿，意愿用问卷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专业兼职平台不在 APP 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Q5 的专业部分无法用大数据做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请联通检索全量名录；主要靠问卷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一人多卡、多手机，工作机不是联通卡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漏识别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用扩样权重；与平台公开数、职业伤害保障参保数比对；在文中讨论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原工作地用地类型推断职业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误分类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只分粗类（工业、办公、商业、工地）；做敏感性分析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伦理与合规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就业状态属敏感信息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只用聚合结果；合作高校出伦理审查；在论文中写数据和伦理声明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时效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2019 年数据显得旧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优先争取 2023—2025 年数据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论文规划与时间表"/>
    <w:p>
      <w:pPr>
        <w:pStyle w:val="Heading2"/>
      </w:pPr>
      <w:r>
        <w:t xml:space="preserve">8 论文规划与时间表</w:t>
      </w:r>
    </w:p>
    <w:bookmarkStart w:id="37" w:name="篇目"/>
    <w:p>
      <w:pPr>
        <w:pStyle w:val="Heading3"/>
      </w:pPr>
      <w:r>
        <w:t xml:space="preserve">8.1 篇目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题目（暂定）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期刊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SCI 主稿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Stepping stone, buffer or trap? Job search and labour-market transitions of platform workers in Beijing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联通月度面板（情景 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Urban Studies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Environment and Planning A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Work, Employment and Society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；备选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Cities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New Technology, Work and 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中文核心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《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铁人三项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：超大城市平台劳动者的来源、求职意愿与职业去向——基于北京的问卷与手机大数据》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问卷为主，大数据描述为辅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《中国青年研究》《人口研究》《人口与经济》；冲刺《社会学研究》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可选第三篇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2025 年外卖大战冲击下的进入与切换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联通月度面板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China Economic Review</w:t>
            </w:r>
            <w:r>
              <w:rPr>
                <w:sz w:val="18"/>
              </w:rPr>
              <w:t xml:space="preserve">、</w:t>
            </w:r>
            <w:r>
              <w:rPr>
                <w:iCs/>
                <w:i/>
                <w:sz w:val="18"/>
              </w:rPr>
              <w:t xml:space="preserve">Transport Policy</w:t>
            </w:r>
          </w:p>
        </w:tc>
      </w:tr>
    </w:tbl>
    <w:p>
      <w:pPr>
        <w:pStyle w:val="BodyText"/>
      </w:pPr>
      <w:r>
        <w:t xml:space="preserve">两篇的分工要清楚，避免重复发表：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中文稿</w:t>
      </w:r>
      <w:r>
        <w:t xml:space="preserve">讲”是谁、为什么、想不想回去”，以问卷和意愿为主；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SCI 稿</w:t>
      </w:r>
      <w:r>
        <w:t xml:space="preserve">讲”实际怎么流动、跳板还是陷阱”，以追踪行为为主。</w:t>
      </w:r>
    </w:p>
    <w:bookmarkEnd w:id="37"/>
    <w:bookmarkStart w:id="38" w:name="时间表从-2026-年-10-月起"/>
    <w:p>
      <w:pPr>
        <w:pStyle w:val="Heading3"/>
      </w:pPr>
      <w:r>
        <w:t xml:space="preserve">8.2 时间表（从 2026 年 10 月起）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 下旬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向领导汇报，确定数据和问卷两条线；联系智慧足迹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王良加领导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问卷设计与预调查；写好识别 SQL 和汇总表模板（提前算格子数）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王良（我可起草问卷和 SQL）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2026-12 至 2027-01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问卷正式发放（约 1200 份）加访谈；联通数据到位后跑识别和验证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2027-02 至 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中文稿分析与写作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2027-04 投稿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2027-03 至 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联通面板：进入前轨迹、生存分析、退出去向、跳板与陷阱检验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2027-06 至 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SCI 稿写作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2027-08 投稿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需要领导决策或你确认的事项"/>
    <w:p>
      <w:pPr>
        <w:pStyle w:val="Heading2"/>
      </w:pPr>
      <w:r>
        <w:t xml:space="preserve">9 需要领导决策或你确认的事项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联通数据：</w:t>
      </w:r>
      <w:r>
        <w:t xml:space="preserve"> </w:t>
      </w:r>
      <w:r>
        <w:t xml:space="preserve">能否通过院大数据联合实验室或新合同，取得北京全量连续月度数据（≥24 个月，最好 2023—2025 年）？以前合同的平台服务费是 50 万元/年，可作为预算参考。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发表许可：</w:t>
      </w:r>
      <w:r>
        <w:t xml:space="preserve"> </w:t>
      </w:r>
      <w:r>
        <w:t xml:space="preserve">与智慧足迹书面约定可以用聚合结果发表，是否邀请对方人员署名。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问卷渠道：</w:t>
      </w:r>
      <w:r>
        <w:t xml:space="preserve"> </w:t>
      </w:r>
      <w:r>
        <w:t xml:space="preserve">能否通过北京市总工会、骑手驿站或平台站点发放约 1200 份问卷。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人员：</w:t>
      </w:r>
      <w:r>
        <w:t xml:space="preserve"> </w:t>
      </w:r>
      <w:r>
        <w:t xml:space="preserve">问卷执行需要 1—2 人配合（范敏博或孟琪）。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合作高校：</w:t>
      </w:r>
      <w:r>
        <w:t xml:space="preserve"> </w:t>
      </w:r>
      <w:r>
        <w:t xml:space="preserve">是否与有伦理审查委员会的高校合作（国外期刊通常要求伦理声明）。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与来源"/>
    <w:p>
      <w:pPr>
        <w:pStyle w:val="Heading2"/>
      </w:pPr>
      <w:r>
        <w:t xml:space="preserve">参考文献与来源</w:t>
      </w:r>
    </w:p>
    <w:p>
      <w:pPr>
        <w:pStyle w:val="FirstParagraph"/>
      </w:pPr>
      <w:r>
        <w:t xml:space="preserve">说明：带链接的条目已通过网页检索确认存在；标”待核”的细节未核实；不带链接的经典文献凭已有知识列出，引用前请核对卷期。</w:t>
      </w:r>
    </w:p>
    <w:p>
      <w:pPr>
        <w:pStyle w:val="BodyText"/>
      </w:pPr>
      <w:r>
        <w:rPr>
          <w:bCs/>
          <w:b/>
        </w:rPr>
        <w:t xml:space="preserve">国内调查与报告</w:t>
      </w:r>
      <w:r>
        <w:t xml:space="preserve"> </w:t>
      </w:r>
      <w:r>
        <w:t xml:space="preserve">- 美团研究院骑手前职业问卷（24.8% 工厂、6.9% 工地）. 中国就业网转载, 2021. https://chinajob.mohrss.gov.cn/h5/c/2021-07-08/313439.shtml</w:t>
      </w:r>
      <w:r>
        <w:t xml:space="preserve"> </w:t>
      </w:r>
      <w:r>
        <w:t xml:space="preserve">- 新京报智库. 外卖骑手职业可持续发展调查报告. https://m.bjnews.com.cn/detail/160516354415025.html</w:t>
      </w:r>
      <w:r>
        <w:t xml:space="preserve"> </w:t>
      </w:r>
      <w:r>
        <w:t xml:space="preserve">- 孙萍. 过渡劳动：平台经济下的外卖骑手（专著，2024）. 书评与数据见 https://m.thepaper.cn/newsDetail_forward_28532699 ；https://www.163.com/dy/article/JE65L4PD05561DJW.html</w:t>
      </w:r>
      <w:r>
        <w:t xml:space="preserve"> </w:t>
      </w:r>
      <w:r>
        <w:t xml:space="preserve">- 南开大学. 外卖骑手生活世界研究报告（4.1 万份，2025）. https://finance.sina.com.cn/wm/2025-04-11/doc-inesusvu1538998.shtml</w:t>
      </w:r>
      <w:r>
        <w:t xml:space="preserve"> </w:t>
      </w:r>
      <w:r>
        <w:t xml:space="preserve">- 韩嘉玲. 外卖骑手的子女随迁情况和育儿参与分析——基于 M 外卖公司的数据（2026）. https://irrr.jnu.edu.cn/2026/0106/c28449a849133/page.htm</w:t>
      </w:r>
      <w:r>
        <w:t xml:space="preserve"> </w:t>
      </w:r>
      <w:r>
        <w:t xml:space="preserve">- 高文珺. 新就业形态下外卖骑手的社会流动与城市认同. https://zhuanlan.zhihu.com/p/388827056</w:t>
      </w:r>
      <w:r>
        <w:t xml:space="preserve"> </w:t>
      </w:r>
      <w:r>
        <w:t xml:space="preserve">- 崔岩. 就业质量视角下的外卖骑手就业脆弱性研究. 山东社会科学, 2021(5). http://sociology.cssn.cn/shxsw/swx_kycg/swx_xslw/202202/W020220214431385276086.pdf</w:t>
      </w:r>
      <w:r>
        <w:t xml:space="preserve"> </w:t>
      </w:r>
      <w:r>
        <w:t xml:space="preserve">- 美团骑手年度职业报告（2024—2025）. 界面新闻. https://m.jiemian.com/article/14132719.html</w:t>
      </w:r>
      <w:r>
        <w:t xml:space="preserve"> </w:t>
      </w:r>
      <w:r>
        <w:t xml:space="preserve">- 美团关于骑手学历数据的辟谣（2025-07）. 新浪财经. https://finance.sina.cn/stock/jdts/2025-07-10/detail-infezcyk0040926.d.html</w:t>
      </w:r>
      <w:r>
        <w:t xml:space="preserve"> </w:t>
      </w:r>
      <w:r>
        <w:t xml:space="preserve">- 滴滴去产能行业司机报告（2016）. 每日经济新闻. https://www.nbd.com.cn/articles/2016-07-19/1023336.html</w:t>
      </w:r>
      <w:r>
        <w:t xml:space="preserve"> </w:t>
      </w:r>
      <w:r>
        <w:t xml:space="preserve">- 内地网约车供给饱和、中年”失业三件套”（深圳 39.5 万司机、日均 13.01 单）. 香港01. https://global.hk01.com/中国观察/60356532/内地网约车供给饱和-骑手过剩-中年-失业三件套-还能兜底吗</w:t>
      </w:r>
      <w:r>
        <w:t xml:space="preserve"> </w:t>
      </w:r>
      <w:r>
        <w:t xml:space="preserve">- 何文炯、王中汉. 非稳定就业者能够进入中等收入群体吗？——基于 CFPS 数据的分析（2022，期刊待核）. 见 CFPS 文献库 https://www.isss.pku.edu.cn/cfps/xzyj/wxlb/1201867cfps1364171.htm</w:t>
      </w:r>
    </w:p>
    <w:p>
      <w:pPr>
        <w:pStyle w:val="BodyText"/>
      </w:pPr>
      <w:r>
        <w:rPr>
          <w:bCs/>
          <w:b/>
        </w:rPr>
        <w:t xml:space="preserve">国外：进入、退出与”安全网”</w:t>
      </w:r>
      <w:r>
        <w:t xml:space="preserve"> </w:t>
      </w:r>
      <w:r>
        <w:t xml:space="preserve">- Koustas D. What do big data tell us about why people take gig economy jobs? AEA Papers and Proceedings, 2019, 109: 367–371. https://www.aeaweb.org/doi/10.1257/pandp.20191041</w:t>
      </w:r>
      <w:r>
        <w:t xml:space="preserve"> </w:t>
      </w:r>
      <w:r>
        <w:t xml:space="preserve">- Fos V, Hamdi N, Kalda A, Nickerson J. Gig-labor: Trading safety nets for steering wheels. CEPR Discussion Paper DP13885, 2019. https://econpapers.repec.org/paper/cprceprdp/13885.htm</w:t>
      </w:r>
      <w:r>
        <w:t xml:space="preserve"> </w:t>
      </w:r>
      <w:r>
        <w:t xml:space="preserve">- Huang N, Burtch G, Hong Y, Pavlou P A. Unemployment and worker participation in the gig economy. Information Systems Research, 2020, 31(2): 431–448. https://doi.org/10.1287/isre.2019.0896</w:t>
      </w:r>
      <w:r>
        <w:t xml:space="preserve"> </w:t>
      </w:r>
      <w:r>
        <w:t xml:space="preserve">- Garin A, Jackson E, Koustas D, Miller A. The evolution of platform gig work, 2012–2021 / 2012–2023. NBER WP 31273. https://www.nber.org/system/files/working_papers/w31273/w31273.pdf</w:t>
      </w:r>
      <w:r>
        <w:t xml:space="preserve"> </w:t>
      </w:r>
      <w:r>
        <w:t xml:space="preserve">- Garin A 等. New gig work or changes in reporting? AEJ: Applied Economics. https://www.aeaweb.org/articles?id=10.1257%2Fapp.20220483</w:t>
      </w:r>
      <w:r>
        <w:t xml:space="preserve"> </w:t>
      </w:r>
      <w:r>
        <w:t xml:space="preserve">- Booth A L, Francesconi M, Frank J. Temporary jobs: Stepping stones or dead ends? Economic Journal, 2002.</w:t>
      </w:r>
      <w:r>
        <w:t xml:space="preserve"> </w:t>
      </w:r>
      <w:r>
        <w:t xml:space="preserve">- Autor D H, Houseman S N. Do temporary-help jobs improve labor market outcomes for low-skilled workers? AEJ: Applied Economics, 2010.</w:t>
      </w:r>
    </w:p>
    <w:p>
      <w:pPr>
        <w:pStyle w:val="BodyText"/>
      </w:pPr>
      <w:r>
        <w:rPr>
          <w:bCs/>
          <w:b/>
        </w:rPr>
        <w:t xml:space="preserve">求职行为测度</w:t>
      </w:r>
      <w:r>
        <w:t xml:space="preserve"> </w:t>
      </w:r>
      <w:r>
        <w:t xml:space="preserve">- Faberman R J, Kudlyak M. The intensity of job search and search duration. AEJ: Macroeconomics, 2019. https://www.aeaweb.org/doi/10.1257/mac.20170315</w:t>
      </w:r>
      <w:r>
        <w:t xml:space="preserve"> </w:t>
      </w:r>
      <w:r>
        <w:t xml:space="preserve">- Baker S R, Fradkin A. The impact of unemployment insurance on job search: Evidence from Google search data. Review of Economics and Statistics, 2017, 99(5): 756–768. https://ideas.repec.org/a/tpr/restat/v99y2017i5p756-768.html</w:t>
      </w:r>
      <w:r>
        <w:t xml:space="preserve"> </w:t>
      </w:r>
      <w:r>
        <w:t xml:space="preserve">- Marinescu I, Skandalis D. Unemployment insurance and job search behavior. Quarterly Journal of Economics, 2021. https://academicnewsletter.sufe.edu.cn/info/344884</w:t>
      </w:r>
      <w:r>
        <w:t xml:space="preserve"> </w:t>
      </w:r>
      <w:r>
        <w:t xml:space="preserve">- Toole J L 等. Tracking employment shocks using mobile phone data. Journal of the Royal Society Interface, 2015. https://arxiv.org/abs/1505.06791</w:t>
      </w:r>
    </w:p>
    <w:p>
      <w:pPr>
        <w:pStyle w:val="BodyText"/>
      </w:pPr>
      <w:r>
        <w:rPr>
          <w:bCs/>
          <w:b/>
        </w:rPr>
        <w:t xml:space="preserve">相关背景（见上一份综述）</w:t>
      </w:r>
      <w:r>
        <w:t xml:space="preserve"> </w:t>
      </w:r>
      <w:r>
        <w:t xml:space="preserve">- 《平台从业者研究综述与选题定位》（同项目</w:t>
      </w:r>
      <w:r>
        <w:t xml:space="preserve"> </w:t>
      </w:r>
      <w:r>
        <w:rPr>
          <w:rStyle w:val="VerbatimChar"/>
        </w:rPr>
        <w:t xml:space="preserve">0-文献/</w:t>
      </w:r>
      <w:r>
        <w:t xml:space="preserve">），含规模测度、平台地理、多平台接单、风险暴露等文献。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宋体"/>
    </w:rPr>
  </w:style>
  <w:style w:customStyle="1" w:styleId="FirstParagraph" w:type="paragraph">
    <w:name w:val="First Paragraph"/>
    <w:basedOn w:val="BodyText"/>
    <w:next w:val="BodyText"/>
    <w:qFormat/>
    <w:rPr>
      <w:rFonts w:eastAsia="宋体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宋体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宋体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宋体"/>
    </w:rPr>
  </w:style>
  <w:style w:styleId="Bibliography" w:type="paragraph">
    <w:name w:val="Bibliography"/>
    <w:basedOn w:val="Normal"/>
    <w:next w:val="Bibliography"/>
    <w:qFormat/>
    <w:pPr/>
    <w:rPr>
      <w:rFonts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宋体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宋体"/>
    </w:rPr>
  </w:style>
  <w:style w:default="1" w:styleId="DefaultParagraphFont" w:type="character">
    <w:name w:val="Default Paragraph Font"/>
    <w:semiHidden/>
    <w:unhideWhenUsed/>
    <w:rPr>
      <w:rFonts w:eastAsia="宋体"/>
    </w:rPr>
  </w:style>
  <w:style w:default="1" w:styleId="Table" w:type="table">
    <w:name w:val="Table"/>
    <w:basedOn w:val="TableNormal"/>
    <w:semiHidden/>
    <w:unhideWhenUsed/>
    <w:qFormat/>
    <w:rPr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宋体"/>
    </w:rPr>
  </w:style>
  <w:style w:customStyle="1" w:styleId="Definition" w:type="paragraph">
    <w:name w:val="Definition"/>
    <w:basedOn w:val="Normal"/>
    <w:rPr>
      <w:rFonts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宋体"/>
    </w:rPr>
  </w:style>
  <w:style w:customStyle="1" w:styleId="TableCaption" w:type="paragraph">
    <w:name w:val="Table Caption"/>
    <w:basedOn w:val="Caption"/>
    <w:pPr>
      <w:keepNext/>
    </w:pPr>
    <w:rPr>
      <w:rFonts w:eastAsia="宋体"/>
    </w:rPr>
  </w:style>
  <w:style w:customStyle="1" w:styleId="ImageCaption" w:type="paragraph">
    <w:name w:val="Image Caption"/>
    <w:basedOn w:val="Caption"/>
    <w:rPr>
      <w:rFonts w:eastAsia="宋体"/>
    </w:rPr>
  </w:style>
  <w:style w:customStyle="1" w:styleId="Figure" w:type="paragraph">
    <w:name w:val="Figure"/>
    <w:basedOn w:val="Normal"/>
    <w:rPr>
      <w:rFonts w:eastAsia="宋体"/>
    </w:rPr>
  </w:style>
  <w:style w:customStyle="1" w:styleId="CaptionedFigure" w:type="paragraph">
    <w:name w:val="Captioned Figure"/>
    <w:basedOn w:val="Figure"/>
    <w:pPr>
      <w:keepNext/>
    </w:pPr>
    <w:rPr>
      <w:rFonts w:eastAsia="宋体"/>
    </w:rPr>
  </w:style>
  <w:style w:customStyle="1" w:styleId="BodyTextChar" w:type="character">
    <w:name w:val="Body Text Char"/>
    <w:basedOn w:val="DefaultParagraphFont"/>
    <w:link w:val="BodyText"/>
    <w:rPr>
      <w:rFonts w:eastAsia="宋体"/>
    </w:rPr>
  </w:style>
  <w:style w:customStyle="1" w:styleId="VerbatimChar" w:type="character">
    <w:name w:val="Verbatim Char"/>
    <w:basedOn w:val="BodyTextChar"/>
    <w:rPr>
      <w:rFonts w:ascii="Consolas" w:hAnsi="Consolas" w:eastAsia="宋体"/>
      <w:sz w:val="22"/>
    </w:rPr>
  </w:style>
  <w:style w:customStyle="1" w:styleId="SectionNumber" w:type="character">
    <w:name w:val="Section Number"/>
    <w:basedOn w:val="BodyTextChar"/>
    <w:rPr>
      <w:rFonts w:eastAsia="宋体"/>
    </w:rPr>
  </w:style>
  <w:style w:styleId="FootnoteReference" w:type="character">
    <w:name w:val="Footnote Reference"/>
    <w:basedOn w:val="BodyTextChar"/>
    <w:rPr>
      <w:vertAlign w:val="superscript"/>
      <w:rFonts w:eastAsia="宋体"/>
    </w:rPr>
  </w:style>
  <w:style w:styleId="Hyperlink" w:type="character">
    <w:name w:val="Hyperlink"/>
    <w:basedOn w:val="BodyTextChar"/>
    <w:rPr>
      <w:color w:themeColor="accent1" w:val="4F81BD"/>
      <w:rFonts w:eastAsia="宋体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宋体"/>
    </w:rPr>
  </w:style>
  <w:style w:type="character" w:customStyle="1" w:styleId="KeywordTok">
    <w:name w:val="KeywordTok"/>
    <w:basedOn w:val="VerbatimChar"/>
    <w:rPr>
      <w:color w:val="007020"/>
      <w:b/>
      <w:rFonts w:eastAsia="宋体"/>
    </w:rPr>
  </w:style>
  <w:style w:type="character" w:customStyle="1" w:styleId="DataTypeTok">
    <w:name w:val="DataTypeTok"/>
    <w:basedOn w:val="VerbatimChar"/>
    <w:rPr>
      <w:color w:val="902000"/>
      <w:rFonts w:eastAsia="宋体"/>
    </w:rPr>
  </w:style>
  <w:style w:type="character" w:customStyle="1" w:styleId="DecValTok">
    <w:name w:val="DecValTok"/>
    <w:basedOn w:val="VerbatimChar"/>
    <w:rPr>
      <w:color w:val="40a070"/>
      <w:rFonts w:eastAsia="宋体"/>
    </w:rPr>
  </w:style>
  <w:style w:type="character" w:customStyle="1" w:styleId="BaseNTok">
    <w:name w:val="BaseNTok"/>
    <w:basedOn w:val="VerbatimChar"/>
    <w:rPr>
      <w:color w:val="40a070"/>
      <w:rFonts w:eastAsia="宋体"/>
    </w:rPr>
  </w:style>
  <w:style w:type="character" w:customStyle="1" w:styleId="FloatTok">
    <w:name w:val="FloatTok"/>
    <w:basedOn w:val="VerbatimChar"/>
    <w:rPr>
      <w:color w:val="40a070"/>
      <w:rFonts w:eastAsia="宋体"/>
    </w:rPr>
  </w:style>
  <w:style w:type="character" w:customStyle="1" w:styleId="ConstantTok">
    <w:name w:val="ConstantTok"/>
    <w:basedOn w:val="VerbatimChar"/>
    <w:rPr>
      <w:color w:val="880000"/>
      <w:rFonts w:eastAsia="宋体"/>
    </w:rPr>
  </w:style>
  <w:style w:type="character" w:customStyle="1" w:styleId="CharTok">
    <w:name w:val="CharTok"/>
    <w:basedOn w:val="VerbatimChar"/>
    <w:rPr>
      <w:color w:val="4070a0"/>
      <w:rFonts w:eastAsia="宋体"/>
    </w:rPr>
  </w:style>
  <w:style w:type="character" w:customStyle="1" w:styleId="SpecialCharTok">
    <w:name w:val="SpecialCharTok"/>
    <w:basedOn w:val="VerbatimChar"/>
    <w:rPr>
      <w:color w:val="4070a0"/>
      <w:rFonts w:eastAsia="宋体"/>
    </w:rPr>
  </w:style>
  <w:style w:type="character" w:customStyle="1" w:styleId="StringTok">
    <w:name w:val="StringTok"/>
    <w:basedOn w:val="VerbatimChar"/>
    <w:rPr>
      <w:color w:val="4070a0"/>
      <w:rFonts w:eastAsia="宋体"/>
    </w:rPr>
  </w:style>
  <w:style w:type="character" w:customStyle="1" w:styleId="VerbatimStringTok">
    <w:name w:val="VerbatimStringTok"/>
    <w:basedOn w:val="VerbatimChar"/>
    <w:rPr>
      <w:color w:val="4070a0"/>
      <w:rFonts w:eastAsia="宋体"/>
    </w:rPr>
  </w:style>
  <w:style w:type="character" w:customStyle="1" w:styleId="SpecialStringTok">
    <w:name w:val="SpecialStringTok"/>
    <w:basedOn w:val="VerbatimChar"/>
    <w:rPr>
      <w:color w:val="bb6688"/>
      <w:rFonts w:eastAsia="宋体"/>
    </w:rPr>
  </w:style>
  <w:style w:type="character" w:customStyle="1" w:styleId="ImportTok">
    <w:name w:val="ImportTok"/>
    <w:basedOn w:val="VerbatimChar"/>
    <w:rPr>
      <w:color w:val="008000"/>
      <w:b/>
      <w:rFonts w:eastAsia="宋体"/>
    </w:rPr>
  </w:style>
  <w:style w:type="character" w:customStyle="1" w:styleId="CommentTok">
    <w:name w:val="CommentTok"/>
    <w:basedOn w:val="VerbatimChar"/>
    <w:rPr>
      <w:color w:val="60a0b0"/>
      <w:i/>
      <w:rFonts w:eastAsia="宋体"/>
    </w:rPr>
  </w:style>
  <w:style w:type="character" w:customStyle="1" w:styleId="DocumentationTok">
    <w:name w:val="DocumentationTok"/>
    <w:basedOn w:val="VerbatimChar"/>
    <w:rPr>
      <w:color w:val="ba2121"/>
      <w:i/>
      <w:rFonts w:eastAsia="宋体"/>
    </w:rPr>
  </w:style>
  <w:style w:type="character" w:customStyle="1" w:styleId="AnnotationTok">
    <w:name w:val="AnnotationTok"/>
    <w:basedOn w:val="VerbatimChar"/>
    <w:rPr>
      <w:color w:val="60a0b0"/>
      <w:b/>
      <w:i/>
      <w:rFonts w:eastAsia="宋体"/>
    </w:rPr>
  </w:style>
  <w:style w:type="character" w:customStyle="1" w:styleId="CommentVarTok">
    <w:name w:val="CommentVarTok"/>
    <w:basedOn w:val="VerbatimChar"/>
    <w:rPr>
      <w:color w:val="60a0b0"/>
      <w:b/>
      <w:i/>
      <w:rFonts w:eastAsia="宋体"/>
    </w:rPr>
  </w:style>
  <w:style w:type="character" w:customStyle="1" w:styleId="OtherTok">
    <w:name w:val="OtherTok"/>
    <w:basedOn w:val="VerbatimChar"/>
    <w:rPr>
      <w:color w:val="007020"/>
      <w:rFonts w:eastAsia="宋体"/>
    </w:rPr>
  </w:style>
  <w:style w:type="character" w:customStyle="1" w:styleId="FunctionTok">
    <w:name w:val="FunctionTok"/>
    <w:basedOn w:val="VerbatimChar"/>
    <w:rPr>
      <w:color w:val="06287e"/>
      <w:rFonts w:eastAsia="宋体"/>
    </w:rPr>
  </w:style>
  <w:style w:type="character" w:customStyle="1" w:styleId="VariableTok">
    <w:name w:val="VariableTok"/>
    <w:basedOn w:val="VerbatimChar"/>
    <w:rPr>
      <w:color w:val="19177c"/>
      <w:rFonts w:eastAsia="宋体"/>
    </w:rPr>
  </w:style>
  <w:style w:type="character" w:customStyle="1" w:styleId="ControlFlowTok">
    <w:name w:val="ControlFlowTok"/>
    <w:basedOn w:val="VerbatimChar"/>
    <w:rPr>
      <w:color w:val="007020"/>
      <w:b/>
      <w:rFonts w:eastAsia="宋体"/>
    </w:rPr>
  </w:style>
  <w:style w:type="character" w:customStyle="1" w:styleId="OperatorTok">
    <w:name w:val="OperatorTok"/>
    <w:basedOn w:val="VerbatimChar"/>
    <w:rPr>
      <w:color w:val="666666"/>
      <w:rFonts w:eastAsia="宋体"/>
    </w:rPr>
  </w:style>
  <w:style w:type="character" w:customStyle="1" w:styleId="BuiltInTok">
    <w:name w:val="BuiltInTok"/>
    <w:basedOn w:val="VerbatimChar"/>
    <w:rPr>
      <w:color w:val="008000"/>
      <w:rFonts w:eastAsia="宋体"/>
    </w:rPr>
  </w:style>
  <w:style w:type="character" w:customStyle="1" w:styleId="ExtensionTok">
    <w:name w:val="ExtensionTok"/>
    <w:basedOn w:val="VerbatimChar"/>
    <w:rPr>
      <w:rFonts w:eastAsia="宋体"/>
    </w:rPr>
  </w:style>
  <w:style w:type="character" w:customStyle="1" w:styleId="PreprocessorTok">
    <w:name w:val="PreprocessorTok"/>
    <w:basedOn w:val="VerbatimChar"/>
    <w:rPr>
      <w:color w:val="bc7a00"/>
      <w:rFonts w:eastAsia="宋体"/>
    </w:rPr>
  </w:style>
  <w:style w:type="character" w:customStyle="1" w:styleId="AttributeTok">
    <w:name w:val="AttributeTok"/>
    <w:basedOn w:val="VerbatimChar"/>
    <w:rPr>
      <w:color w:val="7d9029"/>
      <w:rFonts w:eastAsia="宋体"/>
    </w:rPr>
  </w:style>
  <w:style w:type="character" w:customStyle="1" w:styleId="RegionMarkerTok">
    <w:name w:val="RegionMarkerTok"/>
    <w:basedOn w:val="VerbatimChar"/>
    <w:rPr>
      <w:rFonts w:eastAsia="宋体"/>
    </w:rPr>
  </w:style>
  <w:style w:type="character" w:customStyle="1" w:styleId="InformationTok">
    <w:name w:val="InformationTok"/>
    <w:basedOn w:val="VerbatimChar"/>
    <w:rPr>
      <w:color w:val="60a0b0"/>
      <w:b/>
      <w:i/>
      <w:rFonts w:eastAsia="宋体"/>
    </w:rPr>
  </w:style>
  <w:style w:type="character" w:customStyle="1" w:styleId="WarningTok">
    <w:name w:val="WarningTok"/>
    <w:basedOn w:val="VerbatimChar"/>
    <w:rPr>
      <w:color w:val="60a0b0"/>
      <w:b/>
      <w:i/>
      <w:rFonts w:eastAsia="宋体"/>
    </w:rPr>
  </w:style>
  <w:style w:type="character" w:customStyle="1" w:styleId="AlertTok">
    <w:name w:val="AlertTok"/>
    <w:basedOn w:val="VerbatimChar"/>
    <w:rPr>
      <w:color w:val="ff0000"/>
      <w:b/>
      <w:rFonts w:eastAsia="宋体"/>
    </w:rPr>
  </w:style>
  <w:style w:type="character" w:customStyle="1" w:styleId="ErrorTok">
    <w:name w:val="ErrorTok"/>
    <w:basedOn w:val="VerbatimChar"/>
    <w:rPr>
      <w:color w:val="ff0000"/>
      <w:b/>
      <w:rFonts w:eastAsia="宋体"/>
    </w:rPr>
  </w:style>
  <w:style w:type="character" w:customStyle="1" w:styleId="NormalTok">
    <w:name w:val="NormalTok"/>
    <w:basedOn w:val="VerbatimChar"/>
    <w:rPr>
      <w:rFonts w:eastAsia="宋体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2026-10-15T01:55:43Z</dcterms:created>
  <dcterms:modified xsi:type="dcterms:W3CDTF">2026-10-15T01:55:43Z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